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jc w:val="both"/>
        <w:rPr/>
      </w:pPr>
      <w:r>
        <w:rPr>
          <w:b/>
        </w:rPr>
        <w:t>Seller:</w:t>
        <w:tab/>
        <w:tab/>
        <w:tab/>
        <w:tab/>
      </w:r>
      <w:r>
        <w:rPr/>
        <w:t>TECO (“TECO”)</w:t>
      </w:r>
    </w:p>
    <w:p>
      <w:pPr>
        <w:pStyle w:val="Normal"/>
        <w:spacing w:before="0" w:after="240"/>
        <w:jc w:val="both"/>
        <w:rPr/>
      </w:pPr>
      <w:r>
        <w:rPr>
          <w:b/>
        </w:rPr>
        <w:t>Buyer:</w:t>
        <w:tab/>
        <w:tab/>
        <w:tab/>
        <w:tab/>
      </w:r>
      <w:r>
        <w:rPr/>
        <w:t>Enron Power Marketing, Inc. (“EPMI”)</w:t>
      </w:r>
    </w:p>
    <w:p>
      <w:pPr>
        <w:pStyle w:val="Normal"/>
        <w:tabs>
          <w:tab w:val="clear" w:pos="720"/>
          <w:tab w:val="left" w:pos="1440" w:leader="none"/>
        </w:tabs>
        <w:spacing w:before="0" w:after="360"/>
        <w:ind w:hanging="2880" w:start="2880" w:end="0"/>
        <w:jc w:val="both"/>
        <w:rPr/>
      </w:pPr>
      <w:r>
        <w:rPr>
          <w:b/>
        </w:rPr>
        <w:t>Product Description:</w:t>
        <w:tab/>
      </w:r>
      <w:r>
        <w:rPr/>
        <w:t>Unit Contingent Tolling Option. Buyer would have the right, but not the obligation, to receive the energy output from the committed units in accordance with the terms and conditions herein.  Seller would be responsible for supplying gas to fuel the plant and supplying oil as a backup fuel source.</w:t>
      </w:r>
    </w:p>
    <w:p>
      <w:pPr>
        <w:pStyle w:val="Normal"/>
        <w:spacing w:before="0" w:after="360"/>
        <w:ind w:hanging="2880" w:start="2880" w:end="0"/>
        <w:jc w:val="both"/>
        <w:rPr/>
      </w:pPr>
      <w:r>
        <w:rPr>
          <w:b/>
        </w:rPr>
        <w:t>Facility:</w:t>
        <w:tab/>
      </w:r>
      <w:r>
        <w:rPr/>
        <w:t>TECO’s proposed Ft. Pierce, FL Generating Station (“Facility”). The Facility will consist of one Mitsubishi 501F combustion turbine generator with a Heat Recovery Steam Generator operating in combined cycle mode, with a nominal unit output of 185 MW.  The Facility will be configured to utilize fuel oil as a backup fuel source.</w:t>
      </w:r>
    </w:p>
    <w:p>
      <w:pPr>
        <w:pStyle w:val="Normal"/>
        <w:spacing w:before="0" w:after="360"/>
        <w:ind w:hanging="2880" w:start="2880" w:end="0"/>
        <w:jc w:val="both"/>
        <w:rPr>
          <w:u w:val="single"/>
        </w:rPr>
      </w:pPr>
      <w:r>
        <w:rPr>
          <w:b/>
        </w:rPr>
        <w:t>Term:</w:t>
        <w:tab/>
      </w:r>
      <w:r>
        <w:rPr/>
        <w:t xml:space="preserve">June 1, 2003 through May 31, 2008.  </w:t>
      </w:r>
    </w:p>
    <w:p>
      <w:pPr>
        <w:pStyle w:val="Normal"/>
        <w:tabs>
          <w:tab w:val="clear" w:pos="720"/>
          <w:tab w:val="left" w:pos="-90" w:leader="none"/>
        </w:tabs>
        <w:spacing w:before="0" w:after="360"/>
        <w:ind w:hanging="2880" w:start="2880" w:end="0"/>
        <w:jc w:val="both"/>
        <w:rPr/>
      </w:pPr>
      <w:r>
        <w:rPr>
          <w:b/>
        </w:rPr>
        <w:t>Energy Delivery Point:</w:t>
        <w:tab/>
      </w:r>
      <w:r>
        <w:rPr/>
        <w:t>The point of interconnection between the Facility and the ___ kV transmission system of Florida Power and Light (FP&amp;L).</w:t>
      </w:r>
    </w:p>
    <w:p>
      <w:pPr>
        <w:pStyle w:val="Normal"/>
        <w:tabs>
          <w:tab w:val="clear" w:pos="720"/>
          <w:tab w:val="left" w:pos="-90" w:leader="none"/>
        </w:tabs>
        <w:spacing w:before="0" w:after="360"/>
        <w:ind w:hanging="2880" w:start="2880" w:end="0"/>
        <w:jc w:val="both"/>
        <w:rPr/>
      </w:pPr>
      <w:r>
        <w:rPr>
          <w:b/>
        </w:rPr>
        <w:t>Gas Delivery Point (???):</w:t>
      </w:r>
      <w:r>
        <w:rPr/>
        <w:tab/>
        <w:t>The point of interconnection between the Facility and the nautral gas pipeline lateral which is interconnected with the Florida Gas Transmission pipeline system in St. Lucie County, Florida.  Seller is responsible for all gas purchases, nominations, gas imbalances, and penalties.</w:t>
      </w:r>
    </w:p>
    <w:p>
      <w:pPr>
        <w:pStyle w:val="Normal"/>
        <w:spacing w:before="0" w:after="360"/>
        <w:ind w:hanging="2880" w:start="2880" w:end="0"/>
        <w:jc w:val="both"/>
        <w:rPr>
          <w:rFonts w:ascii="Arial" w:hAnsi="Arial" w:cs="Arial"/>
          <w:sz w:val="22"/>
        </w:rPr>
      </w:pPr>
      <w:r>
        <w:rPr>
          <w:b/>
        </w:rPr>
        <w:t>Guaranteed Output:</w:t>
        <w:tab/>
      </w:r>
      <w:r>
        <w:rPr/>
        <w:t>185 MW of unit contingent energy</w:t>
      </w:r>
    </w:p>
    <w:p>
      <w:pPr>
        <w:pStyle w:val="Normal"/>
        <w:tabs>
          <w:tab w:val="clear" w:pos="720"/>
          <w:tab w:val="left" w:pos="-90" w:leader="none"/>
        </w:tabs>
        <w:spacing w:before="0" w:after="240"/>
        <w:ind w:hanging="2880" w:start="2880" w:end="0"/>
        <w:jc w:val="both"/>
        <w:rPr/>
      </w:pPr>
      <w:r>
        <w:rPr>
          <w:b/>
        </w:rPr>
        <w:t>Monthly Capacity Charge:</w:t>
      </w:r>
      <w:r>
        <w:rPr/>
        <w:tab/>
        <w:t xml:space="preserve">At the end of each month, Buyer shall pay Seller a Monthly Capacity Charge as stated below. </w:t>
      </w:r>
    </w:p>
    <w:p>
      <w:pPr>
        <w:pStyle w:val="BodyTextIndent3"/>
        <w:rPr/>
      </w:pPr>
      <w:r>
        <w:rPr>
          <w:b/>
          <w:sz w:val="20"/>
        </w:rPr>
        <w:tab/>
        <w:tab/>
      </w:r>
      <w:r>
        <w:rPr>
          <w:b/>
          <w:sz w:val="20"/>
          <w:u w:val="single"/>
        </w:rPr>
        <w:t>Month</w:t>
      </w:r>
      <w:r>
        <w:rPr>
          <w:b/>
          <w:sz w:val="20"/>
        </w:rPr>
        <w:tab/>
        <w:tab/>
        <w:tab/>
      </w:r>
      <w:r>
        <w:rPr>
          <w:b/>
          <w:sz w:val="20"/>
          <w:u w:val="single"/>
        </w:rPr>
        <w:t>$/kw-month</w:t>
      </w:r>
      <w:r>
        <w:rPr>
          <w:b/>
          <w:sz w:val="20"/>
        </w:rPr>
        <w:tab/>
        <w:tab/>
      </w:r>
      <w:r>
        <w:rPr>
          <w:b/>
          <w:sz w:val="20"/>
          <w:u w:val="single"/>
        </w:rPr>
        <w:t>$/month</w:t>
      </w:r>
    </w:p>
    <w:p>
      <w:pPr>
        <w:pStyle w:val="BodyTextIndent3"/>
        <w:rPr/>
      </w:pPr>
      <w:r>
        <w:rPr>
          <w:b/>
          <w:sz w:val="20"/>
        </w:rPr>
        <w:tab/>
        <w:tab/>
      </w:r>
      <w:r>
        <w:rPr>
          <w:bCs/>
          <w:sz w:val="20"/>
        </w:rPr>
        <w:t>July, August</w:t>
        <w:tab/>
        <w:tab/>
        <w:t xml:space="preserve">     $0.00</w:t>
        <w:tab/>
        <w:tab/>
        <w:tab/>
        <w:t>$0,000,000</w:t>
      </w:r>
    </w:p>
    <w:p>
      <w:pPr>
        <w:pStyle w:val="BodyTextIndent3"/>
        <w:rPr>
          <w:bCs/>
          <w:sz w:val="20"/>
        </w:rPr>
      </w:pPr>
      <w:r>
        <w:rPr>
          <w:bCs/>
          <w:sz w:val="20"/>
        </w:rPr>
        <w:tab/>
        <w:tab/>
        <w:t>May, July</w:t>
        <w:tab/>
        <w:tab/>
        <w:t xml:space="preserve">     $0.00</w:t>
        <w:tab/>
        <w:tab/>
        <w:tab/>
        <w:t>$0,000,000</w:t>
      </w:r>
    </w:p>
    <w:p>
      <w:pPr>
        <w:pStyle w:val="BodyTextIndent3"/>
        <w:spacing w:before="0" w:after="360"/>
        <w:rPr>
          <w:b/>
          <w:sz w:val="20"/>
        </w:rPr>
      </w:pPr>
      <w:r>
        <w:rPr>
          <w:bCs/>
          <w:sz w:val="20"/>
        </w:rPr>
        <w:tab/>
        <w:tab/>
        <w:t>September-April</w:t>
        <w:tab/>
        <w:tab/>
        <w:t xml:space="preserve">     $0.00</w:t>
        <w:tab/>
        <w:tab/>
        <w:tab/>
        <w:t>$000,000</w:t>
      </w:r>
    </w:p>
    <w:p>
      <w:pPr>
        <w:pStyle w:val="Normal"/>
        <w:tabs>
          <w:tab w:val="clear" w:pos="720"/>
          <w:tab w:val="left" w:pos="-90" w:leader="none"/>
        </w:tabs>
        <w:spacing w:before="0" w:after="240"/>
        <w:ind w:hanging="2880" w:start="2880" w:end="0"/>
        <w:jc w:val="both"/>
        <w:rPr/>
      </w:pPr>
      <w:r>
        <w:rPr>
          <w:b/>
        </w:rPr>
        <w:t>Energy Pricing:</w:t>
        <w:tab/>
      </w:r>
      <w:r>
        <w:rPr>
          <w:bCs/>
        </w:rPr>
        <w:t xml:space="preserve">Energy charge: </w:t>
        <w:tab/>
        <w:tab/>
        <w:t>Heat Rate x Fuel Index</w:t>
      </w:r>
    </w:p>
    <w:p>
      <w:pPr>
        <w:pStyle w:val="Normal"/>
        <w:tabs>
          <w:tab w:val="clear" w:pos="720"/>
          <w:tab w:val="left" w:pos="-90" w:leader="none"/>
        </w:tabs>
        <w:spacing w:before="0" w:after="240"/>
        <w:ind w:hanging="2880" w:start="2880" w:end="0"/>
        <w:jc w:val="both"/>
        <w:rPr>
          <w:bCs/>
        </w:rPr>
      </w:pPr>
      <w:r>
        <w:rPr>
          <w:bCs/>
        </w:rPr>
        <w:tab/>
        <w:t>Heat Rate:</w:t>
        <w:tab/>
        <w:tab/>
        <w:t>6,690 Btu/kWh</w:t>
      </w:r>
    </w:p>
    <w:p>
      <w:pPr>
        <w:pStyle w:val="Normal"/>
        <w:tabs>
          <w:tab w:val="clear" w:pos="720"/>
          <w:tab w:val="left" w:pos="-90" w:leader="none"/>
        </w:tabs>
        <w:ind w:hanging="2880" w:start="2880" w:end="0"/>
        <w:jc w:val="both"/>
        <w:rPr>
          <w:bCs/>
        </w:rPr>
      </w:pPr>
      <w:r>
        <w:rPr>
          <w:bCs/>
        </w:rPr>
        <w:tab/>
        <w:t>Fuel Index:</w:t>
        <w:tab/>
        <w:tab/>
        <w:t>$.77/mmbtu + FGT Z2 Midpoint under the</w:t>
      </w:r>
    </w:p>
    <w:p>
      <w:pPr>
        <w:pStyle w:val="Normal"/>
        <w:tabs>
          <w:tab w:val="clear" w:pos="720"/>
          <w:tab w:val="left" w:pos="-90" w:leader="none"/>
        </w:tabs>
        <w:spacing w:before="0" w:after="360"/>
        <w:ind w:start="5040" w:end="0"/>
        <w:jc w:val="both"/>
        <w:rPr>
          <w:bCs/>
        </w:rPr>
      </w:pPr>
      <w:r>
        <w:rPr>
          <w:bCs/>
        </w:rPr>
        <w:t>heading Louisiana - Onshore South as published by Gas Daily</w:t>
      </w:r>
    </w:p>
    <w:p>
      <w:pPr>
        <w:pStyle w:val="Normal"/>
        <w:tabs>
          <w:tab w:val="clear" w:pos="720"/>
          <w:tab w:val="left" w:pos="-90" w:leader="none"/>
        </w:tabs>
        <w:spacing w:before="0" w:after="240"/>
        <w:ind w:hanging="2880" w:start="2880" w:end="-90"/>
        <w:jc w:val="both"/>
        <w:rPr/>
      </w:pPr>
      <w:r>
        <w:rPr>
          <w:b/>
        </w:rPr>
        <w:t>Operational Payment:</w:t>
        <w:tab/>
      </w:r>
      <w:r>
        <w:rPr>
          <w:bCs/>
        </w:rPr>
        <w:t>Variable O&amp;M Charge:</w:t>
        <w:tab/>
        <w:tab/>
        <w:t>$.67/MWh, Escalating 2.5%                                    annually</w:t>
      </w:r>
    </w:p>
    <w:p>
      <w:pPr>
        <w:pStyle w:val="Normal"/>
        <w:tabs>
          <w:tab w:val="clear" w:pos="720"/>
          <w:tab w:val="left" w:pos="-90" w:leader="none"/>
        </w:tabs>
        <w:spacing w:before="0" w:after="360"/>
        <w:ind w:hanging="2880" w:start="2880" w:end="0"/>
        <w:jc w:val="both"/>
        <w:rPr/>
      </w:pPr>
      <w:r>
        <w:rPr>
          <w:b/>
        </w:rPr>
        <w:tab/>
      </w:r>
      <w:r>
        <w:rPr>
          <w:bCs/>
        </w:rPr>
        <w:t>Per Start Charge:</w:t>
        <w:tab/>
        <w:tab/>
        <w:tab/>
        <w:t>$2,000</w:t>
      </w:r>
    </w:p>
    <w:p>
      <w:pPr>
        <w:pStyle w:val="Normal"/>
        <w:tabs>
          <w:tab w:val="clear" w:pos="720"/>
          <w:tab w:val="left" w:pos="-90" w:leader="none"/>
        </w:tabs>
        <w:spacing w:before="0" w:after="360"/>
        <w:ind w:hanging="2880" w:start="2880" w:end="0"/>
        <w:jc w:val="both"/>
        <w:rPr/>
      </w:pPr>
      <w:r>
        <w:rPr>
          <w:b/>
        </w:rPr>
        <w:t>Guaranteed Availability:</w:t>
      </w:r>
      <w:r>
        <w:rPr/>
        <w:tab/>
        <w:t>The Guaranteed Availability Factor (“GAF”) of the plant shall be 95% during the months of May, June, July, August, and September.</w:t>
      </w:r>
    </w:p>
    <w:p>
      <w:pPr>
        <w:pStyle w:val="Normal"/>
        <w:spacing w:before="0" w:after="240"/>
        <w:ind w:hanging="2880" w:start="2880" w:end="0"/>
        <w:jc w:val="both"/>
        <w:rPr/>
      </w:pPr>
      <w:r>
        <w:rPr>
          <w:b/>
        </w:rPr>
        <w:t>Actual Availability:</w:t>
        <w:tab/>
      </w:r>
      <w:r>
        <w:rPr/>
        <w:t>The Actual Availability Factor (“AAF”) shall be determined on a monthly basis by the following formula:</w:t>
      </w:r>
    </w:p>
    <w:p>
      <w:pPr>
        <w:pStyle w:val="Heading2"/>
        <w:ind w:firstLine="720" w:start="2160" w:end="0"/>
        <w:jc w:val="start"/>
        <w:rPr>
          <w:b/>
          <w:sz w:val="20"/>
        </w:rPr>
      </w:pPr>
      <w:r>
        <w:rPr>
          <w:b/>
          <w:sz w:val="20"/>
        </w:rPr>
        <w:t>AAF = ((PxC)-M)/(PxC)</w:t>
      </w:r>
    </w:p>
    <w:p>
      <w:pPr>
        <w:pStyle w:val="Header"/>
        <w:tabs>
          <w:tab w:val="clear" w:pos="4320"/>
          <w:tab w:val="clear" w:pos="8640"/>
        </w:tabs>
        <w:rPr>
          <w:b/>
          <w:sz w:val="20"/>
        </w:rPr>
      </w:pPr>
      <w:r>
        <w:rPr>
          <w:b/>
          <w:sz w:val="20"/>
        </w:rPr>
      </w:r>
    </w:p>
    <w:p>
      <w:pPr>
        <w:pStyle w:val="Normal"/>
        <w:ind w:start="2880" w:end="0"/>
        <w:rPr/>
      </w:pPr>
      <w:r>
        <w:rPr/>
        <w:t>Where:</w:t>
      </w:r>
    </w:p>
    <w:p>
      <w:pPr>
        <w:pStyle w:val="Normal"/>
        <w:spacing w:lineRule="atLeast" w:line="240"/>
        <w:ind w:start="2880" w:end="0"/>
        <w:rPr/>
      </w:pPr>
      <w:r>
        <w:rPr>
          <w:b/>
          <w:color w:val="000000"/>
        </w:rPr>
        <w:t>AAF</w:t>
      </w:r>
      <w:r>
        <w:rPr>
          <w:color w:val="000000"/>
        </w:rPr>
        <w:t xml:space="preserve"> = Actual Availability Factor.  This number is given as a whole number (all percentages are rounded to the nearest whole number e.g. 94.4% = 94%)</w:t>
      </w:r>
    </w:p>
    <w:p>
      <w:pPr>
        <w:pStyle w:val="Normal"/>
        <w:spacing w:lineRule="atLeast" w:line="240"/>
        <w:ind w:start="2880" w:end="0"/>
        <w:rPr/>
      </w:pPr>
      <w:r>
        <w:rPr>
          <w:b/>
          <w:color w:val="000000"/>
        </w:rPr>
        <w:t>P</w:t>
      </w:r>
      <w:r>
        <w:rPr>
          <w:color w:val="000000"/>
        </w:rPr>
        <w:t xml:space="preserve"> = the number of scheduled hours in a given month</w:t>
      </w:r>
    </w:p>
    <w:p>
      <w:pPr>
        <w:pStyle w:val="Normal"/>
        <w:spacing w:lineRule="atLeast" w:line="240"/>
        <w:ind w:start="2880" w:end="0"/>
        <w:rPr/>
      </w:pPr>
      <w:r>
        <w:rPr>
          <w:b/>
          <w:color w:val="000000"/>
        </w:rPr>
        <w:t>C</w:t>
      </w:r>
      <w:r>
        <w:rPr>
          <w:color w:val="000000"/>
        </w:rPr>
        <w:t xml:space="preserve"> = the Guaranteed Output for that month (in units of MWs)</w:t>
      </w:r>
    </w:p>
    <w:p>
      <w:pPr>
        <w:pStyle w:val="Normal"/>
        <w:spacing w:lineRule="atLeast" w:line="240"/>
        <w:ind w:start="2880" w:end="0"/>
        <w:rPr/>
      </w:pPr>
      <w:r>
        <w:rPr>
          <w:b/>
        </w:rPr>
        <w:t>M</w:t>
      </w:r>
      <w:r>
        <w:rPr/>
        <w:t xml:space="preserve"> = the cumulative number of MWhs scheduled during All Hours by the Buyer that the Seller fails to deliver during the month.</w:t>
      </w:r>
    </w:p>
    <w:p>
      <w:pPr>
        <w:pStyle w:val="Normal"/>
        <w:spacing w:lineRule="atLeast" w:line="240"/>
        <w:ind w:start="2880" w:end="0"/>
        <w:rPr>
          <w:b/>
        </w:rPr>
      </w:pPr>
      <w:r>
        <w:rPr>
          <w:b/>
        </w:rPr>
      </w:r>
    </w:p>
    <w:p>
      <w:pPr>
        <w:pStyle w:val="BodyTextIndent3"/>
        <w:spacing w:before="120" w:after="120"/>
        <w:rPr>
          <w:color w:val="000000"/>
          <w:sz w:val="20"/>
        </w:rPr>
      </w:pPr>
      <w:r>
        <w:rPr>
          <w:b/>
          <w:sz w:val="20"/>
        </w:rPr>
        <w:t>Capacity Charge Refund:</w:t>
        <w:tab/>
      </w:r>
      <w:r>
        <w:rPr>
          <w:bCs/>
          <w:sz w:val="20"/>
        </w:rPr>
        <w:t xml:space="preserve">If the GAF exceeds the AAF, a Capacity Charge Refund (“CCR”) will be calculated by the formula below.  The CCR amount shall be paid by the Seller to the Buyer.  </w:t>
      </w:r>
    </w:p>
    <w:p>
      <w:pPr>
        <w:pStyle w:val="Normal"/>
        <w:rPr/>
      </w:pPr>
      <w:r>
        <mc:AlternateContent>
          <mc:Choice Requires="wps">
            <w:drawing>
              <wp:anchor behindDoc="0" distT="0" distB="0" distL="114935" distR="114935" simplePos="0" locked="0" layoutInCell="1" allowOverlap="1" relativeHeight="5">
                <wp:simplePos x="0" y="0"/>
                <wp:positionH relativeFrom="column">
                  <wp:posOffset>2752725</wp:posOffset>
                </wp:positionH>
                <wp:positionV relativeFrom="paragraph">
                  <wp:posOffset>32385</wp:posOffset>
                </wp:positionV>
                <wp:extent cx="1095375" cy="438150"/>
                <wp:effectExtent l="5715" t="5080" r="5080" b="5715"/>
                <wp:wrapNone/>
                <wp:docPr id="1" name=""/>
                <a:graphic xmlns:a="http://schemas.openxmlformats.org/drawingml/2006/main">
                  <a:graphicData uri="http://schemas.microsoft.com/office/word/2010/wordprocessingShape">
                    <wps:wsp>
                      <wps:cNvSpPr/>
                      <wps:spPr>
                        <a:xfrm>
                          <a:off x="0" y="0"/>
                          <a:ext cx="1095480" cy="438120"/>
                        </a:xfrm>
                        <a:prstGeom prst="bracketPair">
                          <a:avLst>
                            <a:gd name="adj" fmla="val 17129"/>
                          </a:avLst>
                        </a:prstGeom>
                        <a:noFill/>
                        <a:ln w="9360">
                          <a:solidFill>
                            <a:srgbClr val="000000"/>
                          </a:solidFill>
                          <a:miter/>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stroked="t" o:allowincell="f" style="position:absolute;margin-left:216.75pt;margin-top:2.55pt;width:86.2pt;height:34.45pt;mso-wrap-style:none;v-text-anchor:middle" type="_x0000_t185">
                <v:fill o:detectmouseclick="t" on="false"/>
                <v:stroke color="black" weight="9360" joinstyle="miter" endcap="flat"/>
                <w10:wrap type="none"/>
              </v:shape>
            </w:pict>
          </mc:Fallback>
        </mc:AlternateContent>
      </w:r>
      <w:r>
        <w:rPr/>
        <w:tab/>
        <w:tab/>
        <w:tab/>
        <w:t xml:space="preserve">                </w:t>
        <w:tab/>
        <w:tab/>
        <w:tab/>
        <w:t xml:space="preserve">          </w:t>
        <w:tab/>
        <w:t xml:space="preserve">       </w:t>
      </w:r>
      <w:r>
        <w:rPr>
          <w:b/>
          <w:bCs/>
        </w:rPr>
        <w:t>RC</w:t>
      </w:r>
    </w:p>
    <w:p>
      <w:pPr>
        <w:pStyle w:val="Normal"/>
        <w:ind w:firstLine="720" w:start="2160" w:end="0"/>
        <w:rPr/>
      </w:pPr>
      <w:r>
        <w:rPr>
          <w:b/>
          <w:bCs/>
        </w:rPr>
        <w:t xml:space="preserve">CCR   = </w:t>
      </w:r>
      <w:r>
        <w:rPr>
          <w:b/>
          <w:bCs/>
          <w:u w:val="single"/>
        </w:rPr>
        <w:t xml:space="preserve">  CP  </w:t>
      </w:r>
      <w:r>
        <w:rPr>
          <w:b/>
          <w:bCs/>
        </w:rPr>
        <w:t xml:space="preserve"> x    (GAF-AAF) x 100  </w:t>
        <w:tab/>
        <w:t>+ .1</w:t>
      </w:r>
    </w:p>
    <w:p>
      <w:pPr>
        <w:pStyle w:val="Normal"/>
        <w:rPr>
          <w:b/>
          <w:bCs/>
        </w:rPr>
      </w:pPr>
      <w:r>
        <w:rPr>
          <w:b/>
          <w:bCs/>
        </w:rPr>
        <w:t xml:space="preserve">    </w:t>
      </w:r>
      <w:r>
        <w:rPr>
          <w:b/>
          <w:bCs/>
        </w:rPr>
        <w:tab/>
        <w:tab/>
        <w:tab/>
        <w:tab/>
        <w:tab/>
        <w:t xml:space="preserve">  100</w:t>
      </w:r>
    </w:p>
    <w:p>
      <w:pPr>
        <w:pStyle w:val="BodyTextIndent3"/>
        <w:spacing w:before="120" w:after="0"/>
        <w:ind w:hanging="0" w:end="0"/>
        <w:rPr>
          <w:b/>
          <w:bCs/>
          <w:sz w:val="20"/>
        </w:rPr>
      </w:pPr>
      <w:r>
        <w:rPr>
          <w:b/>
          <w:bCs/>
          <w:sz w:val="20"/>
        </w:rPr>
      </w:r>
    </w:p>
    <w:p>
      <w:pPr>
        <w:pStyle w:val="BodyTextIndent3"/>
        <w:spacing w:before="120" w:after="120"/>
        <w:ind w:hanging="0" w:end="0"/>
        <w:rPr/>
      </w:pPr>
      <w:r>
        <w:rPr>
          <w:b/>
          <w:bCs/>
          <w:sz w:val="20"/>
        </w:rPr>
        <w:t>RC</w:t>
      </w:r>
      <w:r>
        <w:rPr>
          <w:sz w:val="20"/>
        </w:rPr>
        <w:t xml:space="preserve"> = 1.5 (Refund Coefficient)</w:t>
      </w:r>
    </w:p>
    <w:p>
      <w:pPr>
        <w:pStyle w:val="BodyTextIndent3"/>
        <w:spacing w:before="0" w:after="240"/>
        <w:ind w:hanging="0" w:end="0"/>
        <w:rPr/>
      </w:pPr>
      <w:r>
        <w:rPr>
          <w:b/>
          <w:bCs/>
          <w:sz w:val="20"/>
        </w:rPr>
        <w:t>CP</w:t>
      </w:r>
      <w:r>
        <w:rPr>
          <w:sz w:val="20"/>
        </w:rPr>
        <w:t xml:space="preserve"> = Monthly Capacity Payment for the month</w:t>
      </w:r>
    </w:p>
    <w:p>
      <w:pPr>
        <w:pStyle w:val="Normal"/>
        <w:tabs>
          <w:tab w:val="clear" w:pos="720"/>
          <w:tab w:val="left" w:pos="90" w:leader="none"/>
        </w:tabs>
        <w:spacing w:before="0" w:after="360"/>
        <w:ind w:hanging="2880" w:start="2880" w:end="0"/>
        <w:jc w:val="both"/>
        <w:rPr>
          <w:b/>
        </w:rPr>
      </w:pPr>
      <w:r>
        <w:rPr>
          <w:b/>
        </w:rPr>
        <w:t>Transmission:</w:t>
        <w:tab/>
      </w:r>
      <w:r>
        <w:rPr/>
        <w:t>Seller will be responsible for securing all gas transportation to the Gas Delivery Point.  The Buyer will be responsible for securing all electric power transmission from the Energy Delivery Point.</w:t>
      </w:r>
    </w:p>
    <w:p>
      <w:pPr>
        <w:pStyle w:val="Normal"/>
        <w:spacing w:lineRule="atLeast" w:line="240"/>
        <w:ind w:hanging="2880" w:start="2880" w:end="0"/>
        <w:rPr>
          <w:color w:val="000000"/>
        </w:rPr>
      </w:pPr>
      <w:r>
        <w:rPr>
          <w:b/>
        </w:rPr>
        <w:t>Energy Scheduling:</w:t>
        <w:tab/>
      </w:r>
      <w:r>
        <w:rPr/>
        <w:t>Buyer would have intra-day scheduling capability with a minimum three-hour notification requirement within a defined Peak Period</w:t>
      </w:r>
      <w:r>
        <w:rPr>
          <w:color w:val="000000"/>
        </w:rPr>
        <w:t xml:space="preserve">, where peak hours are HE 0800-2300 Sunday through Saturday EPT </w:t>
      </w:r>
      <w:r>
        <w:rPr/>
        <w:t>(minimum five hours notification if called outside the defined Peak Period).  Each energy schedule, once accepted by the Seller, would not be subject to curtailment for economic reasons.</w:t>
      </w:r>
    </w:p>
    <w:p>
      <w:pPr>
        <w:pStyle w:val="Normal"/>
        <w:spacing w:lineRule="atLeast" w:line="240"/>
        <w:ind w:hanging="2880" w:start="2880" w:end="0"/>
        <w:rPr>
          <w:color w:val="000000"/>
        </w:rPr>
      </w:pPr>
      <w:r>
        <w:rPr>
          <w:color w:val="000000"/>
        </w:rPr>
      </w:r>
    </w:p>
    <w:p>
      <w:pPr>
        <w:pStyle w:val="BodyTextIndent3"/>
        <w:spacing w:before="120" w:after="240"/>
        <w:rPr/>
      </w:pPr>
      <w:r>
        <w:rPr>
          <w:b/>
          <w:sz w:val="20"/>
        </w:rPr>
        <w:t>Operating Limitations(???):</w:t>
      </w:r>
      <w:r>
        <w:rPr>
          <w:sz w:val="20"/>
        </w:rPr>
        <w:tab/>
        <w:t>Operating limitations for Buyer are:  (a) maximum two starts per Unit per day, (b) minimum four hours run time per Unit start, (c) maximum average of 3500 hours run time per calendar year per Unit during the Term of the Agreement, and (d) maximum ___ starts per Unit per year.</w:t>
      </w:r>
    </w:p>
    <w:p>
      <w:pPr>
        <w:pStyle w:val="BodyTextIndent3"/>
        <w:spacing w:before="120" w:after="240"/>
        <w:rPr/>
      </w:pPr>
      <w:r>
        <w:rPr>
          <w:b/>
          <w:sz w:val="20"/>
        </w:rPr>
        <w:t>Scheduled Outages:</w:t>
      </w:r>
      <w:r>
        <w:rPr>
          <w:sz w:val="20"/>
        </w:rPr>
        <w:tab/>
        <w:t xml:space="preserve">Seller may schedule up to 25 twenty-four hour periods per year for each Unit during the months of March, April, October, November, or December to perform scheduled maintenance as Scheduled Outages constituting excused delivery.  Seller shall deliver written notice to buyer of such scheduled maintenance a minimum of 30 days prior to commencing such notice.  No scheduled outages shall occur during the months of May, June, July, August, or September. </w:t>
      </w:r>
    </w:p>
    <w:p>
      <w:pPr>
        <w:pStyle w:val="Normal"/>
        <w:ind w:hanging="2880" w:start="2880" w:end="0"/>
        <w:rPr/>
      </w:pPr>
      <w:r>
        <w:rPr>
          <w:b/>
        </w:rPr>
        <w:t>Confidentiality:</w:t>
        <w:tab/>
      </w:r>
      <w:r>
        <w:rPr/>
        <w:t>All terms and conditions contained in this Draft Term Sheet and the information contained in the accompanying Information Memorandum, are confidential between EPMI, the recipents, and their duly appointed representatives, and shall not be disclosed to third parties.</w:t>
      </w:r>
    </w:p>
    <w:p>
      <w:pPr>
        <w:pStyle w:val="BodyTextIndent3"/>
        <w:spacing w:before="120" w:after="240"/>
        <w:rPr>
          <w:sz w:val="20"/>
        </w:rPr>
      </w:pPr>
      <w:r>
        <w:rPr>
          <w:sz w:val="20"/>
        </w:rPr>
      </w:r>
    </w:p>
    <w:p>
      <w:pPr>
        <w:pStyle w:val="BodyText"/>
        <w:rPr>
          <w:b/>
          <w:i/>
          <w:i/>
          <w:sz w:val="20"/>
        </w:rPr>
      </w:pPr>
      <w:r>
        <w:rPr>
          <w:b/>
          <w:i/>
          <w:sz w:val="20"/>
        </w:rPr>
        <w:t>The prices and terms of this Draft Term Sheet are subject to change until a definitive agreement is reached, if any.  This Draft Term Sheet is for discussion purposes only, to facilitate the negotiation, preparation, and execution of a definitive agreement. This is not an offer or commitment of Seller or any of its affiliates to enter into any transaction.  The transaction described herein is subject to further review and approval of the Board of Directors of Seller and Buyer, and execution of a definitive agreement containing all appropriate provisions, including those related to events of default and remedies, dispute resolution, limitations of damages, credit, confidentiality, governing law and environmental matters.  Neither party shall disclose the terms and provisions of this Draft Term Sheet to any third party.</w:t>
      </w:r>
    </w:p>
    <w:sectPr>
      <w:headerReference w:type="default" r:id="rId2"/>
      <w:headerReference w:type="first" r:id="rId3"/>
      <w:footerReference w:type="default" r:id="rId4"/>
      <w:footerReference w:type="first" r:id="rId5"/>
      <w:type w:val="nextPage"/>
      <w:pgSz w:w="12240" w:h="15840"/>
      <w:pgMar w:left="1800" w:right="1800" w:gutter="0" w:header="720" w:top="1728" w:footer="720" w:bottom="172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47.6pt;margin-top:9.1pt;width:33.85pt;height:34pt;mso-wrap-distance-left:9.05pt;mso-wrap-distance-right:9.05pt;mso-position-horizontal-relative:text;mso-position-vertical-relative:text" filled="f" o:ole="">
          <v:imagedata r:id="rId2" o:title=""/>
          <w10:wrap type="topAndBottom"/>
        </v:shape>
        <o:OLEObject Type="Embed" ProgID="" ShapeID="ole_rId1" DrawAspect="Content" ObjectID="_1472732314" r:id="rId1"/>
      </w:objec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object w:dxaOrig="4500" w:dyaOrig="45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35.6pt;margin-top:-2.9pt;width:33.85pt;height:34pt;mso-wrap-distance-left:9.05pt;mso-wrap-distance-right:9.05pt;mso-position-horizontal-relative:text;mso-position-vertical-relative:text" filled="f" o:ole="">
          <v:imagedata r:id="rId2" o:title=""/>
          <w10:wrap type="topAndBottom"/>
        </v:shape>
        <o:OLEObject Type="Embed" ProgID="" ShapeID="ole_rId1" DrawAspect="Content" ObjectID="_1610274351" r:id="rId1"/>
      </w:object>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2"/>
      </w:rPr>
    </w:pPr>
    <w:r>
      <w:rPr>
        <w:b/>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2"/>
      </w:rPr>
    </w:pPr>
    <w:r>
      <w:rPr>
        <w:b/>
        <w:sz w:val="22"/>
      </w:rPr>
      <w:t>Proprietary &amp; Confidential Information</w:t>
    </w:r>
  </w:p>
  <w:p>
    <w:pPr>
      <w:pStyle w:val="Header"/>
      <w:jc w:val="center"/>
      <w:rPr>
        <w:b/>
        <w:sz w:val="28"/>
      </w:rPr>
    </w:pPr>
    <w:r>
      <w:rPr>
        <w:b/>
        <w:sz w:val="28"/>
      </w:rPr>
    </w:r>
  </w:p>
  <w:p>
    <w:pPr>
      <w:pStyle w:val="Header"/>
      <w:jc w:val="center"/>
      <w:rPr>
        <w:b/>
        <w:sz w:val="28"/>
      </w:rPr>
    </w:pPr>
    <w:r>
      <w:rPr>
        <w:b/>
        <w:sz w:val="28"/>
      </w:rPr>
      <w:t>Draft Term Sheet</w:t>
    </w:r>
  </w:p>
  <w:p>
    <w:pPr>
      <w:pStyle w:val="Header"/>
      <w:jc w:val="center"/>
      <w:rPr>
        <w:b/>
        <w:sz w:val="22"/>
      </w:rPr>
    </w:pPr>
    <w:r>
      <w:rPr>
        <w:b/>
        <w:sz w:val="22"/>
      </w:rPr>
      <w:t>Midway Peaking Facility</w:t>
    </w:r>
  </w:p>
  <w:p>
    <w:pPr>
      <w:pStyle w:val="Header"/>
      <w:jc w:val="center"/>
      <w:rPr>
        <w:b/>
        <w:sz w:val="22"/>
      </w:rPr>
    </w:pPr>
    <w:r>
      <w:rPr>
        <w:b/>
        <w:sz w:val="22"/>
      </w:rPr>
      <w:t>Enron Power Marketing Inc.</w:t>
    </w:r>
  </w:p>
  <w:p>
    <w:pPr>
      <w:pStyle w:val="Header"/>
      <w:jc w:val="center"/>
      <w:rPr>
        <w:b/>
        <w:sz w:val="22"/>
      </w:rPr>
    </w:pPr>
    <w:r>
      <w:rPr>
        <w:b/>
        <w:sz w:val="22"/>
      </w:rPr>
      <w:t>04/19/01</w:t>
    </w:r>
  </w:p>
  <w:p>
    <w:pPr>
      <w:pStyle w:val="Header"/>
      <w:jc w:val="center"/>
      <w:rPr>
        <w:b/>
        <w:sz w:val="22"/>
      </w:rPr>
    </w:pPr>
    <w:r>
      <w:rPr>
        <w:b/>
        <w:sz w:val="22"/>
      </w:rPr>
    </w:r>
  </w:p>
  <w:p>
    <w:pPr>
      <w:pStyle w:val="Header"/>
      <w:rPr>
        <w:b/>
        <w:sz w:val="22"/>
      </w:rPr>
    </w:pPr>
    <w:r>
      <w:rPr>
        <w:b/>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4">
    <w:name w:val="heading 4"/>
    <w:basedOn w:val="Normal"/>
    <w:next w:val="Normal"/>
    <w:qFormat/>
    <w:pPr>
      <w:keepNext w:val="true"/>
      <w:numPr>
        <w:ilvl w:val="3"/>
        <w:numId w:val="1"/>
      </w:numPr>
      <w:tabs>
        <w:tab w:val="clear" w:pos="720"/>
        <w:tab w:val="left" w:pos="-90" w:leader="none"/>
      </w:tabs>
      <w:ind w:hanging="2880" w:start="2880" w:end="0"/>
      <w:outlineLvl w:val="3"/>
    </w:pPr>
    <w:rPr>
      <w:b/>
      <w:sz w:val="24"/>
    </w:rPr>
  </w:style>
  <w:style w:type="paragraph" w:styleId="Heading5">
    <w:name w:val="heading 5"/>
    <w:basedOn w:val="Normal"/>
    <w:next w:val="Normal"/>
    <w:qFormat/>
    <w:pPr>
      <w:keepNext w:val="true"/>
      <w:numPr>
        <w:ilvl w:val="4"/>
        <w:numId w:val="1"/>
      </w:numPr>
      <w:tabs>
        <w:tab w:val="clear" w:pos="720"/>
        <w:tab w:val="left" w:pos="90" w:leader="none"/>
      </w:tabs>
      <w:ind w:hanging="2880" w:start="2880" w:end="0"/>
      <w:jc w:val="both"/>
      <w:outlineLvl w:val="4"/>
    </w:pPr>
    <w:rPr>
      <w:b/>
      <w:sz w:val="22"/>
    </w:rPr>
  </w:style>
  <w:style w:type="paragraph" w:styleId="Heading6">
    <w:name w:val="heading 6"/>
    <w:basedOn w:val="Normal"/>
    <w:next w:val="Normal"/>
    <w:qFormat/>
    <w:pPr>
      <w:keepNext w:val="true"/>
      <w:numPr>
        <w:ilvl w:val="5"/>
        <w:numId w:val="1"/>
      </w:numPr>
      <w:outlineLvl w:val="5"/>
    </w:pPr>
    <w:rPr>
      <w:b/>
    </w:rPr>
  </w:style>
  <w:style w:type="paragraph" w:styleId="Heading7">
    <w:name w:val="heading 7"/>
    <w:basedOn w:val="Normal"/>
    <w:next w:val="Normal"/>
    <w:qFormat/>
    <w:pPr>
      <w:keepNext w:val="true"/>
      <w:numPr>
        <w:ilvl w:val="6"/>
        <w:numId w:val="1"/>
      </w:numPr>
      <w:tabs>
        <w:tab w:val="clear" w:pos="720"/>
        <w:tab w:val="left" w:pos="90" w:leader="none"/>
      </w:tabs>
      <w:jc w:val="both"/>
      <w:outlineLvl w:val="6"/>
    </w:pPr>
    <w:rPr>
      <w:b/>
      <w:sz w:val="22"/>
    </w:rPr>
  </w:style>
  <w:style w:type="paragraph" w:styleId="Heading8">
    <w:name w:val="heading 8"/>
    <w:basedOn w:val="Normal"/>
    <w:next w:val="Normal"/>
    <w:qFormat/>
    <w:pPr>
      <w:keepNext w:val="true"/>
      <w:numPr>
        <w:ilvl w:val="7"/>
        <w:numId w:val="1"/>
      </w:numPr>
      <w:tabs>
        <w:tab w:val="left" w:pos="720" w:leader="none"/>
        <w:tab w:val="left" w:pos="1440" w:leader="none"/>
        <w:tab w:val="left" w:pos="2160" w:leader="none"/>
        <w:tab w:val="left" w:pos="5040" w:leader="none"/>
        <w:tab w:val="left" w:pos="5760" w:leader="none"/>
        <w:tab w:val="left" w:pos="6480" w:leader="none"/>
      </w:tabs>
      <w:jc w:val="center"/>
      <w:outlineLvl w:val="7"/>
    </w:pPr>
    <w:rPr>
      <w:szCs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spacing w:before="0" w:after="360"/>
      <w:jc w:val="center"/>
    </w:pPr>
    <w:rPr>
      <w:i/>
      <w:sz w:val="22"/>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rPr>
      <w:sz w:val="22"/>
    </w:rPr>
  </w:style>
  <w:style w:type="paragraph" w:styleId="BodyTextIndent2">
    <w:name w:val="Body Text Indent 2"/>
    <w:basedOn w:val="Normal"/>
    <w:qFormat/>
    <w:pPr>
      <w:ind w:hanging="0" w:start="2880" w:end="0"/>
      <w:jc w:val="both"/>
    </w:pPr>
    <w:rPr>
      <w:sz w:val="18"/>
    </w:rPr>
  </w:style>
  <w:style w:type="paragraph" w:styleId="BodyTextIndent3">
    <w:name w:val="Body Text Indent 3"/>
    <w:basedOn w:val="Normal"/>
    <w:qFormat/>
    <w:pPr>
      <w:tabs>
        <w:tab w:val="clear" w:pos="720"/>
        <w:tab w:val="left" w:pos="90" w:leader="none"/>
      </w:tabs>
      <w:ind w:hanging="2880" w:start="2880" w:end="0"/>
      <w:jc w:val="both"/>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_rels/foot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2001-04-27T18:33:00Z</dcterms:created>
  <dc:creator>mweaver</dc:creator>
  <dc:description/>
  <dc:language>en-CA</dc:language>
  <cp:lastModifiedBy>ecross</cp:lastModifiedBy>
  <cp:lastPrinted>2001-04-27T11:40:00Z</cp:lastPrinted>
  <dcterms:modified xsi:type="dcterms:W3CDTF">2001-04-30T11:34:00Z</dcterms:modified>
  <cp:revision>10</cp:revision>
  <dc:subject/>
  <dc:title>November 14, 1997</dc:title>
</cp:coreProperties>
</file>