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Article of Nikkei Financial Daily May/9/2001</w:t>
      </w:r>
    </w:p>
    <w:p>
      <w:pPr>
        <w:pStyle w:val="Normal"/>
        <w:rPr>
          <w:b/>
        </w:rPr>
      </w:pPr>
      <w:r>
        <w:rPr>
          <w:b/>
        </w:rPr>
      </w:r>
    </w:p>
    <w:p>
      <w:pPr>
        <w:pStyle w:val="Normal"/>
        <w:ind w:firstLine="540" w:end="0"/>
        <w:rPr/>
      </w:pPr>
      <w:r>
        <w:rPr/>
        <w:t xml:space="preserve">A </w:t>
      </w:r>
      <w:r>
        <w:rPr/>
        <w:t>risk</w:t>
      </w:r>
      <w:r>
        <w:rPr/>
        <w:t xml:space="preserve"> management technique with financial engineering becomes more significant with progress of information technology (IT). One of the most practical procedures is a transaction of option. </w:t>
      </w:r>
    </w:p>
    <w:p>
      <w:pPr>
        <w:pStyle w:val="Normal"/>
        <w:ind w:firstLine="540" w:end="0"/>
        <w:rPr/>
      </w:pPr>
      <w:r>
        <w:rPr/>
        <w:t xml:space="preserve">In 1973, Black and Scholes proposed their option pricing formula and option </w:t>
      </w:r>
      <w:r>
        <w:rPr/>
        <w:t>market for</w:t>
      </w:r>
      <w:r>
        <w:rPr/>
        <w:t xml:space="preserve"> stock and stock indices drastically grew. The option is a derivative product of underlying assets, whose prices frequently change in a free market. The option is applicable to other assets such as interests, exchange ratio of foreign currency and so on. The option market, therefore, will extend more and more. </w:t>
      </w:r>
    </w:p>
    <w:p>
      <w:pPr>
        <w:pStyle w:val="Normal"/>
        <w:rPr/>
      </w:pPr>
      <w:r>
        <w:rPr/>
      </w:r>
    </w:p>
    <w:p>
      <w:pPr>
        <w:pStyle w:val="Normal"/>
        <w:rPr/>
      </w:pPr>
      <w:r>
        <w:rPr/>
        <w:t xml:space="preserve">[Progress of </w:t>
      </w:r>
      <w:r>
        <w:rPr/>
        <w:t>financial</w:t>
      </w:r>
      <w:r>
        <w:rPr/>
        <w:t xml:space="preserve"> technology]</w:t>
      </w:r>
    </w:p>
    <w:p>
      <w:pPr>
        <w:pStyle w:val="Normal"/>
        <w:ind w:firstLine="540" w:end="0"/>
        <w:rPr/>
      </w:pPr>
      <w:r>
        <w:rPr/>
        <w:t xml:space="preserve">Knowledge of stochastic process as well as finances is required for option pricing. The stochastic process is utilized in many fields of manufacturers. The technologies of manufacturers have been introduced to the fields of </w:t>
      </w:r>
      <w:r>
        <w:rPr/>
        <w:t>finances,</w:t>
      </w:r>
      <w:r>
        <w:rPr/>
        <w:t xml:space="preserve"> as financial engineering and transaction procedures become more sophisticated. </w:t>
      </w:r>
    </w:p>
    <w:p>
      <w:pPr>
        <w:pStyle w:val="Normal"/>
        <w:ind w:firstLine="540" w:end="0"/>
        <w:rPr/>
      </w:pPr>
      <w:r>
        <w:rPr/>
        <w:t xml:space="preserve">In Japan, the option transactions have a volume of about five billion yen by a day. The volume, however, reaches less than one percent of their potentials. The Black-Scholes formula has an advantage of simplicity with respect to stochastic process but is sometime discrepant with actual market. The discrepancy becomes a model risk and an obstacle to growth of option markets. </w:t>
      </w:r>
    </w:p>
    <w:p>
      <w:pPr>
        <w:pStyle w:val="Normal"/>
        <w:ind w:firstLine="540" w:end="0"/>
        <w:rPr/>
      </w:pPr>
      <w:r>
        <w:rPr/>
        <w:t xml:space="preserve">The disadvantages of Black-Scholes model are </w:t>
      </w:r>
      <w:r>
        <w:rPr/>
        <w:t>considered</w:t>
      </w:r>
      <w:r>
        <w:rPr/>
        <w:t xml:space="preserve"> as the assumption of smooth market, where stops of transaction do not exist, and adoption of normal distribution for price fluctuations. The most </w:t>
      </w:r>
      <w:r>
        <w:rPr/>
        <w:t>severe</w:t>
      </w:r>
      <w:r>
        <w:rPr/>
        <w:t xml:space="preserve"> problem, however, is in the financial </w:t>
      </w:r>
      <w:r>
        <w:rPr/>
        <w:t>engineer’s</w:t>
      </w:r>
      <w:r>
        <w:rPr/>
        <w:t xml:space="preserve"> cognition. The financial engineers almost think that the not normal parts are composed of not smooth transactions and option prices cannot be evaluated in accurate. </w:t>
      </w:r>
    </w:p>
    <w:p>
      <w:pPr>
        <w:pStyle w:val="Normal"/>
        <w:ind w:firstLine="540" w:end="0"/>
        <w:rPr/>
      </w:pPr>
      <w:r>
        <w:rPr/>
        <w:t xml:space="preserve">The transactions, however, are performed more active in the not normal parts. If more advanced method is developed, it is expected that the not normal parts can be </w:t>
      </w:r>
      <w:r>
        <w:rPr/>
        <w:t>described</w:t>
      </w:r>
      <w:r>
        <w:rPr/>
        <w:t xml:space="preserve"> by the smooth market model and more accurate option pricing is capable.  </w:t>
      </w:r>
    </w:p>
    <w:p>
      <w:pPr>
        <w:pStyle w:val="Normal"/>
        <w:ind w:firstLine="540" w:end="0"/>
        <w:rPr/>
      </w:pPr>
      <w:r>
        <w:rPr/>
      </w:r>
    </w:p>
    <w:p>
      <w:pPr>
        <w:pStyle w:val="Normal"/>
        <w:rPr/>
      </w:pPr>
      <w:r>
        <w:rPr/>
        <w:t>[</w:t>
      </w:r>
      <w:r>
        <w:rPr>
          <w:rFonts w:cs="Bookman Old Style" w:ascii="Bookman Old Style" w:hAnsi="Bookman Old Style"/>
          <w:i/>
        </w:rPr>
        <w:t>Boltzmann</w:t>
      </w:r>
      <w:r>
        <w:rPr/>
        <w:t xml:space="preserve"> model]</w:t>
      </w:r>
    </w:p>
    <w:p>
      <w:pPr>
        <w:pStyle w:val="Normal"/>
        <w:ind w:firstLine="540" w:end="0"/>
        <w:rPr/>
      </w:pPr>
      <w:r>
        <w:rPr/>
        <w:t xml:space="preserve">A financial </w:t>
      </w:r>
      <w:r>
        <w:rPr>
          <w:rFonts w:cs="Bookman Old Style" w:ascii="Bookman Old Style" w:hAnsi="Bookman Old Style"/>
          <w:i/>
        </w:rPr>
        <w:t>Boltzmann</w:t>
      </w:r>
      <w:r>
        <w:rPr/>
        <w:t xml:space="preserve"> model is an extension of Black-Shcoles model and based on a neutron transport </w:t>
      </w:r>
      <w:r>
        <w:rPr>
          <w:rFonts w:cs="Bookman Old Style" w:ascii="Bookman Old Style" w:hAnsi="Bookman Old Style"/>
          <w:i/>
        </w:rPr>
        <w:t>Boltzmann</w:t>
      </w:r>
      <w:r>
        <w:rPr/>
        <w:t xml:space="preserve"> equation. The Black and Scholes assumed the ideal </w:t>
      </w:r>
      <w:r>
        <w:rPr>
          <w:rFonts w:cs="Bookman Old Style" w:ascii="Bookman Old Style" w:hAnsi="Bookman Old Style"/>
          <w:i/>
        </w:rPr>
        <w:t>Brownian</w:t>
      </w:r>
      <w:r>
        <w:rPr/>
        <w:t xml:space="preserve"> motion for the fluctuations of prices. The typical differential equation for ideal </w:t>
      </w:r>
      <w:r>
        <w:rPr>
          <w:rFonts w:cs="Bookman Old Style" w:ascii="Bookman Old Style" w:hAnsi="Bookman Old Style"/>
          <w:i/>
        </w:rPr>
        <w:t>Brownian</w:t>
      </w:r>
      <w:r>
        <w:rPr/>
        <w:t xml:space="preserve"> motion is a </w:t>
      </w:r>
      <w:r>
        <w:rPr>
          <w:rFonts w:cs="Bookman Old Style" w:ascii="Bookman Old Style" w:hAnsi="Bookman Old Style"/>
          <w:i/>
        </w:rPr>
        <w:t>Fokker-Planck</w:t>
      </w:r>
      <w:r>
        <w:rPr/>
        <w:t xml:space="preserve"> equation</w:t>
      </w:r>
      <w:r>
        <w:rPr/>
        <w:t>;</w:t>
      </w:r>
      <w:r>
        <w:rPr/>
        <w:t xml:space="preserve"> </w:t>
      </w:r>
      <w:r>
        <w:rPr/>
        <w:t>this</w:t>
      </w:r>
      <w:r>
        <w:rPr/>
        <w:t xml:space="preserve"> equation is categorized into diffusion equation. The diffusion equation succeeded in many physical fields. Heat conduction and neutron distribution in reactors can be represented fairly well by diffusion </w:t>
      </w:r>
      <w:r>
        <w:rPr/>
        <w:t>equation</w:t>
      </w:r>
      <w:r>
        <w:rPr/>
        <w:t xml:space="preserve">. It is well known that the diffusion equation is an approximation of </w:t>
      </w:r>
      <w:r>
        <w:rPr>
          <w:rFonts w:cs="Bookman Old Style" w:ascii="Bookman Old Style" w:hAnsi="Bookman Old Style"/>
          <w:i/>
        </w:rPr>
        <w:t>Boltzmann</w:t>
      </w:r>
      <w:r>
        <w:rPr/>
        <w:t xml:space="preserve"> equation. The difference between </w:t>
      </w:r>
      <w:r>
        <w:rPr>
          <w:rFonts w:cs="Bookman Old Style" w:ascii="Bookman Old Style" w:hAnsi="Bookman Old Style"/>
          <w:i/>
        </w:rPr>
        <w:t>Boltzmann</w:t>
      </w:r>
      <w:r>
        <w:rPr/>
        <w:t xml:space="preserve"> and diffusion is in the different number of variables characterizing these equations. The diffusion equation is characterized by two variables </w:t>
      </w:r>
      <w:r>
        <w:rPr>
          <w:i/>
        </w:rPr>
        <w:t>x</w:t>
      </w:r>
      <w:r>
        <w:rPr/>
        <w:t xml:space="preserve"> and </w:t>
      </w:r>
      <w:r>
        <w:rPr>
          <w:i/>
        </w:rPr>
        <w:t>t</w:t>
      </w:r>
      <w:r>
        <w:rPr/>
        <w:t>. T</w:t>
      </w:r>
      <w:r>
        <w:rPr/>
        <w:t>hey</w:t>
      </w:r>
      <w:r>
        <w:rPr/>
        <w:t xml:space="preserve"> are </w:t>
      </w:r>
      <w:r>
        <w:rPr/>
        <w:t>corresponds</w:t>
      </w:r>
      <w:r>
        <w:rPr/>
        <w:t xml:space="preserve"> to the location and time, respectively. A velocity is added to </w:t>
      </w:r>
      <w:r>
        <w:rPr>
          <w:rFonts w:cs="Bookman Old Style" w:ascii="Bookman Old Style" w:hAnsi="Bookman Old Style"/>
          <w:i/>
        </w:rPr>
        <w:t>Boltzmann</w:t>
      </w:r>
      <w:r>
        <w:rPr/>
        <w:t xml:space="preserve"> equation. Since the number of </w:t>
      </w:r>
      <w:r>
        <w:rPr/>
        <w:t>variable</w:t>
      </w:r>
      <w:r>
        <w:rPr/>
        <w:t xml:space="preserve"> increase, it is possible for </w:t>
      </w:r>
      <w:r>
        <w:rPr>
          <w:rFonts w:cs="Bookman Old Style" w:ascii="Bookman Old Style" w:hAnsi="Bookman Old Style"/>
          <w:i/>
        </w:rPr>
        <w:t>Boltzmann</w:t>
      </w:r>
      <w:r>
        <w:rPr/>
        <w:t xml:space="preserve"> model to evaluate option prices more accurately. On the contrarily, it is very difficult to solve </w:t>
      </w:r>
      <w:r>
        <w:rPr>
          <w:rFonts w:cs="Bookman Old Style" w:ascii="Bookman Old Style" w:hAnsi="Bookman Old Style"/>
          <w:i/>
        </w:rPr>
        <w:t>Boltzmann</w:t>
      </w:r>
      <w:r>
        <w:rPr/>
        <w:t xml:space="preserve"> equation. Now, a </w:t>
      </w:r>
      <w:r>
        <w:rPr>
          <w:i/>
        </w:rPr>
        <w:t>Monte Carlo</w:t>
      </w:r>
      <w:r>
        <w:rPr/>
        <w:t xml:space="preserve"> method is the most practical solver for </w:t>
      </w:r>
      <w:r>
        <w:rPr>
          <w:rFonts w:cs="Bookman Old Style" w:ascii="Bookman Old Style" w:hAnsi="Bookman Old Style"/>
          <w:i/>
        </w:rPr>
        <w:t>Boltzmann</w:t>
      </w:r>
      <w:r>
        <w:rPr/>
        <w:t xml:space="preserve"> equation. </w:t>
      </w:r>
    </w:p>
    <w:p>
      <w:pPr>
        <w:pStyle w:val="Normal"/>
        <w:ind w:firstLine="540" w:end="0"/>
        <w:rPr/>
      </w:pPr>
      <w:r>
        <w:rPr/>
        <w:t xml:space="preserve">The clear </w:t>
      </w:r>
      <w:r>
        <w:rPr/>
        <w:t>specification</w:t>
      </w:r>
      <w:r>
        <w:rPr/>
        <w:t xml:space="preserve"> of velocity is required for </w:t>
      </w:r>
      <w:r>
        <w:rPr>
          <w:rFonts w:cs="Bookman Old Style" w:ascii="Bookman Old Style" w:hAnsi="Bookman Old Style"/>
          <w:i/>
        </w:rPr>
        <w:t>Boltzmann</w:t>
      </w:r>
      <w:r>
        <w:rPr/>
        <w:t xml:space="preserve"> model. The authors regard the velocity as a daily return of stock price. The details have been published in the JAFEE paper. Now, the authors verify clear correlation between velocity and a trading volume. </w:t>
      </w:r>
    </w:p>
    <w:p>
      <w:pPr>
        <w:pStyle w:val="Normal"/>
        <w:ind w:firstLine="540" w:end="0"/>
        <w:rPr/>
      </w:pPr>
      <w:r>
        <w:rPr/>
        <w:t xml:space="preserve">The authors show the time series of stock prices simulated by </w:t>
      </w:r>
      <w:r>
        <w:rPr>
          <w:rFonts w:cs="Bookman Old Style" w:ascii="Bookman Old Style" w:hAnsi="Bookman Old Style"/>
          <w:i/>
        </w:rPr>
        <w:t>Boltzmann</w:t>
      </w:r>
      <w:r>
        <w:rPr/>
        <w:t xml:space="preserve"> model in the figure. The </w:t>
      </w:r>
      <w:r>
        <w:rPr>
          <w:rFonts w:cs="Bookman Old Style" w:ascii="Bookman Old Style" w:hAnsi="Bookman Old Style"/>
          <w:i/>
        </w:rPr>
        <w:t>Boltzmann</w:t>
      </w:r>
      <w:r>
        <w:rPr/>
        <w:t xml:space="preserve"> model results in the </w:t>
      </w:r>
      <w:r>
        <w:rPr/>
        <w:t>price</w:t>
      </w:r>
      <w:r>
        <w:rPr/>
        <w:t xml:space="preserve"> fluctuation similar to actual case. The </w:t>
      </w:r>
      <w:r>
        <w:rPr>
          <w:rFonts w:cs="Bookman Old Style" w:ascii="Bookman Old Style" w:hAnsi="Bookman Old Style"/>
          <w:i/>
        </w:rPr>
        <w:t>Boltzmann</w:t>
      </w:r>
      <w:r>
        <w:rPr/>
        <w:t xml:space="preserve"> model can treat these large fluctuations as smooth and continuous and completely replicate them to option prices. The replicability of </w:t>
      </w:r>
      <w:r>
        <w:rPr>
          <w:rFonts w:cs="Bookman Old Style" w:ascii="Bookman Old Style" w:hAnsi="Bookman Old Style"/>
          <w:i/>
        </w:rPr>
        <w:t>Boltzmann</w:t>
      </w:r>
      <w:r>
        <w:rPr/>
        <w:t xml:space="preserve"> model has been authorized by nuclear reactor theory. </w:t>
      </w:r>
    </w:p>
    <w:p>
      <w:pPr>
        <w:pStyle w:val="Normal"/>
        <w:rPr/>
      </w:pPr>
      <w:r>
        <w:rPr/>
      </w:r>
    </w:p>
    <w:p>
      <w:pPr>
        <w:pStyle w:val="Normal"/>
        <w:rPr>
          <w:lang w:val="en-CA" w:eastAsia="en-CA"/>
        </w:rPr>
      </w:pPr>
      <w:r>
        <w:rPr>
          <w:lang w:val="en-CA" w:eastAsia="en-CA"/>
        </w:rPr>
        <w:object w:dxaOrig="8481" w:dyaOrig="491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9pt;margin-top:9pt;width:424.05pt;height:245.5pt;mso-wrap-distance-left:9.05pt;mso-wrap-distance-right:9.05pt;mso-position-horizontal-relative:text;mso-position-vertical-relative:text" filled="f" o:ole="">
            <v:imagedata r:id="rId3" o:title=""/>
          </v:shape>
          <o:OLEObject Type="Embed" ProgID="" ShapeID="ole_rId2" DrawAspect="Content" ObjectID="_271710978" r:id="rId2"/>
        </w:object>
      </w:r>
      <w:r>
        <w:br w:type="page"/>
      </w:r>
    </w:p>
    <w:p>
      <w:pPr>
        <w:pStyle w:val="Normal"/>
        <w:rPr/>
      </w:pPr>
      <w:r>
        <w:rPr/>
      </w:r>
    </w:p>
    <w:p>
      <w:pPr>
        <w:pStyle w:val="Normal"/>
        <w:rPr/>
      </w:pPr>
      <w:r>
        <w:rPr/>
        <w:t>[Extension to other financial products]</w:t>
      </w:r>
    </w:p>
    <w:p>
      <w:pPr>
        <w:pStyle w:val="Normal"/>
        <w:ind w:firstLine="540" w:end="0"/>
        <w:rPr/>
      </w:pPr>
      <w:r>
        <w:rPr/>
        <w:t xml:space="preserve">The </w:t>
      </w:r>
      <w:r>
        <w:rPr>
          <w:rFonts w:cs="Bookman Old Style" w:ascii="Bookman Old Style" w:hAnsi="Bookman Old Style"/>
          <w:i/>
        </w:rPr>
        <w:t>Boltzmann</w:t>
      </w:r>
      <w:r>
        <w:rPr/>
        <w:t xml:space="preserve"> model is characterized three parameters. One is deduced from daily returns. Others are done from daily returns and trading volumes. The superiority of </w:t>
      </w:r>
      <w:r>
        <w:rPr>
          <w:rFonts w:cs="Bookman Old Style" w:ascii="Bookman Old Style" w:hAnsi="Bookman Old Style"/>
          <w:i/>
        </w:rPr>
        <w:t>Boltzmann</w:t>
      </w:r>
      <w:r>
        <w:rPr/>
        <w:t xml:space="preserve"> model is in the pricing without actual option market data. The conventional procedures adjust the Black-Scholes option prices to actual option markets. The conventional procedures, therefore, cannot apply to the under development markets. The </w:t>
      </w:r>
      <w:r>
        <w:rPr>
          <w:rFonts w:cs="Bookman Old Style" w:ascii="Bookman Old Style" w:hAnsi="Bookman Old Style"/>
          <w:i/>
        </w:rPr>
        <w:t>Boltzmann</w:t>
      </w:r>
      <w:r>
        <w:rPr/>
        <w:t xml:space="preserve"> model provides reliable option prices to </w:t>
      </w:r>
      <w:r>
        <w:rPr/>
        <w:t>th</w:t>
      </w:r>
      <w:r>
        <w:rPr/>
        <w:t>ese</w:t>
      </w:r>
      <w:r>
        <w:rPr/>
        <w:t xml:space="preserve"> market</w:t>
      </w:r>
      <w:r>
        <w:rPr/>
        <w:t xml:space="preserve">s and will increase their transaction volumes. </w:t>
      </w:r>
    </w:p>
    <w:p>
      <w:pPr>
        <w:pStyle w:val="Normal"/>
        <w:ind w:firstLine="540" w:end="0"/>
        <w:rPr/>
      </w:pPr>
      <w:r>
        <w:rPr/>
        <w:t xml:space="preserve">The </w:t>
      </w:r>
      <w:r>
        <w:rPr>
          <w:rFonts w:cs="Bookman Old Style" w:ascii="Bookman Old Style" w:hAnsi="Bookman Old Style"/>
          <w:i/>
        </w:rPr>
        <w:t>Boltzmann</w:t>
      </w:r>
      <w:r>
        <w:rPr/>
        <w:t xml:space="preserve"> model is applicable any derivatives of under lying assets in any free markets. The authors intend to apply the </w:t>
      </w:r>
      <w:r>
        <w:rPr>
          <w:rFonts w:cs="Bookman Old Style" w:ascii="Bookman Old Style" w:hAnsi="Bookman Old Style"/>
          <w:i/>
        </w:rPr>
        <w:t>Boltzmann</w:t>
      </w:r>
      <w:r>
        <w:rPr/>
        <w:t xml:space="preserve"> model to the </w:t>
      </w:r>
      <w:r>
        <w:rPr/>
        <w:t>damage</w:t>
      </w:r>
      <w:r>
        <w:rPr/>
        <w:t xml:space="preserve"> </w:t>
      </w:r>
      <w:r>
        <w:rPr/>
        <w:t>insurance</w:t>
      </w:r>
      <w:r>
        <w:rPr/>
        <w:t xml:space="preserve"> and the over the counter market. </w:t>
      </w:r>
    </w:p>
    <w:p>
      <w:pPr>
        <w:pStyle w:val="Normal"/>
        <w:rPr/>
      </w:pPr>
      <w:r>
        <w:rPr/>
      </w:r>
    </w:p>
    <w:p>
      <w:pPr>
        <w:pStyle w:val="Normal"/>
        <w:rPr/>
      </w:pPr>
      <w:r>
        <w:rPr/>
      </w:r>
    </w:p>
    <w:p>
      <w:pPr>
        <w:pStyle w:val="Normal"/>
        <w:ind w:firstLine="540" w:end="0"/>
        <w:rPr/>
      </w:pPr>
      <w:r>
        <w:rPr/>
      </w:r>
    </w:p>
    <w:sectPr>
      <w:footerReference w:type="default" r:id="rId4"/>
      <w:type w:val="nextPage"/>
      <w:pgSz w:w="11906" w:h="16838"/>
      <w:pgMar w:left="1701" w:right="1701" w:gutter="0" w:header="0" w:top="1985" w:footer="72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 w:name="Liberation Sans">
    <w:altName w:val="Arial"/>
    <w:charset w:val="01" w:characterSet="utf-8"/>
    <w:family w:val="swiss"/>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7310" cy="153670"/>
              <wp:effectExtent l="0" t="0" r="0" b="0"/>
              <wp:wrapSquare wrapText="bothSides"/>
              <wp:docPr id="1" name="Frame1"/>
              <a:graphic xmlns:a="http://schemas.openxmlformats.org/drawingml/2006/main">
                <a:graphicData uri="http://schemas.microsoft.com/office/word/2010/wordprocessingShape">
                  <wps:wsp>
                    <wps:cNvSpPr txBox="1"/>
                    <wps:spPr>
                      <a:xfrm>
                        <a:off x="0" y="0"/>
                        <a:ext cx="67310" cy="1536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3pt;height:12.1pt;mso-wrap-distance-left:0pt;mso-wrap-distance-right:0pt;mso-wrap-distance-top:0pt;mso-wrap-distance-bottom:0pt;margin-top:0.05pt;mso-position-vertical-relative:text;margin-left:209.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85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 w:cs="Century"/>
      <w:color w:val="auto"/>
      <w:kern w:val="2"/>
      <w:sz w:val="21"/>
      <w:szCs w:val="20"/>
      <w:lang w:val="en-US" w:eastAsia="ja-JP"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Style13"/>
    <w:qFormat/>
    <w:pPr>
      <w:keepNext w:val="true"/>
      <w:numPr>
        <w:ilvl w:val="1"/>
        <w:numId w:val="1"/>
      </w:numPr>
      <w:jc w:val="center"/>
      <w:outlineLvl w:val="1"/>
    </w:pPr>
    <w:rPr>
      <w:b/>
    </w:rPr>
  </w:style>
  <w:style w:type="character" w:styleId="Style12">
    <w:name w:val="段落ﾌｫﾝﾄ"/>
    <w:qFormat/>
    <w:rPr/>
  </w:style>
  <w:style w:type="character" w:styleId="PageNumber">
    <w:name w:val="page number"/>
    <w:basedOn w:val="Style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540" w:start="0" w:end="0"/>
    </w:pPr>
    <w:rPr/>
  </w:style>
  <w:style w:type="paragraph" w:styleId="HeaderandFooter">
    <w:name w:val="Header and Footer"/>
    <w:basedOn w:val="Normal"/>
    <w:qFormat/>
    <w:pPr>
      <w:suppressLineNumbers/>
      <w:tabs>
        <w:tab w:val="clear" w:pos="851"/>
        <w:tab w:val="center" w:pos="4986" w:leader="none"/>
        <w:tab w:val="right" w:pos="9972" w:leader="none"/>
      </w:tabs>
    </w:pPr>
    <w:rPr/>
  </w:style>
  <w:style w:type="paragraph" w:styleId="Footer">
    <w:name w:val="footer"/>
    <w:basedOn w:val="Normal"/>
    <w:pPr>
      <w:tabs>
        <w:tab w:val="clear" w:pos="851"/>
        <w:tab w:val="center" w:pos="4252" w:leader="none"/>
        <w:tab w:val="right" w:pos="8504" w:leader="none"/>
      </w:tabs>
      <w:snapToGrid w:val="false"/>
    </w:pPr>
    <w:rPr/>
  </w:style>
  <w:style w:type="paragraph" w:styleId="Style13">
    <w:name w:val="標準ｲﾝﾃﾞﾝﾄ"/>
    <w:basedOn w:val="Normal"/>
    <w:qFormat/>
    <w:pPr>
      <w:ind w:hanging="0" w:start="851"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1996-10-24T11:01:00Z</dcterms:created>
  <dc:creator/>
  <dc:description/>
  <dc:language>en-CA</dc:language>
  <cp:lastModifiedBy>植之原　雄二</cp:lastModifiedBy>
  <dcterms:modified xsi:type="dcterms:W3CDTF">2001-07-09T23:17:00Z</dcterms:modified>
  <cp:revision>18</cp:revision>
  <dc:subject/>
  <dc:title/>
</cp:coreProperties>
</file>