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widowContro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snapToGrid w:val="false"/>
              <w:ind w:hanging="360" w:start="1962" w:end="0"/>
              <w:rPr>
                <w:b/>
              </w:rPr>
            </w:pPr>
            <w:r>
              <w:rPr>
                <w:b/>
              </w:rPr>
            </w:r>
          </w:p>
          <w:p>
            <w:pPr>
              <w:pStyle w:val="Normal"/>
              <w:widowControl/>
              <w:tabs>
                <w:tab w:val="clear" w:pos="720"/>
                <w:tab w:val="left" w:pos="2412" w:leader="none"/>
              </w:tabs>
              <w:ind w:hanging="360" w:start="1962" w:end="0"/>
              <w:rPr>
                <w:b/>
              </w:rPr>
            </w:pPr>
            <w:r>
              <w:rPr>
                <w:b/>
              </w:rPr>
            </w:r>
          </w:p>
          <w:p>
            <w:pPr>
              <w:pStyle w:val="Normal"/>
              <w:widowControl/>
              <w:tabs>
                <w:tab w:val="clear" w:pos="720"/>
                <w:tab w:val="left" w:pos="2412" w:leader="none"/>
              </w:tabs>
              <w:ind w:hanging="360" w:start="1962" w:end="0"/>
              <w:rPr>
                <w:b/>
              </w:rPr>
            </w:pPr>
            <w:r>
              <w:rPr>
                <w:b/>
              </w:rPr>
            </w:r>
          </w:p>
        </w:tc>
      </w:tr>
    </w:tbl>
    <w:p>
      <w:pPr>
        <w:pStyle w:val="Heading1"/>
        <w:ind w:hanging="0" w:start="0"/>
        <w:rPr>
          <w:b w:val="false"/>
          <w:sz w:val="24"/>
        </w:rPr>
      </w:pPr>
      <w:r>
        <w:rPr>
          <w:sz w:val="24"/>
        </w:rPr>
        <w:t>Proposed Terms for</w:t>
      </w:r>
    </w:p>
    <w:p>
      <w:pPr>
        <w:pStyle w:val="Heading6"/>
        <w:ind w:start="0" w:end="0"/>
        <w:jc w:val="center"/>
        <w:rPr>
          <w:sz w:val="24"/>
        </w:rPr>
      </w:pPr>
      <w:r>
        <w:rPr>
          <w:sz w:val="24"/>
        </w:rPr>
        <w:t xml:space="preserve">Contingent Call Option Agreement </w:t>
      </w:r>
    </w:p>
    <w:p>
      <w:pPr>
        <w:pStyle w:val="Heading7"/>
        <w:widowControl/>
        <w:ind w:hanging="0" w:start="0"/>
        <w:rPr/>
      </w:pPr>
      <w:r>
        <w:rPr/>
        <w:t>May 10, 2001</w:t>
      </w:r>
    </w:p>
    <w:p>
      <w:pPr>
        <w:pStyle w:val="Heading7"/>
        <w:ind w:hanging="0" w:start="0"/>
        <w:rPr/>
      </w:pPr>
      <w:r>
        <w:rPr/>
        <w:t>For Discussion Purposes Only</w:t>
      </w:r>
    </w:p>
    <w:p>
      <w:pPr>
        <w:pStyle w:val="Normal"/>
        <w:widowControl/>
        <w:jc w:val="center"/>
        <w:rPr/>
      </w:pPr>
      <w:r>
        <w:rPr/>
      </w:r>
    </w:p>
    <w:p>
      <w:pPr>
        <w:pStyle w:val="Normal"/>
        <w:widowControl/>
        <w:ind w:firstLine="720" w:end="0"/>
        <w:rPr>
          <w:sz w:val="20"/>
        </w:rPr>
      </w:pPr>
      <w:r>
        <w:rPr>
          <w:sz w:val="20"/>
        </w:rPr>
      </w:r>
    </w:p>
    <w:p>
      <w:pPr>
        <w:pStyle w:val="Normal"/>
        <w:widowControl/>
        <w:tabs>
          <w:tab w:val="clear" w:pos="720"/>
          <w:tab w:val="left" w:pos="2880" w:leader="none"/>
        </w:tabs>
        <w:ind w:hanging="2880" w:start="2880" w:end="0"/>
        <w:jc w:val="both"/>
        <w:rPr/>
      </w:pPr>
      <w:r>
        <w:rPr>
          <w:b/>
          <w:sz w:val="20"/>
        </w:rPr>
        <w:t>Buyer:</w:t>
      </w:r>
      <w:r>
        <w:rPr>
          <w:sz w:val="20"/>
        </w:rPr>
        <w:tab/>
        <w:t>&lt;ENA&gt;</w:t>
      </w:r>
    </w:p>
    <w:p>
      <w:pPr>
        <w:pStyle w:val="Normal"/>
        <w:widowControl/>
        <w:tabs>
          <w:tab w:val="clear" w:pos="720"/>
          <w:tab w:val="left" w:pos="2880" w:leader="none"/>
        </w:tabs>
        <w:ind w:hanging="2880" w:start="2880" w:end="0"/>
        <w:jc w:val="both"/>
        <w:rPr>
          <w:sz w:val="20"/>
        </w:rPr>
      </w:pPr>
      <w:r>
        <w:rPr>
          <w:sz w:val="20"/>
        </w:rPr>
      </w:r>
    </w:p>
    <w:p>
      <w:pPr>
        <w:pStyle w:val="Normal"/>
        <w:widowControl/>
        <w:tabs>
          <w:tab w:val="clear" w:pos="720"/>
          <w:tab w:val="left" w:pos="2880" w:leader="none"/>
          <w:tab w:val="left" w:pos="3420" w:leader="none"/>
        </w:tabs>
        <w:jc w:val="both"/>
        <w:rPr/>
      </w:pPr>
      <w:r>
        <w:rPr>
          <w:b/>
          <w:sz w:val="20"/>
        </w:rPr>
        <w:t>Seller:</w:t>
      </w:r>
      <w:r>
        <w:rPr>
          <w:sz w:val="20"/>
        </w:rPr>
        <w:tab/>
        <w:t>Enron North America. (“ENA”)</w:t>
      </w:r>
    </w:p>
    <w:p>
      <w:pPr>
        <w:pStyle w:val="Normal"/>
        <w:widowControl/>
        <w:tabs>
          <w:tab w:val="clear" w:pos="720"/>
          <w:tab w:val="left" w:pos="2880" w:leader="none"/>
          <w:tab w:val="left" w:pos="3420" w:leader="none"/>
        </w:tabs>
        <w:jc w:val="both"/>
        <w:rPr>
          <w:sz w:val="20"/>
        </w:rPr>
      </w:pPr>
      <w:r>
        <w:rPr>
          <w:sz w:val="20"/>
        </w:rPr>
      </w:r>
    </w:p>
    <w:p>
      <w:pPr>
        <w:pStyle w:val="Normal"/>
        <w:widowControl/>
        <w:tabs>
          <w:tab w:val="left" w:pos="720" w:leader="none"/>
          <w:tab w:val="left" w:pos="2880" w:leader="none"/>
          <w:tab w:val="left" w:pos="3420" w:leader="none"/>
        </w:tabs>
        <w:rPr/>
      </w:pPr>
      <w:r>
        <w:rPr>
          <w:b/>
          <w:sz w:val="20"/>
        </w:rPr>
        <w:t>Transaction Term:</w:t>
      </w:r>
      <w:r>
        <w:rPr>
          <w:sz w:val="20"/>
        </w:rPr>
        <w:tab/>
        <w:t>June 1, 2001 to September 30, 2001; 5x16 On Peak</w:t>
      </w:r>
    </w:p>
    <w:p>
      <w:pPr>
        <w:pStyle w:val="Normal"/>
        <w:widowControl/>
        <w:tabs>
          <w:tab w:val="clear" w:pos="720"/>
          <w:tab w:val="left" w:pos="2880" w:leader="none"/>
          <w:tab w:val="left" w:pos="4230" w:leader="none"/>
        </w:tabs>
        <w:ind w:end="-1260"/>
        <w:rPr>
          <w:b/>
          <w:sz w:val="20"/>
        </w:rPr>
      </w:pPr>
      <w:r>
        <w:rPr>
          <w:b/>
          <w:sz w:val="20"/>
        </w:rPr>
      </w:r>
    </w:p>
    <w:p>
      <w:pPr>
        <w:pStyle w:val="Normal"/>
        <w:widowControl/>
        <w:tabs>
          <w:tab w:val="clear" w:pos="720"/>
          <w:tab w:val="left" w:pos="2880" w:leader="none"/>
          <w:tab w:val="left" w:pos="4230" w:leader="none"/>
        </w:tabs>
        <w:ind w:end="-1260"/>
        <w:rPr/>
      </w:pPr>
      <w:r>
        <w:rPr>
          <w:b/>
          <w:sz w:val="20"/>
        </w:rPr>
        <w:t>Knock In Event:</w:t>
        <w:tab/>
      </w:r>
      <w:r>
        <w:rPr>
          <w:sz w:val="20"/>
        </w:rPr>
        <w:t>Forced outage of any or all of the generating units listed in the Generation Index</w:t>
      </w:r>
    </w:p>
    <w:p>
      <w:pPr>
        <w:pStyle w:val="Normal"/>
        <w:widowControl/>
        <w:tabs>
          <w:tab w:val="left" w:pos="720" w:leader="none"/>
          <w:tab w:val="left" w:pos="2880" w:leader="none"/>
          <w:tab w:val="left" w:pos="3420" w:leader="none"/>
        </w:tabs>
        <w:rPr>
          <w:sz w:val="20"/>
        </w:rPr>
      </w:pPr>
      <w:r>
        <w:rPr>
          <w:sz w:val="20"/>
        </w:rPr>
      </w:r>
    </w:p>
    <w:p>
      <w:pPr>
        <w:pStyle w:val="Normal"/>
        <w:widowControl/>
        <w:tabs>
          <w:tab w:val="left" w:pos="720" w:leader="none"/>
          <w:tab w:val="left" w:pos="2880" w:leader="none"/>
          <w:tab w:val="left" w:pos="3420" w:leader="none"/>
        </w:tabs>
        <w:ind w:hanging="2880" w:start="2880" w:end="0"/>
        <w:rPr>
          <w:strike/>
          <w:sz w:val="20"/>
        </w:rPr>
      </w:pPr>
      <w:r>
        <w:rPr>
          <w:b/>
          <w:sz w:val="20"/>
        </w:rPr>
        <w:t>Capacity Strike:</w:t>
        <w:tab/>
      </w:r>
      <w:r>
        <w:rPr>
          <w:sz w:val="20"/>
        </w:rPr>
        <w:t>0</w:t>
      </w:r>
    </w:p>
    <w:p>
      <w:pPr>
        <w:pStyle w:val="Normal"/>
        <w:widowControl/>
        <w:tabs>
          <w:tab w:val="left" w:pos="720" w:leader="none"/>
          <w:tab w:val="left" w:pos="2880" w:leader="none"/>
          <w:tab w:val="left" w:pos="3420" w:leader="none"/>
        </w:tabs>
        <w:rPr>
          <w:strike/>
          <w:sz w:val="20"/>
        </w:rPr>
      </w:pPr>
      <w:r>
        <w:rPr>
          <w:strike/>
          <w:sz w:val="20"/>
        </w:rPr>
      </w:r>
    </w:p>
    <w:p>
      <w:pPr>
        <w:pStyle w:val="Normal"/>
        <w:widowControl/>
        <w:tabs>
          <w:tab w:val="left" w:pos="720" w:leader="none"/>
          <w:tab w:val="left" w:pos="2880" w:leader="none"/>
          <w:tab w:val="left" w:pos="3420" w:leader="none"/>
        </w:tabs>
        <w:rPr/>
      </w:pPr>
      <w:r>
        <w:rPr>
          <w:b/>
          <w:sz w:val="20"/>
        </w:rPr>
        <w:t>Generation Index:</w:t>
      </w:r>
      <w:r>
        <w:rPr>
          <w:sz w:val="20"/>
        </w:rPr>
        <w:tab/>
        <w:t>Frontera Unit 490MW</w:t>
      </w:r>
    </w:p>
    <w:p>
      <w:pPr>
        <w:pStyle w:val="Normal"/>
        <w:widowControl/>
        <w:tabs>
          <w:tab w:val="left" w:pos="720" w:leader="none"/>
          <w:tab w:val="left" w:pos="2880" w:leader="none"/>
          <w:tab w:val="left" w:pos="3420" w:leader="none"/>
        </w:tabs>
        <w:rPr>
          <w:sz w:val="20"/>
        </w:rPr>
      </w:pPr>
      <w:r>
        <w:rPr>
          <w:sz w:val="20"/>
        </w:rPr>
        <w:tab/>
      </w:r>
    </w:p>
    <w:p>
      <w:pPr>
        <w:pStyle w:val="Normal"/>
        <w:widowControl/>
        <w:tabs>
          <w:tab w:val="left" w:pos="720" w:leader="none"/>
          <w:tab w:val="left" w:pos="2880" w:leader="none"/>
          <w:tab w:val="left" w:pos="3420" w:leader="none"/>
        </w:tabs>
        <w:rPr/>
      </w:pPr>
      <w:r>
        <w:rPr>
          <w:b/>
          <w:sz w:val="20"/>
        </w:rPr>
        <w:t>Notional Quantity:</w:t>
        <w:tab/>
      </w:r>
      <w:r>
        <w:rPr>
          <w:sz w:val="20"/>
        </w:rPr>
        <w:t>Up to</w:t>
      </w:r>
      <w:r>
        <w:rPr>
          <w:b/>
          <w:sz w:val="20"/>
        </w:rPr>
        <w:t xml:space="preserve"> </w:t>
      </w:r>
      <w:r>
        <w:rPr>
          <w:sz w:val="20"/>
        </w:rPr>
        <w:t>100 MW</w:t>
      </w:r>
    </w:p>
    <w:p>
      <w:pPr>
        <w:pStyle w:val="Normal"/>
        <w:widowControl/>
        <w:tabs>
          <w:tab w:val="clear" w:pos="720"/>
          <w:tab w:val="left" w:pos="2880" w:leader="none"/>
          <w:tab w:val="left" w:pos="4230" w:leader="none"/>
        </w:tabs>
        <w:ind w:end="-1260"/>
        <w:rPr>
          <w:b/>
          <w:sz w:val="20"/>
        </w:rPr>
      </w:pPr>
      <w:r>
        <w:rPr>
          <w:b/>
          <w:sz w:val="20"/>
        </w:rPr>
      </w:r>
    </w:p>
    <w:p>
      <w:pPr>
        <w:pStyle w:val="Normal"/>
        <w:widowControl/>
        <w:tabs>
          <w:tab w:val="clear" w:pos="720"/>
          <w:tab w:val="left" w:pos="2880" w:leader="none"/>
          <w:tab w:val="left" w:pos="4230" w:leader="none"/>
        </w:tabs>
        <w:ind w:end="-1260"/>
        <w:rPr/>
      </w:pPr>
      <w:r>
        <w:rPr>
          <w:b/>
          <w:sz w:val="20"/>
        </w:rPr>
        <w:t>Price Index:</w:t>
        <w:tab/>
      </w:r>
      <w:r>
        <w:rPr>
          <w:sz w:val="20"/>
        </w:rPr>
        <w:t>MW Daily ERCOT-B</w:t>
      </w:r>
    </w:p>
    <w:p>
      <w:pPr>
        <w:pStyle w:val="Normal"/>
        <w:widowControl/>
        <w:tabs>
          <w:tab w:val="clear" w:pos="720"/>
          <w:tab w:val="left" w:pos="2880" w:leader="none"/>
          <w:tab w:val="left" w:pos="4230" w:leader="none"/>
        </w:tabs>
        <w:ind w:end="-1260"/>
        <w:rPr>
          <w:sz w:val="20"/>
        </w:rPr>
      </w:pPr>
      <w:r>
        <w:rPr>
          <w:sz w:val="20"/>
        </w:rPr>
      </w:r>
    </w:p>
    <w:p>
      <w:pPr>
        <w:pStyle w:val="Normal"/>
        <w:widowControl/>
        <w:tabs>
          <w:tab w:val="left" w:pos="720" w:leader="none"/>
          <w:tab w:val="left" w:pos="2880" w:leader="none"/>
          <w:tab w:val="left" w:pos="3420" w:leader="none"/>
        </w:tabs>
        <w:rPr/>
      </w:pPr>
      <w:r>
        <w:rPr>
          <w:b/>
          <w:sz w:val="20"/>
        </w:rPr>
        <w:t>Strike Price:</w:t>
        <w:tab/>
      </w:r>
      <w:r>
        <w:rPr>
          <w:sz w:val="20"/>
        </w:rPr>
        <w:t>June</w:t>
        <w:tab/>
        <w:tab/>
        <w:tab/>
        <w:t>$79/MWh</w:t>
      </w:r>
    </w:p>
    <w:p>
      <w:pPr>
        <w:pStyle w:val="Normal"/>
        <w:widowControl/>
        <w:tabs>
          <w:tab w:val="left" w:pos="720" w:leader="none"/>
          <w:tab w:val="left" w:pos="2880" w:leader="none"/>
          <w:tab w:val="left" w:pos="3420" w:leader="none"/>
        </w:tabs>
        <w:rPr>
          <w:sz w:val="20"/>
        </w:rPr>
      </w:pPr>
      <w:r>
        <w:rPr>
          <w:sz w:val="20"/>
        </w:rPr>
        <w:tab/>
        <w:tab/>
        <w:t>July</w:t>
        <w:tab/>
        <w:tab/>
        <w:tab/>
        <w:t>$93/MWh</w:t>
      </w:r>
    </w:p>
    <w:p>
      <w:pPr>
        <w:pStyle w:val="Normal"/>
        <w:widowControl/>
        <w:tabs>
          <w:tab w:val="left" w:pos="720" w:leader="none"/>
          <w:tab w:val="left" w:pos="2880" w:leader="none"/>
          <w:tab w:val="left" w:pos="3420" w:leader="none"/>
        </w:tabs>
        <w:rPr>
          <w:sz w:val="20"/>
        </w:rPr>
      </w:pPr>
      <w:r>
        <w:rPr>
          <w:sz w:val="20"/>
        </w:rPr>
        <w:tab/>
        <w:tab/>
        <w:t>August</w:t>
        <w:tab/>
        <w:tab/>
        <w:t>$92/MWh</w:t>
      </w:r>
    </w:p>
    <w:p>
      <w:pPr>
        <w:pStyle w:val="Normal"/>
        <w:widowControl/>
        <w:tabs>
          <w:tab w:val="left" w:pos="720" w:leader="none"/>
          <w:tab w:val="left" w:pos="2880" w:leader="none"/>
          <w:tab w:val="left" w:pos="3420" w:leader="none"/>
        </w:tabs>
        <w:rPr>
          <w:sz w:val="20"/>
        </w:rPr>
      </w:pPr>
      <w:r>
        <w:rPr>
          <w:sz w:val="20"/>
        </w:rPr>
        <w:tab/>
        <w:tab/>
        <w:t>September</w:t>
        <w:tab/>
        <w:t>$71/MWh</w:t>
      </w:r>
    </w:p>
    <w:p>
      <w:pPr>
        <w:pStyle w:val="Normal"/>
        <w:widowControl/>
        <w:tabs>
          <w:tab w:val="clear" w:pos="720"/>
          <w:tab w:val="left" w:pos="2880" w:leader="none"/>
          <w:tab w:val="left" w:pos="4230" w:leader="none"/>
        </w:tabs>
        <w:ind w:end="-1260"/>
        <w:rPr>
          <w:b/>
          <w:sz w:val="20"/>
        </w:rPr>
      </w:pPr>
      <w:r>
        <w:rPr>
          <w:b/>
          <w:sz w:val="20"/>
        </w:rPr>
      </w:r>
    </w:p>
    <w:p>
      <w:pPr>
        <w:pStyle w:val="Normal"/>
        <w:widowControl/>
        <w:tabs>
          <w:tab w:val="clear" w:pos="720"/>
          <w:tab w:val="left" w:pos="2880" w:leader="none"/>
          <w:tab w:val="left" w:pos="4230" w:leader="none"/>
        </w:tabs>
        <w:ind w:end="-1260"/>
        <w:rPr/>
      </w:pPr>
      <w:r>
        <w:rPr>
          <w:b/>
          <w:sz w:val="20"/>
        </w:rPr>
        <w:t>Outage Duration Limit:</w:t>
      </w:r>
      <w:r>
        <w:rPr>
          <w:sz w:val="20"/>
        </w:rPr>
        <w:tab/>
        <w:t>1000 On Peak hours</w:t>
      </w:r>
    </w:p>
    <w:p>
      <w:pPr>
        <w:pStyle w:val="Normal"/>
        <w:widowControl/>
        <w:tabs>
          <w:tab w:val="clear" w:pos="720"/>
          <w:tab w:val="left" w:pos="2880" w:leader="none"/>
          <w:tab w:val="left" w:pos="4230" w:leader="none"/>
        </w:tabs>
        <w:ind w:end="-1260"/>
        <w:rPr>
          <w:sz w:val="20"/>
        </w:rPr>
      </w:pPr>
      <w:r>
        <w:rPr>
          <w:sz w:val="20"/>
        </w:rPr>
      </w:r>
    </w:p>
    <w:p>
      <w:pPr>
        <w:pStyle w:val="Normal"/>
        <w:widowControl/>
        <w:tabs>
          <w:tab w:val="clear" w:pos="720"/>
          <w:tab w:val="left" w:pos="2880" w:leader="none"/>
          <w:tab w:val="left" w:pos="4230" w:leader="none"/>
        </w:tabs>
        <w:ind w:end="-1260"/>
        <w:rPr/>
      </w:pPr>
      <w:r>
        <w:rPr>
          <w:b/>
          <w:sz w:val="20"/>
        </w:rPr>
        <w:t>Maximum Payout:</w:t>
        <w:tab/>
      </w:r>
      <w:r>
        <w:rPr>
          <w:sz w:val="20"/>
        </w:rPr>
        <w:t>$25,000,000</w:t>
      </w:r>
    </w:p>
    <w:p>
      <w:pPr>
        <w:pStyle w:val="Normal"/>
        <w:widowControl/>
        <w:tabs>
          <w:tab w:val="clear" w:pos="720"/>
          <w:tab w:val="left" w:pos="2880" w:leader="none"/>
          <w:tab w:val="left" w:pos="4230" w:leader="none"/>
        </w:tabs>
        <w:ind w:end="-1260"/>
        <w:rPr>
          <w:sz w:val="20"/>
        </w:rPr>
      </w:pPr>
      <w:r>
        <w:rPr>
          <w:sz w:val="20"/>
        </w:rPr>
      </w:r>
    </w:p>
    <w:p>
      <w:pPr>
        <w:pStyle w:val="Normal"/>
        <w:widowControl/>
        <w:tabs>
          <w:tab w:val="clear" w:pos="720"/>
          <w:tab w:val="left" w:pos="2880" w:leader="none"/>
          <w:tab w:val="left" w:pos="4230" w:leader="none"/>
        </w:tabs>
        <w:ind w:end="-1260"/>
        <w:rPr/>
      </w:pPr>
      <w:r>
        <w:rPr>
          <w:b/>
          <w:sz w:val="20"/>
        </w:rPr>
        <w:t>Premium:</w:t>
        <w:tab/>
      </w:r>
      <w:r>
        <w:rPr>
          <w:sz w:val="20"/>
        </w:rPr>
        <w:t>$300,00-400,000</w:t>
      </w:r>
    </w:p>
    <w:p>
      <w:pPr>
        <w:pStyle w:val="Normal"/>
        <w:widowControl/>
        <w:tabs>
          <w:tab w:val="clear" w:pos="720"/>
          <w:tab w:val="left" w:pos="2880" w:leader="none"/>
          <w:tab w:val="left" w:pos="4230" w:leader="none"/>
        </w:tabs>
        <w:ind w:end="-1260"/>
        <w:rPr>
          <w:sz w:val="20"/>
        </w:rPr>
      </w:pPr>
      <w:r>
        <w:rPr>
          <w:sz w:val="20"/>
        </w:rPr>
      </w:r>
    </w:p>
    <w:p>
      <w:pPr>
        <w:pStyle w:val="Normal"/>
        <w:widowControl/>
        <w:tabs>
          <w:tab w:val="clear" w:pos="720"/>
          <w:tab w:val="left" w:pos="2880" w:leader="none"/>
        </w:tabs>
        <w:ind w:hanging="2880" w:start="2880" w:end="0"/>
        <w:jc w:val="both"/>
        <w:rPr/>
      </w:pPr>
      <w:r>
        <w:rPr>
          <w:b/>
          <w:sz w:val="20"/>
        </w:rPr>
        <w:t>Description:</w:t>
      </w:r>
      <w:r>
        <w:rPr>
          <w:sz w:val="20"/>
        </w:rPr>
        <w:tab/>
        <w:t>ENA will pay Counterparty on a daily basis, the amount the index is over the strike price when the stated knock in event occurs.  Subject to the terms and definitions in the transaction confirmation and the General Terms and Conditions of the transaction.</w:t>
      </w:r>
    </w:p>
    <w:p>
      <w:pPr>
        <w:pStyle w:val="Normal"/>
        <w:widowControl/>
        <w:tabs>
          <w:tab w:val="clear" w:pos="720"/>
          <w:tab w:val="left" w:pos="4230" w:leader="none"/>
        </w:tabs>
        <w:rPr>
          <w:sz w:val="20"/>
        </w:rPr>
      </w:pPr>
      <w:r>
        <w:rPr>
          <w:sz w:val="20"/>
        </w:rPr>
      </w:r>
    </w:p>
    <w:p>
      <w:pPr>
        <w:pStyle w:val="Normal"/>
        <w:widowControl/>
        <w:pBdr>
          <w:top w:val="single" w:sz="4" w:space="1" w:color="000000"/>
        </w:pBdr>
        <w:tabs>
          <w:tab w:val="clear" w:pos="720"/>
          <w:tab w:val="left" w:pos="4230" w:leader="none"/>
        </w:tabs>
        <w:rPr>
          <w:sz w:val="16"/>
        </w:rPr>
      </w:pPr>
      <w:r>
        <w:rPr>
          <w:sz w:val="16"/>
        </w:rPr>
      </w:r>
    </w:p>
    <w:p>
      <w:pPr>
        <w:pStyle w:val="BodyText3"/>
        <w:rPr>
          <w:sz w:val="16"/>
        </w:rPr>
      </w:pPr>
      <w:r>
        <w:rPr>
          <w:sz w:val="16"/>
        </w:rPr>
        <w:t>All terms and conditions of this proposal are confidential between Buyer and Seller and their duly appointed agents.  The costs assumed in this proposal are subject to movement during the time period Buyer will evaluate this proposal.  This proposal is for discussion purposes only to facilitate the negotiation, preparation and execution of a definitive agreement.  This is not an offer or a commitment of Seller or Buyer or any parent or affiliate of either.  The transaction described herein is subject to further review and approval of Seller and Buyer and execution of a definitive agreement containing all appropriate provisions, including, but not limited to, those relating to credit and limitation of damages and remedies.</w:t>
      </w:r>
    </w:p>
    <w:sectPr>
      <w:headerReference w:type="default" r:id="rId3"/>
      <w:footerReference w:type="default" r:id="rId4"/>
      <w:type w:val="nextPage"/>
      <w:pgSz w:w="12240" w:h="15840"/>
      <w:pgMar w:left="1440" w:right="1440"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360"/>
      <w:jc w:val="center"/>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Footer"/>
                            <w:widowControl/>
                            <w:jc w:val="center"/>
                            <w:rPr>
                              <w:rStyle w:val="PageNumber"/>
                              <w:sz w:val="24"/>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466.85pt;mso-position-horizontal:right;mso-position-horizontal-relative:margin">
              <v:fill opacity="0f"/>
              <v:textbox inset="0in,0in,0in,0in">
                <w:txbxContent>
                  <w:p>
                    <w:pPr>
                      <w:pStyle w:val="Footer"/>
                      <w:widowControl/>
                      <w:jc w:val="center"/>
                      <w:rPr>
                        <w:rStyle w:val="PageNumber"/>
                        <w:sz w:val="24"/>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pBd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sz w:val="44"/>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sz w:val="96"/>
    </w:rPr>
  </w:style>
  <w:style w:type="paragraph" w:styleId="Heading5">
    <w:name w:val="heading 5"/>
    <w:basedOn w:val="Normal"/>
    <w:next w:val="Normal"/>
    <w:qFormat/>
    <w:pPr>
      <w:keepNext w:val="true"/>
      <w:numPr>
        <w:ilvl w:val="4"/>
        <w:numId w:val="1"/>
      </w:numPr>
      <w:outlineLvl w:val="4"/>
    </w:pPr>
    <w:rPr>
      <w:sz w:val="144"/>
    </w:rPr>
  </w:style>
  <w:style w:type="paragraph" w:styleId="Heading6">
    <w:name w:val="heading 6"/>
    <w:basedOn w:val="Normal"/>
    <w:next w:val="Normal"/>
    <w:qFormat/>
    <w:pPr>
      <w:keepNext w:val="true"/>
      <w:widowControl/>
      <w:numPr>
        <w:ilvl w:val="5"/>
        <w:numId w:val="1"/>
      </w:numPr>
      <w:ind w:hanging="0" w:start="720" w:end="0"/>
      <w:outlineLvl w:val="5"/>
    </w:pPr>
    <w:rPr>
      <w:b/>
      <w:sz w:val="22"/>
    </w:rPr>
  </w:style>
  <w:style w:type="paragraph" w:styleId="Heading7">
    <w:name w:val="heading 7"/>
    <w:basedOn w:val="Normal"/>
    <w:next w:val="Normal"/>
    <w:qFormat/>
    <w:pPr>
      <w:keepNext w:val="true"/>
      <w:numPr>
        <w:ilvl w:val="6"/>
        <w:numId w:val="1"/>
      </w:numPr>
      <w:jc w:val="center"/>
      <w:outlineLvl w:val="6"/>
    </w:pPr>
    <w:rPr>
      <w:b/>
    </w:rPr>
  </w:style>
  <w:style w:type="character" w:styleId="DefaultParagraphFont">
    <w:name w:val="Default Paragraph Font"/>
    <w:qFormat/>
    <w:rPr/>
  </w:style>
  <w:style w:type="character" w:styleId="PageNumber">
    <w:name w:val="page number"/>
    <w:basedOn w:val="DefaultParagraphFont"/>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widowControl/>
      <w:jc w:val="both"/>
    </w:pPr>
    <w:rPr>
      <w:rFonts w:ascii="Bookman Old Style" w:hAnsi="Bookman Old Style" w:cs="Bookman Old Sty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2">
    <w:name w:val="Body Text 2"/>
    <w:basedOn w:val="Normal"/>
    <w:qFormat/>
    <w:pPr>
      <w:widowControl/>
      <w:jc w:val="both"/>
    </w:pPr>
    <w:rPr>
      <w:i/>
    </w:rPr>
  </w:style>
  <w:style w:type="paragraph" w:styleId="BodyTextIndent">
    <w:name w:val="Body Text Indent"/>
    <w:basedOn w:val="Normal"/>
    <w:pPr>
      <w:widowControl/>
      <w:tabs>
        <w:tab w:val="clear" w:pos="720"/>
        <w:tab w:val="left" w:pos="2880" w:leader="none"/>
        <w:tab w:val="left" w:pos="4230" w:leader="none"/>
      </w:tabs>
      <w:ind w:hanging="2880" w:start="2880" w:end="0"/>
    </w:pPr>
    <w:rPr>
      <w:sz w:val="22"/>
    </w:rPr>
  </w:style>
  <w:style w:type="paragraph" w:styleId="BodyText3">
    <w:name w:val="Body Text 3"/>
    <w:basedOn w:val="Normal"/>
    <w:qFormat/>
    <w:pPr>
      <w:jc w:val="both"/>
    </w:pPr>
    <w:rPr>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2001-05-10T14:15:00Z</dcterms:created>
  <dc:creator>Enron User</dc:creator>
  <dc:description/>
  <dc:language>en-CA</dc:language>
  <cp:lastModifiedBy>Christopher Ahn</cp:lastModifiedBy>
  <cp:lastPrinted>2001-02-28T07:46:00Z</cp:lastPrinted>
  <dcterms:modified xsi:type="dcterms:W3CDTF">2001-05-10T14:15:00Z</dcterms:modified>
  <cp:revision>2</cp:revision>
  <dc:subject/>
  <dc:title>296375.1</dc:title>
</cp:coreProperties>
</file>