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sz w:val="24"/>
          <w:u w:val="single"/>
        </w:rPr>
      </w:pPr>
      <w:r>
        <w:rPr>
          <w:b/>
          <w:sz w:val="24"/>
          <w:u w:val="single"/>
        </w:rPr>
        <w:t>AGREEMENT FOR SALE AND PURCHASE</w:t>
      </w:r>
    </w:p>
    <w:p>
      <w:pPr>
        <w:pStyle w:val="Normal"/>
        <w:spacing w:lineRule="atLeast" w:line="240"/>
        <w:jc w:val="center"/>
        <w:rPr>
          <w:b/>
          <w:sz w:val="24"/>
        </w:rPr>
      </w:pPr>
      <w:r>
        <w:rPr>
          <w:b/>
          <w:sz w:val="24"/>
          <w:u w:val="single"/>
        </w:rPr>
        <w:t>OF ELECTRICAL CAPACITY AND ENERGY</w:t>
      </w:r>
    </w:p>
    <w:p>
      <w:pPr>
        <w:pStyle w:val="Normal"/>
        <w:rPr>
          <w:b/>
          <w:sz w:val="24"/>
        </w:rPr>
      </w:pPr>
      <w:r>
        <w:rPr>
          <w:b/>
          <w:sz w:val="24"/>
        </w:rPr>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Rule="auto" w:line="240"/>
        <w:jc w:val="both"/>
        <w:rPr/>
      </w:pPr>
      <w:r>
        <w:rPr/>
        <w:t>This Agreement for Sale and Purchase of Electrical Capacity and Energy (the “Agreement”), dated and effective October25, 2000, is made by and between Frontera Generation Limited Partnership; a Delaware limited partnership (“Seller”) and Enron Power Marketing, Inc. (“Buyer”).  Seller and Buyer are hereinafter sometimes referred to individually as “Party” and collectively as “Parties.”</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Rule="auto" w:line="240"/>
        <w:ind w:hanging="0" w:end="0"/>
        <w:jc w:val="both"/>
        <w:rPr/>
      </w:pPr>
      <w:r>
        <w:rPr/>
      </w:r>
    </w:p>
    <w:p>
      <w:pPr>
        <w:pStyle w:val="Normal"/>
        <w:jc w:val="center"/>
        <w:rPr>
          <w:sz w:val="24"/>
        </w:rPr>
      </w:pPr>
      <w:r>
        <w:rPr>
          <w:sz w:val="24"/>
          <w:u w:val="single"/>
        </w:rPr>
        <w:t>RECITALS</w:t>
      </w:r>
    </w:p>
    <w:p>
      <w:pPr>
        <w:pStyle w:val="Normal"/>
        <w:jc w:val="both"/>
        <w:rPr>
          <w:sz w:val="24"/>
        </w:rPr>
      </w:pPr>
      <w:r>
        <w:rPr>
          <w:sz w:val="24"/>
        </w:rPr>
      </w:r>
    </w:p>
    <w:p>
      <w:pPr>
        <w:pStyle w:val="BodyText2"/>
        <w:spacing w:lineRule="auto" w:line="240"/>
        <w:rPr/>
      </w:pPr>
      <w:r>
        <w:rPr/>
        <w:t>A.</w:t>
        <w:tab/>
        <w:t>Seller owns and operates the Frontera Plant, a combined cycle generating plant located near Mission, Texas, with a total nominal output of approximately 514 MW (Rated Capability”), and is engaged in the production and sale of electrical capacity and energy from such plant (the “Seller Facility” or “Seller’s Facility”).</w:t>
      </w:r>
    </w:p>
    <w:p>
      <w:pPr>
        <w:pStyle w:val="Normal"/>
        <w:jc w:val="both"/>
        <w:rPr>
          <w:sz w:val="24"/>
        </w:rPr>
      </w:pPr>
      <w:r>
        <w:rPr>
          <w:sz w:val="24"/>
        </w:rPr>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Rule="auto" w:line="240"/>
        <w:jc w:val="both"/>
        <w:rPr/>
      </w:pPr>
      <w:r>
        <w:rPr/>
        <w:t>B.</w:t>
        <w:tab/>
        <w:t>Buyer is an energy marketer and is engaged in the purchase and sale of electrical capacity and energy.</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spacing w:lineRule="auto" w:line="240"/>
        <w:ind w:hanging="0" w:end="0"/>
        <w:jc w:val="both"/>
        <w:rPr/>
      </w:pPr>
      <w:r>
        <w:rPr/>
      </w:r>
    </w:p>
    <w:p>
      <w:pPr>
        <w:pStyle w:val="BodyTextFirstIndent"/>
        <w:spacing w:before="0" w:after="0"/>
        <w:rPr>
          <w:lang w:val="en-CA" w:eastAsia="en-CA"/>
        </w:rPr>
      </w:pPr>
      <w:r>
        <w:rPr>
          <w:lang w:val="en-CA" w:eastAsia="en-CA"/>
        </w:rPr>
        <w:t>C.</w:t>
        <w:tab/>
        <w:t>Seller wishes to sell to Buyer and Buyer wishes to purchase from Seller electric capacity and energy under and subject to the terms and conditions hereinafter set forth and the Appendix A which is attached hereto and incorporated herein.</w:t>
      </w:r>
    </w:p>
    <w:p>
      <w:pPr>
        <w:pStyle w:val="Normal"/>
        <w:ind w:firstLine="720" w:end="0"/>
        <w:jc w:val="both"/>
        <w:rPr>
          <w:sz w:val="24"/>
          <w:lang w:val="en-CA" w:eastAsia="en-CA"/>
        </w:rPr>
      </w:pPr>
      <w:r>
        <w:rPr>
          <w:sz w:val="24"/>
          <w:lang w:val="en-CA" w:eastAsia="en-CA"/>
        </w:rPr>
      </w:r>
    </w:p>
    <w:p>
      <w:pPr>
        <w:pStyle w:val="Normal"/>
        <w:jc w:val="both"/>
        <w:rPr>
          <w:sz w:val="24"/>
        </w:rPr>
      </w:pPr>
      <w:r>
        <w:rPr>
          <w:sz w:val="24"/>
        </w:rPr>
      </w:r>
    </w:p>
    <w:p>
      <w:pPr>
        <w:pStyle w:val="Normal"/>
        <w:jc w:val="center"/>
        <w:rPr>
          <w:sz w:val="24"/>
        </w:rPr>
      </w:pPr>
      <w:r>
        <w:rPr>
          <w:sz w:val="24"/>
          <w:u w:val="single"/>
        </w:rPr>
        <w:t>AGREEMENT</w:t>
      </w:r>
    </w:p>
    <w:p>
      <w:pPr>
        <w:pStyle w:val="Normal"/>
        <w:rPr>
          <w:sz w:val="24"/>
        </w:rPr>
      </w:pPr>
      <w:r>
        <w:rPr>
          <w:sz w:val="24"/>
        </w:rPr>
      </w:r>
    </w:p>
    <w:p>
      <w:pPr>
        <w:pStyle w:val="Normal"/>
        <w:rPr>
          <w:sz w:val="24"/>
        </w:rPr>
      </w:pPr>
      <w:r>
        <w:rPr>
          <w:sz w:val="24"/>
        </w:rPr>
        <w:t>Now, therefore, in consideration of the mutual covenants and agreements set forth herein, and for other valuable consideration, the receipt and adequacy of which is acknowledged, the Parties hereto agree as follows:</w:t>
      </w:r>
    </w:p>
    <w:p>
      <w:pPr>
        <w:pStyle w:val="Normal"/>
        <w:jc w:val="center"/>
        <w:rPr>
          <w:sz w:val="24"/>
          <w:u w:val="single"/>
        </w:rPr>
      </w:pPr>
      <w:r>
        <w:rPr>
          <w:sz w:val="24"/>
          <w:u w:val="single"/>
        </w:rPr>
        <w:t>DEFINITIONS</w:t>
      </w:r>
    </w:p>
    <w:p>
      <w:pPr>
        <w:pStyle w:val="Normal"/>
        <w:jc w:val="center"/>
        <w:rPr>
          <w:sz w:val="24"/>
          <w:u w:val="single"/>
        </w:rPr>
      </w:pPr>
      <w:r>
        <w:rPr>
          <w:sz w:val="24"/>
          <w:u w:val="single"/>
        </w:rPr>
      </w:r>
    </w:p>
    <w:p>
      <w:pPr>
        <w:pStyle w:val="Normal"/>
        <w:ind w:firstLine="720" w:end="0"/>
        <w:rPr/>
      </w:pPr>
      <w:r>
        <w:rPr>
          <w:sz w:val="24"/>
        </w:rPr>
        <w:t>1.</w:t>
        <w:tab/>
      </w:r>
      <w:r>
        <w:rPr>
          <w:sz w:val="24"/>
          <w:u w:val="single"/>
        </w:rPr>
        <w:t>Definitions</w:t>
      </w:r>
      <w:r>
        <w:rPr>
          <w:sz w:val="24"/>
        </w:rPr>
        <w:t xml:space="preserve">.  All capitalized terms used in  this Agreement shall have the meanings set forth in this Section. </w:t>
      </w:r>
    </w:p>
    <w:p>
      <w:pPr>
        <w:pStyle w:val="Normal"/>
        <w:ind w:firstLine="720" w:end="0"/>
        <w:rPr>
          <w:sz w:val="24"/>
        </w:rPr>
      </w:pPr>
      <w:r>
        <w:rPr>
          <w:sz w:val="24"/>
        </w:rPr>
      </w:r>
    </w:p>
    <w:p>
      <w:pPr>
        <w:pStyle w:val="Normal"/>
        <w:ind w:start="720" w:end="0"/>
        <w:jc w:val="both"/>
        <w:rPr/>
      </w:pPr>
      <w:r>
        <w:rPr>
          <w:sz w:val="24"/>
        </w:rPr>
        <w:t>“</w:t>
      </w:r>
      <w:r>
        <w:rPr>
          <w:sz w:val="24"/>
        </w:rPr>
        <w:t>1</w:t>
      </w:r>
      <w:r>
        <w:rPr>
          <w:sz w:val="24"/>
          <w:vertAlign w:val="superscript"/>
        </w:rPr>
        <w:t>st</w:t>
      </w:r>
      <w:r>
        <w:rPr>
          <w:sz w:val="24"/>
        </w:rPr>
        <w:t xml:space="preserve"> Season” shall mean January 1</w:t>
      </w:r>
      <w:r>
        <w:rPr>
          <w:sz w:val="24"/>
          <w:vertAlign w:val="superscript"/>
        </w:rPr>
        <w:t>st</w:t>
      </w:r>
      <w:r>
        <w:rPr>
          <w:sz w:val="24"/>
        </w:rPr>
        <w:t xml:space="preserve"> through March 31</w:t>
      </w:r>
      <w:r>
        <w:rPr>
          <w:sz w:val="24"/>
          <w:vertAlign w:val="superscript"/>
        </w:rPr>
        <w:t>st</w:t>
      </w:r>
    </w:p>
    <w:p>
      <w:pPr>
        <w:pStyle w:val="Normal"/>
        <w:ind w:start="720" w:end="0"/>
        <w:jc w:val="both"/>
        <w:rPr>
          <w:sz w:val="24"/>
          <w:vertAlign w:val="superscript"/>
        </w:rPr>
      </w:pPr>
      <w:r>
        <w:rPr>
          <w:sz w:val="24"/>
          <w:vertAlign w:val="superscript"/>
        </w:rPr>
      </w:r>
    </w:p>
    <w:p>
      <w:pPr>
        <w:pStyle w:val="Normal"/>
        <w:ind w:start="720" w:end="0"/>
        <w:jc w:val="both"/>
        <w:rPr>
          <w:sz w:val="24"/>
          <w:vertAlign w:val="superscript"/>
        </w:rPr>
      </w:pPr>
      <w:r>
        <w:rPr>
          <w:sz w:val="24"/>
        </w:rPr>
        <w:t>“</w:t>
      </w:r>
      <w:r>
        <w:rPr>
          <w:sz w:val="24"/>
        </w:rPr>
        <w:t>2</w:t>
      </w:r>
      <w:r>
        <w:rPr>
          <w:sz w:val="24"/>
          <w:vertAlign w:val="superscript"/>
        </w:rPr>
        <w:t>nd</w:t>
      </w:r>
      <w:r>
        <w:rPr>
          <w:sz w:val="24"/>
        </w:rPr>
        <w:t xml:space="preserve"> Season” shall mean April 1</w:t>
      </w:r>
      <w:r>
        <w:rPr>
          <w:sz w:val="24"/>
          <w:vertAlign w:val="superscript"/>
        </w:rPr>
        <w:t>st</w:t>
      </w:r>
      <w:r>
        <w:rPr>
          <w:sz w:val="24"/>
        </w:rPr>
        <w:t xml:space="preserve"> through May 31</w:t>
      </w:r>
      <w:r>
        <w:rPr>
          <w:sz w:val="24"/>
          <w:vertAlign w:val="superscript"/>
        </w:rPr>
        <w:t>st</w:t>
      </w:r>
      <w:r>
        <w:rPr>
          <w:sz w:val="24"/>
        </w:rPr>
        <w:t>, and October 1</w:t>
      </w:r>
      <w:r>
        <w:rPr>
          <w:sz w:val="24"/>
          <w:vertAlign w:val="superscript"/>
        </w:rPr>
        <w:t>st</w:t>
      </w:r>
      <w:r>
        <w:rPr>
          <w:sz w:val="24"/>
        </w:rPr>
        <w:t xml:space="preserve"> through December 31</w:t>
      </w:r>
      <w:r>
        <w:rPr>
          <w:sz w:val="24"/>
          <w:vertAlign w:val="superscript"/>
        </w:rPr>
        <w:t>st</w:t>
      </w:r>
      <w:r>
        <w:rPr>
          <w:sz w:val="24"/>
        </w:rPr>
        <w:t xml:space="preserve">  </w:t>
      </w:r>
    </w:p>
    <w:p>
      <w:pPr>
        <w:pStyle w:val="Normal"/>
        <w:ind w:start="720" w:end="0"/>
        <w:jc w:val="both"/>
        <w:rPr>
          <w:sz w:val="24"/>
          <w:vertAlign w:val="superscript"/>
        </w:rPr>
      </w:pPr>
      <w:r>
        <w:rPr>
          <w:sz w:val="24"/>
          <w:vertAlign w:val="superscript"/>
        </w:rPr>
      </w:r>
    </w:p>
    <w:p>
      <w:pPr>
        <w:pStyle w:val="Normal"/>
        <w:ind w:start="720" w:end="0"/>
        <w:jc w:val="both"/>
        <w:rPr>
          <w:sz w:val="24"/>
          <w:vertAlign w:val="superscript"/>
        </w:rPr>
      </w:pPr>
      <w:r>
        <w:rPr>
          <w:sz w:val="24"/>
        </w:rPr>
        <w:t>“</w:t>
      </w:r>
      <w:r>
        <w:rPr>
          <w:sz w:val="24"/>
        </w:rPr>
        <w:t>3</w:t>
      </w:r>
      <w:r>
        <w:rPr>
          <w:sz w:val="24"/>
          <w:vertAlign w:val="superscript"/>
        </w:rPr>
        <w:t xml:space="preserve">rd </w:t>
      </w:r>
      <w:r>
        <w:rPr>
          <w:sz w:val="24"/>
        </w:rPr>
        <w:t xml:space="preserve"> Season” shall mean June 1st through September 30</w:t>
      </w:r>
      <w:r>
        <w:rPr>
          <w:sz w:val="24"/>
          <w:vertAlign w:val="superscript"/>
        </w:rPr>
        <w:t>th</w:t>
      </w:r>
      <w:r>
        <w:rPr>
          <w:sz w:val="24"/>
        </w:rPr>
        <w:t xml:space="preserve"> </w:t>
      </w:r>
    </w:p>
    <w:p>
      <w:pPr>
        <w:pStyle w:val="Normal"/>
        <w:ind w:start="720" w:end="0"/>
        <w:jc w:val="both"/>
        <w:rPr>
          <w:sz w:val="24"/>
          <w:vertAlign w:val="superscript"/>
        </w:rPr>
      </w:pPr>
      <w:r>
        <w:rPr>
          <w:sz w:val="24"/>
          <w:vertAlign w:val="superscript"/>
        </w:rPr>
      </w:r>
    </w:p>
    <w:p>
      <w:pPr>
        <w:pStyle w:val="Normal"/>
        <w:ind w:start="720" w:end="0"/>
        <w:jc w:val="both"/>
        <w:rPr>
          <w:sz w:val="24"/>
        </w:rPr>
      </w:pPr>
      <w:r>
        <w:rPr>
          <w:sz w:val="24"/>
        </w:rPr>
        <w:t>“</w:t>
      </w:r>
      <w:r>
        <w:rPr>
          <w:sz w:val="24"/>
        </w:rPr>
        <w:t>Additional Energy” shall mean the quantity of energy as to any given day necessary for the Seller's Facility to generate at a level of 230 MWs for each hour scheduled by Buyer, but no more than  the product of: (i) 230 MW less the Contract Capacity Quantity, times (ii) the number of hours such difference is scheduled by the Buyer.</w:t>
      </w:r>
    </w:p>
    <w:p>
      <w:pPr>
        <w:pStyle w:val="Normal"/>
        <w:ind w:start="720" w:end="0"/>
        <w:jc w:val="both"/>
        <w:rPr>
          <w:sz w:val="24"/>
        </w:rPr>
      </w:pPr>
      <w:r>
        <w:rPr>
          <w:sz w:val="24"/>
        </w:rPr>
      </w:r>
    </w:p>
    <w:p>
      <w:pPr>
        <w:pStyle w:val="Justified"/>
        <w:ind w:start="720" w:end="0"/>
        <w:rPr/>
      </w:pPr>
      <w:r>
        <w:rPr/>
        <w:t>“</w:t>
      </w:r>
      <w:r>
        <w:rPr>
          <w:i/>
        </w:rPr>
        <w:t>Affiliate</w:t>
      </w:r>
      <w:r>
        <w:rPr/>
        <w:t>” means, with respect to any Person, (a) any other Person directly or indirectly controlling, controlled by or under common control with such Person, (b) any other Person under the joint control, directly or indirectly, of such Person, and (c) any officer, director or employee of such Person or of any other Person described in subsection (a) or (b) of this sentence. For this purpose, "control" means the direct or indirect ownership of fifty percent (50%) or more of the outstanding capital stock or other equity interests having ordinary voting power.</w:t>
      </w:r>
    </w:p>
    <w:p>
      <w:pPr>
        <w:pStyle w:val="Normal"/>
        <w:ind w:start="720" w:end="0"/>
        <w:jc w:val="both"/>
        <w:rPr>
          <w:sz w:val="24"/>
        </w:rPr>
      </w:pPr>
      <w:r>
        <w:rPr>
          <w:sz w:val="24"/>
        </w:rPr>
      </w:r>
    </w:p>
    <w:p>
      <w:pPr>
        <w:pStyle w:val="Normal"/>
        <w:ind w:start="720" w:end="0"/>
        <w:jc w:val="both"/>
        <w:rPr/>
      </w:pPr>
      <w:r>
        <w:rPr>
          <w:sz w:val="24"/>
        </w:rPr>
        <w:t>“</w:t>
      </w:r>
      <w:r>
        <w:rPr>
          <w:i/>
          <w:sz w:val="24"/>
        </w:rPr>
        <w:t>Available Capacity</w:t>
      </w:r>
      <w:r>
        <w:rPr>
          <w:sz w:val="24"/>
        </w:rPr>
        <w:t>” shall mean the Contract Capacity Quantity supplied by Seller to Buyer from Seller's Facility, reduced pro rata for any period of time that Seller's Facility is not capable of operation at a Rated Capability of 514 MW due to a Unit Forced Outage or Uncontrollable Forces.  For example, if Seller's Facility is only capable of operating at 250 MW due to a Unit Forced Outage, and the Contract Capacity Quantity is equal to 100 MW, the Available Capacity shall be 100 MW divided by 514 MW multiplied by 250 MW, or 49 MW for such period of reduced availability.</w:t>
      </w:r>
    </w:p>
    <w:p>
      <w:pPr>
        <w:pStyle w:val="Normal"/>
        <w:rPr>
          <w:sz w:val="24"/>
        </w:rPr>
      </w:pPr>
      <w:r>
        <w:rPr>
          <w:sz w:val="24"/>
        </w:rPr>
      </w:r>
    </w:p>
    <w:p>
      <w:pPr>
        <w:pStyle w:val="Normal"/>
        <w:ind w:start="720" w:end="0"/>
        <w:jc w:val="both"/>
        <w:rPr/>
      </w:pPr>
      <w:r>
        <w:rPr>
          <w:sz w:val="24"/>
        </w:rPr>
        <w:t>“</w:t>
      </w:r>
      <w:r>
        <w:rPr>
          <w:i/>
          <w:sz w:val="24"/>
        </w:rPr>
        <w:t>Available Energy</w:t>
      </w:r>
      <w:r>
        <w:rPr>
          <w:sz w:val="24"/>
        </w:rPr>
        <w:t>” shall mean the amount of megawatts per hour available to Buyer in each hour of  a Day from the Available Capacity for up to twenty-four consecutive hours in a Day.</w:t>
      </w:r>
    </w:p>
    <w:p>
      <w:pPr>
        <w:pStyle w:val="Normal"/>
        <w:jc w:val="both"/>
        <w:rPr>
          <w:sz w:val="24"/>
        </w:rPr>
      </w:pPr>
      <w:r>
        <w:rPr>
          <w:sz w:val="24"/>
        </w:rPr>
      </w:r>
    </w:p>
    <w:p>
      <w:pPr>
        <w:pStyle w:val="Normal"/>
        <w:ind w:start="720" w:end="0"/>
        <w:jc w:val="both"/>
        <w:rPr/>
      </w:pPr>
      <w:r>
        <w:rPr>
          <w:sz w:val="24"/>
        </w:rPr>
        <w:t xml:space="preserve"> “</w:t>
      </w:r>
      <w:r>
        <w:rPr>
          <w:i/>
          <w:sz w:val="24"/>
        </w:rPr>
        <w:t>Billing Meters</w:t>
      </w:r>
      <w:r>
        <w:rPr>
          <w:sz w:val="24"/>
        </w:rPr>
        <w:t>” shall have the meaning as set forth in Section 19.</w:t>
      </w:r>
    </w:p>
    <w:p>
      <w:pPr>
        <w:pStyle w:val="Normal"/>
        <w:jc w:val="both"/>
        <w:rPr>
          <w:sz w:val="24"/>
        </w:rPr>
      </w:pPr>
      <w:r>
        <w:rPr>
          <w:sz w:val="24"/>
        </w:rPr>
      </w:r>
    </w:p>
    <w:p>
      <w:pPr>
        <w:pStyle w:val="Normal"/>
        <w:ind w:start="720" w:end="0"/>
        <w:jc w:val="both"/>
        <w:rPr/>
      </w:pPr>
      <w:r>
        <w:rPr>
          <w:sz w:val="24"/>
        </w:rPr>
        <w:t>“</w:t>
      </w:r>
      <w:r>
        <w:rPr>
          <w:i/>
          <w:sz w:val="24"/>
        </w:rPr>
        <w:t>Business Day</w:t>
      </w:r>
      <w:r>
        <w:rPr>
          <w:sz w:val="24"/>
        </w:rPr>
        <w:t>” shall mean Monday through Friday, exclusive of all NERC holidays, during the term hereof.</w:t>
      </w:r>
    </w:p>
    <w:p>
      <w:pPr>
        <w:pStyle w:val="Normal"/>
        <w:ind w:firstLine="720" w:end="0"/>
        <w:jc w:val="both"/>
        <w:rPr>
          <w:i/>
          <w:i/>
          <w:sz w:val="24"/>
        </w:rPr>
      </w:pPr>
      <w:r>
        <w:rPr>
          <w:i/>
          <w:sz w:val="24"/>
        </w:rPr>
      </w:r>
    </w:p>
    <w:p>
      <w:pPr>
        <w:pStyle w:val="Normal"/>
        <w:ind w:firstLine="720" w:end="0"/>
        <w:jc w:val="both"/>
        <w:rPr/>
      </w:pPr>
      <w:r>
        <w:rPr>
          <w:sz w:val="24"/>
        </w:rPr>
        <w:t>“</w:t>
      </w:r>
      <w:r>
        <w:rPr>
          <w:i/>
          <w:sz w:val="24"/>
        </w:rPr>
        <w:t>Buyer</w:t>
      </w:r>
      <w:r>
        <w:rPr>
          <w:sz w:val="24"/>
        </w:rPr>
        <w:t>” shall have the meaning as set forth in the opening paragraph.</w:t>
      </w:r>
    </w:p>
    <w:p>
      <w:pPr>
        <w:pStyle w:val="Normal"/>
        <w:ind w:firstLine="720" w:end="0"/>
        <w:jc w:val="both"/>
        <w:rPr>
          <w:sz w:val="24"/>
        </w:rPr>
      </w:pPr>
      <w:r>
        <w:rPr>
          <w:sz w:val="24"/>
        </w:rPr>
      </w:r>
    </w:p>
    <w:p>
      <w:pPr>
        <w:pStyle w:val="Normal"/>
        <w:ind w:firstLine="720" w:end="0"/>
        <w:jc w:val="both"/>
        <w:rPr/>
      </w:pPr>
      <w:r>
        <w:rPr>
          <w:i/>
          <w:sz w:val="24"/>
        </w:rPr>
        <w:t xml:space="preserve">"Buyer Guaranty" </w:t>
      </w:r>
      <w:r>
        <w:rPr>
          <w:sz w:val="24"/>
        </w:rPr>
        <w:t>has the meaning set forth in Section 17.</w:t>
      </w:r>
    </w:p>
    <w:p>
      <w:pPr>
        <w:pStyle w:val="Normal"/>
        <w:ind w:firstLine="720" w:end="0"/>
        <w:jc w:val="both"/>
        <w:rPr>
          <w:sz w:val="24"/>
        </w:rPr>
      </w:pPr>
      <w:r>
        <w:rPr>
          <w:sz w:val="24"/>
        </w:rPr>
      </w:r>
    </w:p>
    <w:p>
      <w:pPr>
        <w:pStyle w:val="Normal"/>
        <w:ind w:firstLine="720" w:end="0"/>
        <w:jc w:val="both"/>
        <w:rPr>
          <w:i/>
          <w:i/>
          <w:sz w:val="24"/>
        </w:rPr>
      </w:pPr>
      <w:r>
        <w:rPr>
          <w:i/>
          <w:sz w:val="24"/>
        </w:rPr>
        <w:t>"Buyer Indemnitees</w:t>
      </w:r>
      <w:r>
        <w:rPr>
          <w:sz w:val="24"/>
        </w:rPr>
        <w:t>" has the meaning set forth in Section 16(a).</w:t>
      </w:r>
    </w:p>
    <w:p>
      <w:pPr>
        <w:pStyle w:val="Normal"/>
        <w:ind w:firstLine="720" w:end="0"/>
        <w:jc w:val="both"/>
        <w:rPr>
          <w:i/>
          <w:i/>
          <w:sz w:val="24"/>
        </w:rPr>
      </w:pPr>
      <w:r>
        <w:rPr>
          <w:i/>
          <w:sz w:val="24"/>
        </w:rPr>
      </w:r>
    </w:p>
    <w:p>
      <w:pPr>
        <w:pStyle w:val="Normal"/>
        <w:ind w:start="720" w:end="0"/>
        <w:jc w:val="both"/>
        <w:rPr/>
      </w:pPr>
      <w:r>
        <w:rPr>
          <w:i/>
          <w:sz w:val="24"/>
        </w:rPr>
        <w:t>"Capacity Adjustment Rate"</w:t>
      </w:r>
      <w:r>
        <w:rPr>
          <w:sz w:val="24"/>
        </w:rPr>
        <w:t xml:space="preserve"> has the meaning set forth on the Confirmation.</w:t>
      </w:r>
    </w:p>
    <w:p>
      <w:pPr>
        <w:pStyle w:val="Normal"/>
        <w:ind w:firstLine="720" w:end="0"/>
        <w:jc w:val="both"/>
        <w:rPr>
          <w:sz w:val="24"/>
        </w:rPr>
      </w:pPr>
      <w:r>
        <w:rPr>
          <w:sz w:val="24"/>
        </w:rPr>
      </w:r>
    </w:p>
    <w:p>
      <w:pPr>
        <w:pStyle w:val="Normal"/>
        <w:ind w:start="720" w:end="0"/>
        <w:jc w:val="both"/>
        <w:rPr/>
      </w:pPr>
      <w:r>
        <w:rPr>
          <w:sz w:val="24"/>
        </w:rPr>
        <w:t>“</w:t>
      </w:r>
      <w:r>
        <w:rPr>
          <w:i/>
          <w:sz w:val="24"/>
        </w:rPr>
        <w:t>Capacity Charge</w:t>
      </w:r>
      <w:r>
        <w:rPr>
          <w:sz w:val="24"/>
        </w:rPr>
        <w:t>” shall have the meaning set forth in Section 7(c).</w:t>
      </w:r>
    </w:p>
    <w:p>
      <w:pPr>
        <w:pStyle w:val="Normal"/>
        <w:ind w:firstLine="720" w:end="0"/>
        <w:jc w:val="both"/>
        <w:rPr>
          <w:sz w:val="24"/>
        </w:rPr>
      </w:pPr>
      <w:r>
        <w:rPr>
          <w:sz w:val="24"/>
        </w:rPr>
      </w:r>
    </w:p>
    <w:p>
      <w:pPr>
        <w:pStyle w:val="Normal"/>
        <w:ind w:start="720" w:end="0"/>
        <w:jc w:val="both"/>
        <w:rPr/>
      </w:pPr>
      <w:r>
        <w:rPr>
          <w:sz w:val="24"/>
        </w:rPr>
        <w:t>“</w:t>
      </w:r>
      <w:r>
        <w:rPr>
          <w:i/>
          <w:sz w:val="24"/>
        </w:rPr>
        <w:t>Contract Capacity Quantity</w:t>
      </w:r>
      <w:r>
        <w:rPr>
          <w:sz w:val="24"/>
        </w:rPr>
        <w:t>” shall have the meaning set forth on the Confirmation reflecting the capacity purchased under this Agreement.</w:t>
      </w:r>
    </w:p>
    <w:p>
      <w:pPr>
        <w:pStyle w:val="Normal"/>
        <w:ind w:firstLine="720" w:end="0"/>
        <w:jc w:val="both"/>
        <w:rPr>
          <w:sz w:val="24"/>
        </w:rPr>
      </w:pPr>
      <w:r>
        <w:rPr>
          <w:sz w:val="24"/>
        </w:rPr>
      </w:r>
    </w:p>
    <w:p>
      <w:pPr>
        <w:pStyle w:val="Normal"/>
        <w:ind w:firstLine="720" w:end="0"/>
        <w:jc w:val="both"/>
        <w:rPr/>
      </w:pPr>
      <w:r>
        <w:rPr>
          <w:sz w:val="24"/>
        </w:rPr>
        <w:t>“</w:t>
      </w:r>
      <w:r>
        <w:rPr>
          <w:i/>
          <w:sz w:val="24"/>
        </w:rPr>
        <w:t>CPT</w:t>
      </w:r>
      <w:r>
        <w:rPr>
          <w:sz w:val="24"/>
        </w:rPr>
        <w:t>” shall mean Central Prevailing Time.</w:t>
      </w:r>
    </w:p>
    <w:p>
      <w:pPr>
        <w:pStyle w:val="Normal"/>
        <w:ind w:firstLine="720" w:end="0"/>
        <w:jc w:val="both"/>
        <w:rPr>
          <w:sz w:val="24"/>
        </w:rPr>
      </w:pPr>
      <w:r>
        <w:rPr>
          <w:sz w:val="24"/>
        </w:rPr>
      </w:r>
    </w:p>
    <w:p>
      <w:pPr>
        <w:pStyle w:val="Normal"/>
        <w:ind w:firstLine="720" w:end="0"/>
        <w:jc w:val="both"/>
        <w:rPr/>
      </w:pPr>
      <w:r>
        <w:rPr>
          <w:sz w:val="24"/>
        </w:rPr>
        <w:t>“</w:t>
      </w:r>
      <w:r>
        <w:rPr>
          <w:i/>
          <w:sz w:val="24"/>
        </w:rPr>
        <w:t>Day</w:t>
      </w:r>
      <w:r>
        <w:rPr>
          <w:sz w:val="24"/>
        </w:rPr>
        <w:t>” shall mean a calendar day unless specifically noted otherwise.</w:t>
      </w:r>
    </w:p>
    <w:p>
      <w:pPr>
        <w:pStyle w:val="Normal"/>
        <w:ind w:firstLine="720" w:end="0"/>
        <w:jc w:val="both"/>
        <w:rPr>
          <w:sz w:val="24"/>
        </w:rPr>
      </w:pPr>
      <w:r>
        <w:rPr>
          <w:sz w:val="24"/>
        </w:rPr>
      </w:r>
    </w:p>
    <w:p>
      <w:pPr>
        <w:pStyle w:val="Normal"/>
        <w:ind w:firstLine="720" w:end="0"/>
        <w:jc w:val="both"/>
        <w:rPr/>
      </w:pPr>
      <w:r>
        <w:rPr>
          <w:sz w:val="24"/>
        </w:rPr>
        <w:t>“</w:t>
      </w:r>
      <w:r>
        <w:rPr>
          <w:i/>
          <w:sz w:val="24"/>
        </w:rPr>
        <w:t>Defaulting Party</w:t>
      </w:r>
      <w:r>
        <w:rPr>
          <w:sz w:val="24"/>
        </w:rPr>
        <w:t xml:space="preserve">” means the Party with respect to which an Event of Default has </w:t>
      </w:r>
    </w:p>
    <w:p>
      <w:pPr>
        <w:pStyle w:val="Normal"/>
        <w:ind w:firstLine="720" w:end="0"/>
        <w:jc w:val="both"/>
        <w:rPr>
          <w:sz w:val="24"/>
        </w:rPr>
      </w:pPr>
      <w:r>
        <w:rPr>
          <w:sz w:val="24"/>
        </w:rPr>
        <w:t>occurred.</w:t>
      </w:r>
    </w:p>
    <w:p>
      <w:pPr>
        <w:pStyle w:val="Normal"/>
        <w:ind w:firstLine="720" w:end="0"/>
        <w:jc w:val="both"/>
        <w:rPr>
          <w:sz w:val="24"/>
        </w:rPr>
      </w:pPr>
      <w:r>
        <w:rPr>
          <w:sz w:val="24"/>
        </w:rPr>
      </w:r>
    </w:p>
    <w:p>
      <w:pPr>
        <w:pStyle w:val="Normal"/>
        <w:ind w:start="720" w:end="0"/>
        <w:jc w:val="both"/>
        <w:rPr/>
      </w:pPr>
      <w:r>
        <w:rPr>
          <w:sz w:val="24"/>
        </w:rPr>
        <w:t>“</w:t>
      </w:r>
      <w:r>
        <w:rPr>
          <w:i/>
          <w:sz w:val="24"/>
        </w:rPr>
        <w:t>Delivery Point</w:t>
      </w:r>
      <w:r>
        <w:rPr>
          <w:sz w:val="24"/>
        </w:rPr>
        <w:t>” shall mean the busbar of the Seller’s Facility located at the interconnection between the Seller’s Facility and Central Power and Light Company’s (CPL) transmission system at the 138 KV switching station (located immediately south of CPL’s J.L. Bates 138 KV substation), where the Available Energy and Additional Energy sold hereunder is to be delivered. Buyer's designated point of delivery for Replacement Energy is addressed in Section 3(b) hereof.</w:t>
      </w:r>
    </w:p>
    <w:p>
      <w:pPr>
        <w:pStyle w:val="Normal"/>
        <w:ind w:firstLine="720" w:end="0"/>
        <w:jc w:val="both"/>
        <w:rPr>
          <w:sz w:val="24"/>
        </w:rPr>
      </w:pPr>
      <w:r>
        <w:rPr>
          <w:sz w:val="24"/>
        </w:rPr>
      </w:r>
    </w:p>
    <w:p>
      <w:pPr>
        <w:pStyle w:val="Normal"/>
        <w:ind w:start="720" w:end="0"/>
        <w:jc w:val="both"/>
        <w:rPr/>
      </w:pPr>
      <w:r>
        <w:rPr>
          <w:i/>
          <w:sz w:val="24"/>
        </w:rPr>
        <w:t>"Energy Interchange Classification Resource Type D"</w:t>
      </w:r>
      <w:r>
        <w:rPr>
          <w:sz w:val="24"/>
        </w:rPr>
        <w:t xml:space="preserve"> has the meaning set forth in Section 3.</w:t>
      </w:r>
    </w:p>
    <w:p>
      <w:pPr>
        <w:pStyle w:val="Normal"/>
        <w:ind w:firstLine="720" w:end="0"/>
        <w:jc w:val="both"/>
        <w:rPr>
          <w:sz w:val="24"/>
        </w:rPr>
      </w:pPr>
      <w:r>
        <w:rPr>
          <w:sz w:val="24"/>
        </w:rPr>
      </w:r>
    </w:p>
    <w:p>
      <w:pPr>
        <w:pStyle w:val="Normal"/>
        <w:ind w:firstLine="720" w:end="0"/>
        <w:jc w:val="both"/>
        <w:rPr/>
      </w:pPr>
      <w:r>
        <w:rPr>
          <w:sz w:val="24"/>
        </w:rPr>
        <w:t>“</w:t>
      </w:r>
      <w:r>
        <w:rPr>
          <w:i/>
          <w:sz w:val="24"/>
        </w:rPr>
        <w:t>Energy Price</w:t>
      </w:r>
      <w:r>
        <w:rPr>
          <w:sz w:val="24"/>
        </w:rPr>
        <w:t>” shall have the meaning set forth in Section 7(a).</w:t>
      </w:r>
    </w:p>
    <w:p>
      <w:pPr>
        <w:pStyle w:val="Normal"/>
        <w:ind w:firstLine="720" w:end="0"/>
        <w:jc w:val="both"/>
        <w:rPr>
          <w:sz w:val="24"/>
        </w:rPr>
      </w:pPr>
      <w:r>
        <w:rPr>
          <w:sz w:val="24"/>
        </w:rPr>
      </w:r>
    </w:p>
    <w:p>
      <w:pPr>
        <w:pStyle w:val="Normal"/>
        <w:ind w:firstLine="720" w:end="0"/>
        <w:jc w:val="both"/>
        <w:rPr/>
      </w:pPr>
      <w:r>
        <w:rPr>
          <w:sz w:val="24"/>
        </w:rPr>
        <w:t>“</w:t>
      </w:r>
      <w:r>
        <w:rPr>
          <w:i/>
          <w:sz w:val="24"/>
        </w:rPr>
        <w:t>ERCOT</w:t>
      </w:r>
      <w:r>
        <w:rPr>
          <w:sz w:val="24"/>
        </w:rPr>
        <w:t>” shall mean the Electric Reliability Council of Texas.</w:t>
      </w:r>
    </w:p>
    <w:p>
      <w:pPr>
        <w:pStyle w:val="Normal"/>
        <w:ind w:firstLine="720" w:end="0"/>
        <w:jc w:val="both"/>
        <w:rPr>
          <w:sz w:val="24"/>
        </w:rPr>
      </w:pPr>
      <w:r>
        <w:rPr>
          <w:sz w:val="24"/>
        </w:rPr>
      </w:r>
    </w:p>
    <w:p>
      <w:pPr>
        <w:pStyle w:val="BodyTextIndent"/>
        <w:rPr>
          <w:sz w:val="24"/>
        </w:rPr>
      </w:pPr>
      <w:r>
        <w:rPr>
          <w:sz w:val="24"/>
        </w:rPr>
      </w:r>
    </w:p>
    <w:p>
      <w:pPr>
        <w:pStyle w:val="Normal"/>
        <w:ind w:firstLine="720" w:end="0"/>
        <w:jc w:val="both"/>
        <w:rPr/>
      </w:pPr>
      <w:r>
        <w:rPr>
          <w:sz w:val="24"/>
        </w:rPr>
        <w:t>“</w:t>
      </w:r>
      <w:r>
        <w:rPr>
          <w:i/>
          <w:sz w:val="24"/>
        </w:rPr>
        <w:t>ERCOT ISO</w:t>
      </w:r>
      <w:r>
        <w:rPr>
          <w:sz w:val="24"/>
        </w:rPr>
        <w:t>” shall mean the ERCOT Independent System Operator.</w:t>
      </w:r>
    </w:p>
    <w:p>
      <w:pPr>
        <w:pStyle w:val="Normal"/>
        <w:ind w:firstLine="720" w:end="0"/>
        <w:jc w:val="both"/>
        <w:rPr>
          <w:sz w:val="24"/>
        </w:rPr>
      </w:pPr>
      <w:r>
        <w:rPr>
          <w:sz w:val="24"/>
        </w:rPr>
      </w:r>
    </w:p>
    <w:p>
      <w:pPr>
        <w:pStyle w:val="Normal"/>
        <w:ind w:firstLine="720" w:end="0"/>
        <w:jc w:val="both"/>
        <w:rPr/>
      </w:pPr>
      <w:r>
        <w:rPr>
          <w:sz w:val="24"/>
        </w:rPr>
        <w:t>“</w:t>
      </w:r>
      <w:r>
        <w:rPr>
          <w:i/>
          <w:sz w:val="24"/>
        </w:rPr>
        <w:t xml:space="preserve">Event of Default” </w:t>
      </w:r>
      <w:r>
        <w:rPr>
          <w:sz w:val="24"/>
        </w:rPr>
        <w:t>means:</w:t>
      </w:r>
    </w:p>
    <w:p>
      <w:pPr>
        <w:pStyle w:val="Normal"/>
        <w:ind w:firstLine="720" w:end="0"/>
        <w:jc w:val="both"/>
        <w:rPr>
          <w:sz w:val="24"/>
        </w:rPr>
      </w:pPr>
      <w:r>
        <w:rPr>
          <w:sz w:val="24"/>
        </w:rPr>
      </w:r>
    </w:p>
    <w:p>
      <w:pPr>
        <w:pStyle w:val="Normal"/>
        <w:tabs>
          <w:tab w:val="clear" w:pos="720"/>
          <w:tab w:val="left" w:pos="1440" w:leader="none"/>
        </w:tabs>
        <w:ind w:hanging="720" w:start="1440" w:end="0"/>
        <w:jc w:val="both"/>
        <w:rPr>
          <w:sz w:val="24"/>
        </w:rPr>
      </w:pPr>
      <w:r>
        <w:rPr>
          <w:sz w:val="24"/>
        </w:rPr>
        <w:t>(A)</w:t>
        <w:tab/>
        <w:t>The failure of a Party to make payment as required hereunder five (5) Business Days after written notice is provided pursuant to Section 9(c) or to perform any other obligation hereunder (except nonperformance by either Party covered by Section 14) ten (10) Business Days after written notice of failure to perform is provided pursuant to Section 15(a); or</w:t>
      </w:r>
    </w:p>
    <w:p>
      <w:pPr>
        <w:pStyle w:val="Normal"/>
        <w:tabs>
          <w:tab w:val="clear" w:pos="720"/>
          <w:tab w:val="left" w:pos="1440" w:leader="none"/>
        </w:tabs>
        <w:ind w:hanging="720" w:start="1440" w:end="0"/>
        <w:rPr>
          <w:sz w:val="24"/>
        </w:rPr>
      </w:pPr>
      <w:r>
        <w:rPr>
          <w:sz w:val="24"/>
        </w:rPr>
      </w:r>
    </w:p>
    <w:p>
      <w:pPr>
        <w:pStyle w:val="Normal"/>
        <w:tabs>
          <w:tab w:val="clear" w:pos="720"/>
          <w:tab w:val="left" w:pos="1440" w:leader="none"/>
        </w:tabs>
        <w:ind w:hanging="720" w:start="1440" w:end="0"/>
        <w:rPr>
          <w:sz w:val="24"/>
        </w:rPr>
      </w:pPr>
      <w:r>
        <w:rPr>
          <w:sz w:val="24"/>
        </w:rPr>
        <w:t>(B)</w:t>
        <w:tab/>
        <w:t>The repudiation by either Party of any obligation under this Agreement; or</w:t>
      </w:r>
    </w:p>
    <w:p>
      <w:pPr>
        <w:pStyle w:val="Normal"/>
        <w:tabs>
          <w:tab w:val="clear" w:pos="720"/>
          <w:tab w:val="left" w:pos="1440" w:leader="none"/>
        </w:tabs>
        <w:ind w:hanging="720" w:start="1440" w:end="0"/>
        <w:rPr>
          <w:sz w:val="24"/>
        </w:rPr>
      </w:pPr>
      <w:r>
        <w:rPr>
          <w:sz w:val="24"/>
        </w:rPr>
      </w:r>
    </w:p>
    <w:p>
      <w:pPr>
        <w:pStyle w:val="Normal"/>
        <w:tabs>
          <w:tab w:val="clear" w:pos="720"/>
          <w:tab w:val="left" w:pos="1440" w:leader="none"/>
        </w:tabs>
        <w:ind w:hanging="720" w:start="1440" w:end="0"/>
        <w:jc w:val="both"/>
        <w:rPr>
          <w:sz w:val="24"/>
        </w:rPr>
      </w:pPr>
      <w:r>
        <w:rPr>
          <w:sz w:val="24"/>
        </w:rPr>
        <w:t>(C)</w:t>
        <w:tab/>
        <w:t>Either Party (i) is dissolved (other than pursuant to a consolidation, amalgamation or merger); (ii) becomes insolvent; (iii) makes a general assignment, arrangement or composition with or for the benefit of its creditors; (iv) institutes or has instituted against it a proceeding seeking a judgment of insolvency or bankruptcy or any similar proceeding brought to enforce laws affecting creditors' rights, and, in the case of any such proceeding instituted against such Party, the proceeding (1) results in a judgment of insolvency or bankruptcy or the entry of an order for relief or (2) is not dismissed, discharged, stayed or restrained within ten (10) Days of the institution  thereof; (v) seeks or becomes subject to the appointment of an administrator, receiver, trustee, or other similar official for such Party or for all or substantially all of such Party’s  assets; (vi) has a creditor take possession of all or substantially all of such Party’s assets or has a distress, execution, attachment, sequestration or other legal process levied, enforced or sued on or against all or substantially all its assets and such creditor maintains possession, and any such process is not dismissed, discharged, stayed or restrained, within ten (10) Days thereafter; (vii)  causes or is made subject to any event with respect to such Party that, under the applicable laws of any jurisdiction, has an analogous effect to any of the events specified in clauses (i) to (vi); or (viii) takes any action in furtherance of, or indicating its consent to, approval of, or acquiescence in, any of the above-mentioned acts; or</w:t>
      </w:r>
    </w:p>
    <w:p>
      <w:pPr>
        <w:pStyle w:val="Normal"/>
        <w:tabs>
          <w:tab w:val="clear" w:pos="720"/>
          <w:tab w:val="left" w:pos="1440" w:leader="none"/>
        </w:tabs>
        <w:ind w:hanging="720" w:start="1440" w:end="0"/>
        <w:jc w:val="both"/>
        <w:rPr>
          <w:sz w:val="24"/>
        </w:rPr>
      </w:pPr>
      <w:r>
        <w:rPr>
          <w:sz w:val="24"/>
        </w:rPr>
      </w:r>
    </w:p>
    <w:p>
      <w:pPr>
        <w:pStyle w:val="Article1aL4"/>
        <w:numPr>
          <w:ilvl w:val="0"/>
          <w:numId w:val="0"/>
        </w:numPr>
        <w:tabs>
          <w:tab w:val="left" w:pos="720" w:leader="none"/>
        </w:tabs>
        <w:ind w:hanging="720" w:start="1440" w:end="0"/>
        <w:jc w:val="both"/>
        <w:rPr/>
      </w:pPr>
      <w:r>
        <w:rPr/>
        <w:t>(D)</w:t>
        <w:tab/>
        <w:t>The transfer of all or substantially all of the assets of either Party or the merger of either Party with any other person or the consolidation of either Party with any other person, (i) that causes a material adverse change in the financial condition of such Party or, (ii) pursuant to which the entity existing after the transfer, merger or consolidation does not assume the obligations of such Party hereunder by operation of law or otherwise, and provide or cause to be provided suitable Performance Assurance, parent company guaranty and /or other credit support consistent with the “Credit Requirements” Article hereof; or</w:t>
      </w:r>
    </w:p>
    <w:p>
      <w:pPr>
        <w:pStyle w:val="Article1aL4"/>
        <w:numPr>
          <w:ilvl w:val="0"/>
          <w:numId w:val="0"/>
        </w:numPr>
        <w:tabs>
          <w:tab w:val="left" w:pos="720" w:leader="none"/>
        </w:tabs>
        <w:ind w:hanging="720" w:start="1440" w:end="0"/>
        <w:rPr/>
      </w:pPr>
      <w:r>
        <w:rPr/>
        <w:t>(E)</w:t>
        <w:tab/>
        <w:t>The making of a materially incorrect or misleading representation or warranty under this Agreement.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tab/>
        <w:t>“</w:t>
      </w:r>
      <w:r>
        <w:rPr>
          <w:i/>
        </w:rPr>
        <w:t>Fuel Cost</w:t>
      </w:r>
      <w:r>
        <w:rPr/>
        <w:t>” shall mean, for any Day, the product of (i) the Fuel Price ($/MMBtu) for such Day and (ii) Heat Rate (MMBtu/MWh).</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tab/>
        <w:t>“</w:t>
      </w:r>
      <w:r>
        <w:rPr>
          <w:i/>
        </w:rPr>
        <w:t>Fuel Price</w:t>
      </w:r>
      <w:r>
        <w:rPr/>
        <w:t xml:space="preserve">” unless otherwise agreed to by the Parties, means the Midpoint, expressed in $/MMBtu, reported in </w:t>
      </w:r>
      <w:r>
        <w:rPr>
          <w:u w:val="single"/>
        </w:rPr>
        <w:t>Gas Daily</w:t>
      </w:r>
      <w:r>
        <w:rPr/>
        <w:t xml:space="preserve"> under the heading “Houston Ship Channel,” for the Day the energy is delivered, plus $0.07/MMBtu.  If the Midpoint is not reported for any such Day, the index used to determine the Fuel Price shall be the Midpoint, expressed in $/MMBtu, reported in </w:t>
      </w:r>
      <w:r>
        <w:rPr>
          <w:u w:val="single"/>
        </w:rPr>
        <w:t>Gas Daily</w:t>
      </w:r>
      <w:r>
        <w:rPr/>
        <w:t xml:space="preserve"> under the heading “Houston Ship Channel,” for the first Day such index is reported immediately following the Day the energy was delivered, plus $0.07/MMBtu.</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tab/>
        <w:t>“</w:t>
      </w:r>
      <w:r>
        <w:rPr>
          <w:i/>
        </w:rPr>
        <w:t>Heat Rate</w:t>
      </w:r>
      <w:r>
        <w:rPr/>
        <w:t>” shall be 7.7 MMBtu/MWh.</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tab/>
        <w:t>“</w:t>
      </w:r>
      <w:r>
        <w:rPr>
          <w:i/>
        </w:rPr>
        <w:t>Interest Rate</w:t>
      </w:r>
      <w:r>
        <w:rPr/>
        <w:t>” has the meaning set forth in 9(c).</w:t>
      </w:r>
    </w:p>
    <w:p>
      <w:pPr>
        <w:pStyle w:val="Normal"/>
        <w:ind w:firstLine="720" w:end="0"/>
        <w:jc w:val="both"/>
        <w:rPr>
          <w:sz w:val="24"/>
        </w:rPr>
      </w:pPr>
      <w:r>
        <w:rPr>
          <w:sz w:val="24"/>
        </w:rPr>
      </w:r>
    </w:p>
    <w:p>
      <w:pPr>
        <w:pStyle w:val="Normal"/>
        <w:ind w:firstLine="720" w:end="0"/>
        <w:jc w:val="both"/>
        <w:rPr/>
      </w:pPr>
      <w:r>
        <w:rPr>
          <w:i/>
          <w:sz w:val="24"/>
        </w:rPr>
        <w:t xml:space="preserve">"Losses" </w:t>
      </w:r>
      <w:r>
        <w:rPr>
          <w:sz w:val="24"/>
        </w:rPr>
        <w:t>has the meaning set forth in Section 16(a).</w:t>
      </w:r>
    </w:p>
    <w:p>
      <w:pPr>
        <w:pStyle w:val="Normal"/>
        <w:ind w:firstLine="720" w:end="0"/>
        <w:jc w:val="both"/>
        <w:rPr>
          <w:sz w:val="24"/>
        </w:rPr>
      </w:pPr>
      <w:r>
        <w:rPr>
          <w:sz w:val="24"/>
        </w:rPr>
      </w:r>
    </w:p>
    <w:p>
      <w:pPr>
        <w:pStyle w:val="Normal"/>
        <w:ind w:firstLine="720" w:end="0"/>
        <w:jc w:val="both"/>
        <w:rPr/>
      </w:pPr>
      <w:r>
        <w:rPr>
          <w:sz w:val="24"/>
        </w:rPr>
        <w:t>“</w:t>
      </w:r>
      <w:r>
        <w:rPr>
          <w:i/>
          <w:sz w:val="24"/>
        </w:rPr>
        <w:t>NERC</w:t>
      </w:r>
      <w:r>
        <w:rPr>
          <w:sz w:val="24"/>
        </w:rPr>
        <w:t>” shall mean the North American Electric Reliability Council.</w:t>
      </w:r>
    </w:p>
    <w:p>
      <w:pPr>
        <w:pStyle w:val="Normal"/>
        <w:ind w:firstLine="720" w:end="0"/>
        <w:jc w:val="both"/>
        <w:rPr>
          <w:sz w:val="24"/>
        </w:rPr>
      </w:pPr>
      <w:r>
        <w:rPr>
          <w:sz w:val="24"/>
        </w:rPr>
      </w:r>
    </w:p>
    <w:p>
      <w:pPr>
        <w:pStyle w:val="Normal"/>
        <w:ind w:firstLine="720" w:end="0"/>
        <w:jc w:val="both"/>
        <w:rPr/>
      </w:pPr>
      <w:r>
        <w:rPr>
          <w:sz w:val="24"/>
        </w:rPr>
        <w:t>“</w:t>
      </w:r>
      <w:r>
        <w:rPr>
          <w:i/>
          <w:sz w:val="24"/>
        </w:rPr>
        <w:t>Non-Business Days</w:t>
      </w:r>
      <w:r>
        <w:rPr>
          <w:sz w:val="24"/>
        </w:rPr>
        <w:t>” shall mean all Days other than Business Days.</w:t>
      </w:r>
    </w:p>
    <w:p>
      <w:pPr>
        <w:pStyle w:val="Normal"/>
        <w:ind w:firstLine="720" w:end="0"/>
        <w:jc w:val="both"/>
        <w:rPr>
          <w:sz w:val="24"/>
        </w:rPr>
      </w:pPr>
      <w:r>
        <w:rPr>
          <w:sz w:val="24"/>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pPr>
      <w:r>
        <w:rPr/>
        <w:tab/>
        <w:t>“</w:t>
      </w:r>
      <w:r>
        <w:rPr>
          <w:i/>
        </w:rPr>
        <w:t>O&amp;M Cost</w:t>
      </w:r>
      <w:r>
        <w:rPr/>
        <w:t>” shall be $2.25/MWh.</w:t>
      </w:r>
    </w:p>
    <w:p>
      <w:pPr>
        <w:pStyle w:val="Normal"/>
        <w:ind w:start="720" w:end="0"/>
        <w:jc w:val="both"/>
        <w:rPr/>
      </w:pPr>
      <w:r>
        <w:rPr/>
      </w:r>
    </w:p>
    <w:p>
      <w:pPr>
        <w:pStyle w:val="Normal"/>
        <w:ind w:start="720" w:end="0"/>
        <w:jc w:val="both"/>
        <w:rPr/>
      </w:pPr>
      <w:r>
        <w:rPr>
          <w:sz w:val="24"/>
        </w:rPr>
        <w:t>“</w:t>
      </w:r>
      <w:r>
        <w:rPr>
          <w:i/>
          <w:sz w:val="24"/>
        </w:rPr>
        <w:t>On-Peak Availability Hours</w:t>
      </w:r>
      <w:r>
        <w:rPr>
          <w:sz w:val="24"/>
        </w:rPr>
        <w:t>” shall mean each hour commencing HE0700 through HE2300 CPT, Monday through Sunday, including NERC holidays.</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hanging="720" w:start="720" w:end="0"/>
        <w:jc w:val="both"/>
        <w:rPr>
          <w:sz w:val="24"/>
        </w:rPr>
      </w:pPr>
      <w:r>
        <w:rPr>
          <w:sz w:val="24"/>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start="720" w:end="0"/>
        <w:jc w:val="both"/>
        <w:rPr/>
      </w:pPr>
      <w:r>
        <w:rPr/>
        <w:t>“</w:t>
      </w:r>
      <w:r>
        <w:rPr>
          <w:i/>
        </w:rPr>
        <w:t>Performing Party</w:t>
      </w:r>
      <w:r>
        <w:rPr/>
        <w:t>” means, upon the occurrence of an Event of Default, the non-Defaulting Party with respect to such Event of Default.</w:t>
      </w:r>
    </w:p>
    <w:p>
      <w:pPr>
        <w:pStyle w:val="Normal"/>
        <w:ind w:start="720" w:end="0"/>
        <w:jc w:val="both"/>
        <w:rPr>
          <w:sz w:val="24"/>
        </w:rPr>
      </w:pPr>
      <w:r>
        <w:rPr>
          <w:sz w:val="24"/>
        </w:rPr>
      </w:r>
    </w:p>
    <w:p>
      <w:pPr>
        <w:pStyle w:val="Normal"/>
        <w:ind w:start="720" w:end="0"/>
        <w:jc w:val="both"/>
        <w:rPr/>
      </w:pPr>
      <w:r>
        <w:rPr>
          <w:i/>
          <w:sz w:val="24"/>
        </w:rPr>
        <w:t>"Replacement Energy"</w:t>
      </w:r>
      <w:r>
        <w:rPr>
          <w:sz w:val="24"/>
        </w:rPr>
        <w:t xml:space="preserve"> shall mean energy supplied from sources (including Seller's Facility) that Seller elects, but is not required, to provide as replacement for the energy to be supplied hereunder following Buyer’s exercise of its call option, up to the amount of the Contract Capacity Quantity per hour.</w:t>
      </w:r>
    </w:p>
    <w:p>
      <w:pPr>
        <w:pStyle w:val="Normal"/>
        <w:ind w:start="720" w:end="0"/>
        <w:jc w:val="both"/>
        <w:rPr>
          <w:i/>
          <w:i/>
          <w:sz w:val="24"/>
        </w:rPr>
      </w:pPr>
      <w:r>
        <w:rPr>
          <w:i/>
          <w:sz w:val="24"/>
        </w:rPr>
      </w:r>
    </w:p>
    <w:p>
      <w:pPr>
        <w:pStyle w:val="Normal"/>
        <w:ind w:start="720" w:end="0"/>
        <w:jc w:val="both"/>
        <w:rPr/>
      </w:pPr>
      <w:r>
        <w:rPr>
          <w:i/>
          <w:sz w:val="24"/>
        </w:rPr>
        <w:t xml:space="preserve">"Season" </w:t>
      </w:r>
      <w:r>
        <w:rPr>
          <w:sz w:val="24"/>
        </w:rPr>
        <w:t>means 1</w:t>
      </w:r>
      <w:r>
        <w:rPr>
          <w:sz w:val="24"/>
          <w:vertAlign w:val="superscript"/>
        </w:rPr>
        <w:t>st</w:t>
      </w:r>
      <w:r>
        <w:rPr>
          <w:sz w:val="24"/>
        </w:rPr>
        <w:t>, 2</w:t>
      </w:r>
      <w:r>
        <w:rPr>
          <w:sz w:val="24"/>
          <w:vertAlign w:val="superscript"/>
        </w:rPr>
        <w:t>nd</w:t>
      </w:r>
      <w:r>
        <w:rPr>
          <w:sz w:val="24"/>
        </w:rPr>
        <w:t>,and/or  3</w:t>
      </w:r>
      <w:r>
        <w:rPr>
          <w:sz w:val="24"/>
          <w:vertAlign w:val="superscript"/>
        </w:rPr>
        <w:t>rd</w:t>
      </w:r>
      <w:r>
        <w:rPr>
          <w:sz w:val="24"/>
        </w:rPr>
        <w:t xml:space="preserve">,Season or any combination of as the context requires. </w:t>
      </w:r>
    </w:p>
    <w:p>
      <w:pPr>
        <w:pStyle w:val="Normal"/>
        <w:ind w:start="720" w:end="0"/>
        <w:jc w:val="both"/>
        <w:rPr>
          <w:sz w:val="24"/>
        </w:rPr>
      </w:pPr>
      <w:r>
        <w:rPr>
          <w:sz w:val="24"/>
        </w:rPr>
      </w:r>
    </w:p>
    <w:p>
      <w:pPr>
        <w:pStyle w:val="Normal"/>
        <w:ind w:start="720" w:end="0"/>
        <w:jc w:val="both"/>
        <w:rPr/>
      </w:pPr>
      <w:r>
        <w:rPr>
          <w:sz w:val="24"/>
        </w:rPr>
        <w:t>“</w:t>
      </w:r>
      <w:r>
        <w:rPr>
          <w:i/>
          <w:sz w:val="24"/>
        </w:rPr>
        <w:t>Seller</w:t>
      </w:r>
      <w:r>
        <w:rPr>
          <w:sz w:val="24"/>
        </w:rPr>
        <w:t>” shall have the meaning as set forth in the opening paragraph.</w:t>
      </w:r>
    </w:p>
    <w:p>
      <w:pPr>
        <w:pStyle w:val="Normal"/>
        <w:ind w:firstLine="720" w:end="0"/>
        <w:jc w:val="both"/>
        <w:rPr>
          <w:sz w:val="24"/>
        </w:rPr>
      </w:pPr>
      <w:r>
        <w:rPr>
          <w:sz w:val="24"/>
        </w:rPr>
      </w:r>
    </w:p>
    <w:p>
      <w:pPr>
        <w:pStyle w:val="Normal"/>
        <w:ind w:firstLine="720" w:end="0"/>
        <w:jc w:val="both"/>
        <w:rPr/>
      </w:pPr>
      <w:r>
        <w:rPr>
          <w:sz w:val="24"/>
        </w:rPr>
        <w:t>“</w:t>
      </w:r>
      <w:r>
        <w:rPr>
          <w:i/>
          <w:sz w:val="24"/>
        </w:rPr>
        <w:t>Seller Facility</w:t>
      </w:r>
      <w:r>
        <w:rPr>
          <w:sz w:val="24"/>
        </w:rPr>
        <w:t>” or “</w:t>
      </w:r>
      <w:r>
        <w:rPr>
          <w:i/>
          <w:sz w:val="24"/>
        </w:rPr>
        <w:t>Seller’s</w:t>
      </w:r>
      <w:r>
        <w:rPr>
          <w:sz w:val="24"/>
        </w:rPr>
        <w:t xml:space="preserve"> </w:t>
      </w:r>
      <w:r>
        <w:rPr>
          <w:i/>
          <w:sz w:val="24"/>
        </w:rPr>
        <w:t>Facility</w:t>
      </w:r>
      <w:r>
        <w:rPr>
          <w:sz w:val="24"/>
        </w:rPr>
        <w:t>” shall have the meaning as set forth in the Recitals.</w:t>
      </w:r>
    </w:p>
    <w:p>
      <w:pPr>
        <w:pStyle w:val="Normal"/>
        <w:ind w:firstLine="720" w:end="0"/>
        <w:jc w:val="both"/>
        <w:rPr>
          <w:sz w:val="24"/>
        </w:rPr>
      </w:pPr>
      <w:r>
        <w:rPr>
          <w:sz w:val="24"/>
        </w:rPr>
      </w:r>
    </w:p>
    <w:p>
      <w:pPr>
        <w:pStyle w:val="Normal"/>
        <w:ind w:firstLine="720" w:end="0"/>
        <w:jc w:val="both"/>
        <w:rPr/>
      </w:pPr>
      <w:r>
        <w:rPr>
          <w:i/>
          <w:sz w:val="24"/>
        </w:rPr>
        <w:t>"Seller Indemnitees"</w:t>
      </w:r>
      <w:r>
        <w:rPr>
          <w:sz w:val="24"/>
        </w:rPr>
        <w:t xml:space="preserve"> has the meaning set forth in Section 16(b).</w:t>
      </w:r>
    </w:p>
    <w:p>
      <w:pPr>
        <w:pStyle w:val="Normal"/>
        <w:ind w:firstLine="720" w:end="0"/>
        <w:jc w:val="both"/>
        <w:rPr>
          <w:sz w:val="24"/>
        </w:rPr>
      </w:pPr>
      <w:r>
        <w:rPr>
          <w:sz w:val="24"/>
        </w:rPr>
      </w:r>
    </w:p>
    <w:p>
      <w:pPr>
        <w:pStyle w:val="Heading6"/>
        <w:tabs>
          <w:tab w:val="clear" w:pos="720"/>
          <w:tab w:val="left" w:pos="780" w:leader="none"/>
          <w:tab w:val="left" w:pos="1980" w:leader="none"/>
          <w:tab w:val="left" w:pos="2520" w:leader="none"/>
        </w:tabs>
        <w:ind w:hanging="0" w:start="720" w:end="0"/>
        <w:jc w:val="both"/>
        <w:rPr/>
      </w:pPr>
      <w:r>
        <w:rPr>
          <w:sz w:val="24"/>
        </w:rPr>
        <w:t>“</w:t>
      </w:r>
      <w:r>
        <w:rPr>
          <w:i/>
          <w:sz w:val="24"/>
        </w:rPr>
        <w:t>Settlement Payment</w:t>
      </w:r>
      <w:r>
        <w:rPr>
          <w:sz w:val="24"/>
        </w:rPr>
        <w:t xml:space="preserve">” means, with respect to Seller, the positive difference, if any, of the remaining balance of the Capacity Charges to be paid to Seller, less the market value of a call option for the capacity and Energy Interchange Classification Resource Type D energy purchased under this Agreement for the remaining balance of the Term as determined by the average of three independent broker or industry participant quotes (chosen by Seller), determined as of the Early Termination Date when this Agreement is terminated and liquidated by the Seller pursuant to Section 15(d) hereof and, with respect to Buyer, means the positive difference, if any, of the market value of a call option for the capacity and  Energy Interchange Classification Resource Type D energy purchased under this Agreement for the remaining balance of the Term as determined by the average of three independent broker or industry participant quotes (chosen by Buyer) determined as of the Early Termination Date when this Agreement is terminated and liquidated pursuant to Section 15(d), less the remaining balance of the Capacity Charges that Buyer would otherwise have made to Seller. The Settlement Payment shall be paid to the Party to whom such net amount is owed within three (3) Business Days of receipt of the notice delivered under Section 15(d), which amount shall bear interest at the Interest Rate from the effective date of the notice of liquidation (“the “Early Termination Date”) until paid.  </w:t>
      </w:r>
    </w:p>
    <w:p>
      <w:pPr>
        <w:pStyle w:val="Heading6"/>
        <w:keepNext w:val="true"/>
        <w:tabs>
          <w:tab w:val="clear" w:pos="720"/>
          <w:tab w:val="left" w:pos="1080" w:leader="none"/>
          <w:tab w:val="left" w:pos="1800" w:leader="none"/>
        </w:tabs>
        <w:ind w:hanging="0" w:start="0"/>
        <w:rPr/>
      </w:pPr>
      <w:r>
        <w:rPr/>
      </w:r>
    </w:p>
    <w:p>
      <w:pPr>
        <w:pStyle w:val="Normal"/>
        <w:ind w:firstLine="720" w:end="0"/>
        <w:jc w:val="both"/>
        <w:rPr>
          <w:sz w:val="24"/>
        </w:rPr>
      </w:pPr>
      <w:r>
        <w:rPr>
          <w:sz w:val="24"/>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start="720" w:end="0"/>
        <w:jc w:val="both"/>
        <w:rPr/>
      </w:pPr>
      <w:r>
        <w:rPr/>
        <w:t>“</w:t>
      </w:r>
      <w:r>
        <w:rPr>
          <w:i/>
        </w:rPr>
        <w:t>Start Charge</w:t>
      </w:r>
      <w:r>
        <w:rPr/>
        <w:t>” shall be 562 MMBtu times the Fuel Price applicable for the Day the Start Charge is assessed.</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ind w:start="720" w:end="0"/>
        <w:jc w:val="both"/>
        <w:rPr/>
      </w:pPr>
      <w:r>
        <w:rPr/>
      </w:r>
    </w:p>
    <w:p>
      <w:pPr>
        <w:pStyle w:val="Normal"/>
        <w:ind w:firstLine="720" w:end="0"/>
        <w:jc w:val="both"/>
        <w:rPr/>
      </w:pPr>
      <w:r>
        <w:rPr>
          <w:sz w:val="24"/>
        </w:rPr>
        <w:t>“</w:t>
      </w:r>
      <w:r>
        <w:rPr>
          <w:i/>
          <w:sz w:val="24"/>
        </w:rPr>
        <w:t>Uncontrollable Forces</w:t>
      </w:r>
      <w:r>
        <w:rPr>
          <w:sz w:val="24"/>
        </w:rPr>
        <w:t>” shall have the meaning as set forth in Section 13(a).</w:t>
      </w:r>
    </w:p>
    <w:p>
      <w:pPr>
        <w:pStyle w:val="Normal"/>
        <w:ind w:firstLine="720" w:end="0"/>
        <w:jc w:val="both"/>
        <w:rPr>
          <w:sz w:val="24"/>
        </w:rPr>
      </w:pPr>
      <w:r>
        <w:rPr>
          <w:sz w:val="24"/>
        </w:rPr>
      </w:r>
    </w:p>
    <w:p>
      <w:pPr>
        <w:pStyle w:val="Normal"/>
        <w:ind w:start="720" w:end="0"/>
        <w:jc w:val="both"/>
        <w:rPr/>
      </w:pPr>
      <w:r>
        <w:rPr>
          <w:sz w:val="24"/>
        </w:rPr>
        <w:t>“</w:t>
      </w:r>
      <w:r>
        <w:rPr>
          <w:i/>
          <w:sz w:val="24"/>
        </w:rPr>
        <w:t>Unit Forced Outage</w:t>
      </w:r>
      <w:r>
        <w:rPr>
          <w:sz w:val="24"/>
        </w:rPr>
        <w:t>” shall mean any unavailablity, in whole or in part, of the Seller’s Facility whereby the Seller's Facility is not capable of fully operating at its Rated Capability due to (i) a Forced Derating, Forced Outage, Maintenance Derating, Maintenance Outage, Planned Derating, Planned Outage, (all as defined in the NERC Generating Unit Availability Data System (GADS) Data Reporting Instructions); or (ii) the actual or, based upon reasonable engineering judgment, an expected  failure of component(s) that reduces electrical generating output from time to time from the Seller’s Facility so as to prevent Seller from performing its obligations hereunder.  Seller currently has planned maintenance outages of 8 days duration preliminarily scheduled in April and November, 2001 for a total of approximately 16 days and</w:t>
      </w:r>
      <w:r>
        <w:rPr>
          <w:sz w:val="24"/>
          <w:u w:val="single"/>
        </w:rPr>
        <w:t xml:space="preserve"> </w:t>
      </w:r>
      <w:r>
        <w:rPr>
          <w:sz w:val="24"/>
        </w:rPr>
        <w:t xml:space="preserve">to the maximum extent possible Seller shall give Buyer advance notice of any Unit Forced Outage or other interruption or potential interruption of service hereunder.  In relation to any Maintenance Derating, Maintenance Outage, Planned Derating, or Planned Outage the Parties shall, acting in good faith, coordinate in advance as to the scheduling thereof to minimize the potential impacts of any resulting unavailability of energy for delivery hereunder.  </w:t>
      </w:r>
    </w:p>
    <w:p>
      <w:pPr>
        <w:pStyle w:val="Normal"/>
        <w:jc w:val="both"/>
        <w:rPr>
          <w:sz w:val="24"/>
        </w:rPr>
      </w:pPr>
      <w:r>
        <w:rPr>
          <w:sz w:val="24"/>
        </w:rPr>
      </w:r>
    </w:p>
    <w:p>
      <w:pPr>
        <w:pStyle w:val="Normal"/>
        <w:jc w:val="center"/>
        <w:rPr>
          <w:sz w:val="24"/>
          <w:u w:val="single"/>
        </w:rPr>
      </w:pPr>
      <w:r>
        <w:rPr>
          <w:sz w:val="24"/>
          <w:u w:val="single"/>
        </w:rPr>
        <w:t>TRANSACTION TERMS</w:t>
      </w:r>
    </w:p>
    <w:p>
      <w:pPr>
        <w:pStyle w:val="Normal"/>
        <w:jc w:val="center"/>
        <w:rPr>
          <w:sz w:val="24"/>
          <w:u w:val="single"/>
        </w:rPr>
      </w:pPr>
      <w:r>
        <w:rPr>
          <w:sz w:val="24"/>
          <w:u w:val="single"/>
        </w:rPr>
      </w:r>
    </w:p>
    <w:p>
      <w:pPr>
        <w:pStyle w:val="Normal"/>
        <w:keepNext w:val="true"/>
        <w:ind w:firstLine="720" w:end="0"/>
        <w:jc w:val="both"/>
        <w:rPr/>
      </w:pPr>
      <w:r>
        <w:rPr>
          <w:sz w:val="24"/>
        </w:rPr>
        <w:t>2.</w:t>
        <w:tab/>
      </w:r>
      <w:r>
        <w:rPr>
          <w:sz w:val="24"/>
          <w:u w:val="single"/>
        </w:rPr>
        <w:t>Term</w:t>
      </w:r>
      <w:r>
        <w:rPr>
          <w:sz w:val="24"/>
        </w:rPr>
        <w:t>.  The term (“Term”) for the sale and purchase of capacity and energy under this Agreement shall begin at Hour Ending 0100 CPT on the Term Start Date set forth on the Confirmation, and shall end at Hour Ending 2400  CPT on the Term End Date set forth on the Confirmation.</w:t>
      </w:r>
    </w:p>
    <w:p>
      <w:pPr>
        <w:pStyle w:val="Normal"/>
        <w:jc w:val="both"/>
        <w:rPr>
          <w:sz w:val="24"/>
        </w:rPr>
      </w:pPr>
      <w:r>
        <w:rPr>
          <w:sz w:val="24"/>
        </w:rPr>
      </w:r>
    </w:p>
    <w:p>
      <w:pPr>
        <w:pStyle w:val="Normal"/>
        <w:keepNext w:val="true"/>
        <w:jc w:val="both"/>
        <w:rPr>
          <w:sz w:val="24"/>
        </w:rPr>
      </w:pPr>
      <w:r>
        <w:rPr>
          <w:sz w:val="24"/>
        </w:rPr>
        <w:tab/>
        <w:t>3.</w:t>
        <w:tab/>
      </w:r>
      <w:r>
        <w:rPr>
          <w:sz w:val="24"/>
          <w:u w:val="single"/>
        </w:rPr>
        <w:t>Types of Energy</w:t>
      </w:r>
    </w:p>
    <w:p>
      <w:pPr>
        <w:pStyle w:val="Normal"/>
        <w:keepNext w:val="true"/>
        <w:ind w:firstLine="720" w:end="0"/>
        <w:jc w:val="both"/>
        <w:rPr>
          <w:sz w:val="24"/>
        </w:rPr>
      </w:pPr>
      <w:r>
        <w:rPr>
          <w:sz w:val="24"/>
        </w:rPr>
      </w:r>
    </w:p>
    <w:p>
      <w:pPr>
        <w:pStyle w:val="Normal"/>
        <w:tabs>
          <w:tab w:val="clear" w:pos="720"/>
          <w:tab w:val="left" w:pos="0" w:leader="none"/>
        </w:tabs>
        <w:jc w:val="both"/>
        <w:rPr/>
      </w:pPr>
      <w:r>
        <w:rPr>
          <w:sz w:val="24"/>
        </w:rPr>
        <w:tab/>
        <w:tab/>
        <w:t>(a)</w:t>
        <w:tab/>
      </w:r>
      <w:r>
        <w:rPr>
          <w:sz w:val="24"/>
          <w:u w:val="single"/>
        </w:rPr>
        <w:t>Energy Interchange Classification Resource Type D</w:t>
      </w:r>
      <w:r>
        <w:rPr>
          <w:sz w:val="24"/>
        </w:rPr>
        <w:t xml:space="preserve">.  The type of energy to be delivered hereunder is Energy Interchange Classification Resource Type D as defined in the ERCOT Operating Guides, with the following specified contingencies.  With respect to this Agreement,  Seller's obligation to supply Energy Interchange Classification Resource Type D is contingent upon the availability of the Seller’s Facility, specified as follows.  Seller’s failure to deliver Energy Interchange Classification Resource Type D shall be excused if and to the extent that the Seller’s Facility is unavailable, in whole or in part, as a result of a Unit Forced Outage or Uncontrollable Force.  With respect to a Unit Forced Outage or Uncontrollable Force, Seller's delivery obligation to Buyer shall be prorated to the extent of any reduction in availability of the Seller's Facility.  In the event of a Unit Forced Outage, Seller shall not be liable to Buyer or any third party for any damages, losses or claims of any nature, except as specifically treated in this Agreement. </w:t>
      </w:r>
    </w:p>
    <w:p>
      <w:pPr>
        <w:pStyle w:val="Normal"/>
        <w:ind w:firstLine="1440" w:end="0"/>
        <w:jc w:val="both"/>
        <w:rPr>
          <w:sz w:val="24"/>
        </w:rPr>
      </w:pPr>
      <w:r>
        <w:rPr>
          <w:sz w:val="24"/>
        </w:rPr>
      </w:r>
    </w:p>
    <w:p>
      <w:pPr>
        <w:pStyle w:val="Normal"/>
        <w:tabs>
          <w:tab w:val="clear" w:pos="720"/>
          <w:tab w:val="left" w:pos="0" w:leader="none"/>
        </w:tabs>
        <w:jc w:val="both"/>
        <w:rPr/>
      </w:pPr>
      <w:r>
        <w:rPr/>
        <w:tab/>
      </w:r>
      <w:r>
        <w:rPr>
          <w:sz w:val="24"/>
        </w:rPr>
        <w:t>(b)</w:t>
        <w:tab/>
        <w:t>Additional Energy / Replacement Energy.  As to any given Day of the Term as determined on a day-ahead basis at the time of Buyer’s exercise of Buyer’s call option, if Seller’s Facility is not scheduled to produce at least 230 MWs (taking into consideration all delivery obligations relating to the Facility)</w:t>
      </w:r>
      <w:r>
        <w:rPr/>
        <w:t xml:space="preserve"> </w:t>
      </w:r>
      <w:r>
        <w:rPr>
          <w:sz w:val="24"/>
        </w:rPr>
        <w:t>in each hour of the schedule, (including the Contract Capacity Quantity), Seller shall immediately inform Buyer of the projected shortfall from 230 MWs for any such hour, and</w:t>
      </w:r>
      <w:r>
        <w:rPr/>
        <w:t xml:space="preserve"> </w:t>
      </w:r>
      <w:r>
        <w:rPr>
          <w:sz w:val="24"/>
        </w:rPr>
        <w:t>Buyer shall have the right, but not the obligation, to purchase all of</w:t>
      </w:r>
      <w:r>
        <w:rPr/>
        <w:t xml:space="preserve"> </w:t>
      </w:r>
      <w:r>
        <w:rPr>
          <w:sz w:val="24"/>
        </w:rPr>
        <w:t>such shortfall for each such hour as</w:t>
      </w:r>
      <w:r>
        <w:rPr/>
        <w:t xml:space="preserve"> </w:t>
      </w:r>
      <w:r>
        <w:rPr>
          <w:sz w:val="24"/>
        </w:rPr>
        <w:t>Additional Energy for a price equal to the higher of: (a) a market price as determined by the average of three independent broker or industry participant quotes (mutually chosen by the Parties, but failing agreement, each Party selects one and the two so selected choose a third) or (b) the Energy Price.  If Buyer (i) does not purchase Additional Energy, and (ii) subject to the provisions of Section 5(a) relating to Buyer’s call when the Available Capacity is less than the Contract Capacity Quantity, then if Seller elects to provide Replacement Energy, Seller shall on a day-ahead basis have the option exercisable until 9:05 AM CPT, but not the obligation, to supply Replacement Energy for all of the aggregate difference between the Available Capacity and the Contract Capacity Quantity (or energy in the amount of the full Contract Capacity Quantity if the Facility is not scheduled to produce at least 230 MWs per the first sentence hereof) as Available Energy hereunder, and shall deliver notice of such election to Buyer or Buyer’s agent that Replacement Energy shall be so delivered, and scheduling shall thereafter be completed pursuant to Section 6(a).  If the source for Replacement Energy is other than Seller's Facility, then Buyer shall designate to Seller the point at which the Replacement Energy is to be delivered to Buyer at or prior to 8:50 AM CPT, and then Seller shall have the option until 9:05 AM CPT to deliver Replacement Energy at such point of delivery ("Buyer's point of delivery").  If Seller chooses to deliver to the Buyer's point of delivery, then Seller shall be solely responsible for arranging and paying for transmission service from the source of the Replacement Energy to the point of delivery designated by Buyer. Replacement Energy shall be deemed to be Available Energy for all purposes under this Agreement, and if Seller’s Facility is the source for the Replacement Energy, Seller shall deliver such energy to the busbar of Seller’s Facility.  Any Additional Energy supplied by Seller to Buyer shall be at the Delivery Point, with no obligation to deliver Additional Energy to Buyer's point of delivery.  Additional Energy shall not be considered to be Available Energy for any purpose under this</w:t>
      </w:r>
      <w:r>
        <w:rPr/>
        <w:t xml:space="preserve"> </w:t>
      </w:r>
      <w:r>
        <w:rPr>
          <w:sz w:val="24"/>
        </w:rPr>
        <w:t xml:space="preserve">Agreement. Notwithstanding anything else stated in this Agreement, Unit Forced Outage shall not excuse Seller’s day-ahead or other scheduled delivery of Replacement Energy from sources other than the Facility.  </w:t>
      </w:r>
      <w:r>
        <w:rPr>
          <w:color w:val="000000"/>
          <w:sz w:val="24"/>
          <w:lang w:val="en-US" w:eastAsia="en-US"/>
        </w:rPr>
        <w:t>As to any day that Additional Energy and Available Energy/Replacement Energy was scheduled on a day-ahead basis for delivery hereunder, any partial interruption of such aggregate delivery of energy shall be deemed to first reduce the quantity of Additional Energy delivered (up to the full quantity of Additional Energy purchased by Buyer) before any Available Energy or Replacement Energy shall be deemed interrupted.  As to any day of the Term that Buyer does not exercise its call option under Section 5(a), no option shall be exercisable hereunder as to Replacement Energy or Additional Energy, respectively.</w:t>
      </w:r>
      <w:r>
        <w:rPr/>
        <w:t xml:space="preserve">  </w:t>
      </w:r>
    </w:p>
    <w:p>
      <w:pPr>
        <w:pStyle w:val="BodyTextIndent3"/>
        <w:spacing w:lineRule="auto" w:line="240"/>
        <w:ind w:hanging="0" w:end="0"/>
        <w:rPr/>
      </w:pPr>
      <w:r>
        <w:rPr/>
      </w:r>
    </w:p>
    <w:p>
      <w:pPr>
        <w:pStyle w:val="Normal"/>
        <w:keepNext w:val="true"/>
        <w:ind w:firstLine="1440" w:end="0"/>
        <w:jc w:val="both"/>
        <w:rPr/>
      </w:pPr>
      <w:r>
        <w:rPr>
          <w:sz w:val="24"/>
        </w:rPr>
        <w:t>(c)</w:t>
        <w:tab/>
      </w:r>
      <w:r>
        <w:rPr>
          <w:sz w:val="24"/>
          <w:u w:val="single"/>
        </w:rPr>
        <w:t>Energy Supplied Pursuant to ERCOT ISO Directives.</w:t>
      </w:r>
      <w:r>
        <w:rPr>
          <w:sz w:val="24"/>
        </w:rPr>
        <w:t xml:space="preserve">  If Seller sells or reduces the output of all or a portion of the generation from Seller’s Facility at the direction of the ERCOT ISO such that Seller must reduce the amount of Available Energy and Additional Energy to be delivered to Buyer in each hour, then Buyer shall be entitled to a pro-rata share (taking into consideration all delivery obligations relating to the Seller's Facility) of the number of MWs sold by Seller at the direction of the ERCOT ISO for such hour(s).  Seller shall have the sole right and obligation to negotiate the terms and conditions of the sale of Buyer’s pro rata share of energy from the Seller’s Facility pursuant to the ERCOT ISO directive, and Buyer shall be bound by such sale; provided however, that in advance of any such sale or bid to reduce output of a portion of the generation from Seller’s Facility at the direction of the ERCOT ISO, Seller shall obtain  Buyer’s prior consent regarding the pricing applicable to the sale of Buyer’s pro rata share of energy from the Seller’s Facility by contacting Buyer’s 24 hour desk (tel. 800-349-5527) and Buyer shall quote a market based price or forfeit its opportunity to determine the price as to such sale.  To the extent Seller sells energy or reduces the output from Seller's Facility pursuant to the ERCOT ISO directive that otherwise would have been Available Energy or Additional Energy for delivery to Buyer pursuant to Buyer’s schedule, such energy (excepting the Additional Energy) shall be deemed to be Available Energy delivered to Buyer for all purposes of this Agreement; and Seller shall pay Buyer the proceeds of all such Available Energy (and there is no obligation upon Seller to pay liquidated damages pursuant to Section 14(a) hereof) and Additional Energy sold pursuant to the ERCOT ISO directive less the Energy Price thereof (or other applicable price pertaining to the Additional Energy) had such energy been delivered to Buyer pursuant to this Agreement.</w:t>
      </w:r>
    </w:p>
    <w:p>
      <w:pPr>
        <w:pStyle w:val="Normal"/>
        <w:keepNext w:val="true"/>
        <w:ind w:firstLine="1440" w:end="0"/>
        <w:jc w:val="both"/>
        <w:rPr>
          <w:sz w:val="24"/>
        </w:rPr>
      </w:pPr>
      <w:r>
        <w:rPr>
          <w:sz w:val="24"/>
        </w:rPr>
      </w:r>
    </w:p>
    <w:p>
      <w:pPr>
        <w:pStyle w:val="Normal"/>
        <w:keepNext w:val="true"/>
        <w:ind w:firstLine="1440" w:end="0"/>
        <w:jc w:val="both"/>
        <w:rPr>
          <w:sz w:val="24"/>
        </w:rPr>
      </w:pPr>
      <w:r>
        <w:rPr>
          <w:sz w:val="24"/>
        </w:rPr>
        <w:t>(d)</w:t>
        <w:tab/>
        <w:t>Buyer represents and warrants that it will not resell capacity and energy purchased hereunder to a  delivery point outside of ERCOT. Buyer makes no representation or warranty on subsequent deliveries of capacity and energy by counterparty after Buyer’s resale.</w:t>
      </w:r>
    </w:p>
    <w:p>
      <w:pPr>
        <w:pStyle w:val="Normal"/>
        <w:ind w:firstLine="1440" w:end="0"/>
        <w:jc w:val="both"/>
        <w:rPr>
          <w:sz w:val="24"/>
        </w:rPr>
      </w:pPr>
      <w:r>
        <w:rPr>
          <w:sz w:val="24"/>
        </w:rPr>
      </w:r>
    </w:p>
    <w:p>
      <w:pPr>
        <w:pStyle w:val="Normal"/>
        <w:ind w:firstLine="1440" w:end="0"/>
        <w:jc w:val="both"/>
        <w:rPr>
          <w:sz w:val="24"/>
        </w:rPr>
      </w:pPr>
      <w:r>
        <w:rPr>
          <w:sz w:val="24"/>
        </w:rPr>
        <w:t>(e)</w:t>
        <w:tab/>
        <w:t>Seller shall not cancel or otherwise interrupt deliveries to Buyer to sell or transfer any energy committed to Buyer to a third party to gain an economic benefit for Seller, unless such sale is directed by the ERCOT ISO.</w:t>
      </w:r>
    </w:p>
    <w:p>
      <w:pPr>
        <w:pStyle w:val="Normal"/>
        <w:ind w:firstLine="1440" w:end="0"/>
        <w:jc w:val="both"/>
        <w:rPr>
          <w:sz w:val="24"/>
        </w:rPr>
      </w:pPr>
      <w:r>
        <w:rPr>
          <w:sz w:val="24"/>
        </w:rPr>
      </w:r>
    </w:p>
    <w:p>
      <w:pPr>
        <w:pStyle w:val="Normal"/>
        <w:numPr>
          <w:ilvl w:val="0"/>
          <w:numId w:val="4"/>
        </w:numPr>
        <w:ind w:firstLine="1440" w:start="0" w:end="0"/>
        <w:jc w:val="both"/>
        <w:rPr>
          <w:sz w:val="24"/>
        </w:rPr>
      </w:pPr>
      <w:r>
        <w:rPr>
          <w:sz w:val="24"/>
        </w:rPr>
        <w:t>Energy will be supplied at the Delivery Point (or in the case of Replacement Energy, at the Buyer's point of delivery) as three phase, alternating 60 hertz current.</w:t>
      </w:r>
    </w:p>
    <w:p>
      <w:pPr>
        <w:pStyle w:val="Normal"/>
        <w:jc w:val="both"/>
        <w:rPr>
          <w:sz w:val="24"/>
        </w:rPr>
      </w:pPr>
      <w:r>
        <w:rPr>
          <w:sz w:val="24"/>
        </w:rPr>
      </w:r>
    </w:p>
    <w:p>
      <w:pPr>
        <w:pStyle w:val="Normal"/>
        <w:numPr>
          <w:ilvl w:val="0"/>
          <w:numId w:val="4"/>
        </w:numPr>
        <w:ind w:firstLine="1440" w:start="0" w:end="0"/>
        <w:jc w:val="both"/>
        <w:rPr>
          <w:sz w:val="24"/>
        </w:rPr>
      </w:pPr>
      <w:r>
        <w:rPr>
          <w:sz w:val="24"/>
        </w:rPr>
        <w:t>Each Party agrees to discharge its obligations hereunder in accordance with prudent industry practices, NERC Guidelines, and Rules and Procedures as contained in the ERCOT Operating Guides.</w:t>
      </w:r>
    </w:p>
    <w:p>
      <w:pPr>
        <w:pStyle w:val="Normal"/>
        <w:jc w:val="both"/>
        <w:rPr>
          <w:sz w:val="24"/>
        </w:rPr>
      </w:pPr>
      <w:r>
        <w:rPr>
          <w:sz w:val="24"/>
        </w:rPr>
      </w:r>
    </w:p>
    <w:p>
      <w:pPr>
        <w:pStyle w:val="Normal"/>
        <w:numPr>
          <w:ilvl w:val="0"/>
          <w:numId w:val="4"/>
        </w:numPr>
        <w:ind w:firstLine="1440" w:start="0" w:end="0"/>
        <w:jc w:val="both"/>
        <w:rPr>
          <w:sz w:val="24"/>
        </w:rPr>
      </w:pPr>
      <w:r>
        <w:rPr>
          <w:sz w:val="24"/>
        </w:rPr>
        <w:t xml:space="preserve">Seller represents, warrants and covenants that  it shall not sell or transfer to any third party the Contract Capacity Quantity which it has committed to Buyer under this Agreement.   If Buyer does not timely exercise its call option as to any given day and such option expires per Section 5(c), Seller has the right to sell the energy associated with the Contract Capacity Quantity to a third party.  </w:t>
      </w:r>
    </w:p>
    <w:p>
      <w:pPr>
        <w:pStyle w:val="Normal"/>
        <w:jc w:val="both"/>
        <w:rPr>
          <w:sz w:val="24"/>
        </w:rPr>
      </w:pPr>
      <w:r>
        <w:rPr>
          <w:sz w:val="24"/>
        </w:rPr>
      </w:r>
    </w:p>
    <w:p>
      <w:pPr>
        <w:pStyle w:val="Normal"/>
        <w:jc w:val="both"/>
        <w:rPr/>
      </w:pPr>
      <w:r>
        <w:rPr>
          <w:sz w:val="24"/>
        </w:rPr>
        <w:tab/>
        <w:t>4.</w:t>
        <w:tab/>
      </w:r>
      <w:r>
        <w:rPr>
          <w:sz w:val="24"/>
          <w:u w:val="single"/>
        </w:rPr>
        <w:t>Delivery Point Responsibility</w:t>
      </w:r>
      <w:r>
        <w:rPr>
          <w:sz w:val="24"/>
        </w:rPr>
        <w:t>.  Seller shall deliver to and Buyer shall receive the Available Energy and Additional Energy at the Delivery Point (or in the case of Replacement Energy, the Buyer's point of delivery of such Replacement Energy as provided in Section 3(b)) if timely called for and scheduled by Buyer, unless performance is excused by Uncontrollable Forces, Unit Forced Outage, or by the terms of the type of energy provided.  Seller shall arrange for and be solely responsible for all costs and expenses incurred in connection with the delivery of Buyer’s purchased energy to the Delivery Point.  Buyer shall arrange for and will be solely responsible for all costs and expenses incurred in connection with the transmission of Buyer’s purchased energy at and beyond the Delivery Point, except as otherwise provided with respect to Replacement Energy in Section 3(b) hereof.  Unless otherwise provided herein, Seller shall be responsible for all costs, transmission charges and line losses imposed or incurred in connection with the energy prior to the Delivery Point, and Buyer shall be responsible for all costs, transmission charges, and line losses imposed or incurred in connection with the energy at and after the Delivery Point.  Title to and risk of loss of the Available Energy and Additional Energy shall transfer from Seller to Buyer at the Delivery Point or at the Buyer's point of delivery for Replacement Energy not received from Seller’s Facility.</w:t>
      </w:r>
    </w:p>
    <w:p>
      <w:pPr>
        <w:pStyle w:val="Normal"/>
        <w:jc w:val="both"/>
        <w:rPr>
          <w:sz w:val="24"/>
          <w:u w:val="single"/>
        </w:rPr>
      </w:pPr>
      <w:r>
        <w:rPr>
          <w:sz w:val="24"/>
          <w:u w:val="single"/>
        </w:rPr>
      </w:r>
    </w:p>
    <w:p>
      <w:pPr>
        <w:pStyle w:val="Normal"/>
        <w:jc w:val="both"/>
        <w:rPr>
          <w:sz w:val="24"/>
        </w:rPr>
      </w:pPr>
      <w:r>
        <w:rPr>
          <w:sz w:val="24"/>
        </w:rPr>
        <w:tab/>
      </w:r>
      <w:r>
        <w:br w:type="page"/>
      </w:r>
    </w:p>
    <w:p>
      <w:pPr>
        <w:pStyle w:val="Normal"/>
        <w:jc w:val="both"/>
        <w:rPr/>
      </w:pPr>
      <w:r>
        <w:rPr>
          <w:sz w:val="24"/>
        </w:rPr>
        <w:t xml:space="preserve">5. </w:t>
        <w:tab/>
      </w:r>
      <w:r>
        <w:rPr>
          <w:sz w:val="24"/>
          <w:u w:val="single"/>
        </w:rPr>
        <w:t>Call Option.</w:t>
      </w:r>
    </w:p>
    <w:p>
      <w:pPr>
        <w:pStyle w:val="Normal"/>
        <w:jc w:val="both"/>
        <w:rPr>
          <w:sz w:val="24"/>
          <w:u w:val="single"/>
        </w:rPr>
      </w:pPr>
      <w:r>
        <w:rPr>
          <w:sz w:val="24"/>
          <w:u w:val="single"/>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lang w:val="en-CA" w:eastAsia="en-CA"/>
        </w:rPr>
      </w:pPr>
      <w:r>
        <w:rPr>
          <w:lang w:val="en-CA" w:eastAsia="en-CA"/>
        </w:rPr>
        <w:tab/>
        <w:tab/>
        <w:t>(a)</w:t>
        <w:tab/>
        <w:t xml:space="preserve">Subject to the conditions set forth in this Agreement, Buyer shall have a prior Business Day call option for  energy associated with the Contract Capacity Quantity for seven days per week, and twenty-four hours per day.  Buyer, at its option as to each such day of the Term, may elect to take zero or request delivery of all of  the energy quantity equal to the Contract Capacity Quantity in any hour, subject to the provisions of Section 3(b); provided however, in the event Buyer makes such a request, Seller shall only be obligated to deliver and Buyer must take the Available Energy, consistent with the parameters stated in Section 6(a).  At the time Buyer exercises its call option, Seller shall inform Buyer of the preliminary operating status of Seller's Facility and </w:t>
      </w:r>
      <w:r>
        <w:rPr/>
        <w:t xml:space="preserve"> of the amount of Available Energy projected for each hour of such following Day(s). </w:t>
      </w:r>
    </w:p>
    <w:p>
      <w:pPr>
        <w:pStyle w:val="Normal"/>
        <w:jc w:val="both"/>
        <w:rPr>
          <w:sz w:val="24"/>
          <w:lang w:val="en-CA" w:eastAsia="en-CA"/>
        </w:rPr>
      </w:pPr>
      <w:r>
        <w:rPr>
          <w:sz w:val="24"/>
          <w:lang w:val="en-CA" w:eastAsia="en-CA"/>
        </w:rPr>
      </w:r>
    </w:p>
    <w:p>
      <w:pPr>
        <w:pStyle w:val="Normal"/>
        <w:jc w:val="both"/>
        <w:rPr>
          <w:sz w:val="24"/>
        </w:rPr>
      </w:pPr>
      <w:r>
        <w:rPr>
          <w:sz w:val="24"/>
        </w:rPr>
        <w:tab/>
        <w:tab/>
        <w:t>(b)</w:t>
        <w:tab/>
        <w:t xml:space="preserve">To exercise its call option for any Business Day and/or immediately following Non-Business Day(s), Buyer must so inform Seller by telephonic, facsimile or instantaneous electronic communication, by 8:50 AM CPT of the immediately preceding Business Day.  If Buyer timely exercises its call option, Seller shall inform Buyer by 9:05 AM CPT of the quantity of Available Energy, Additional Energy and/or Replacement Energy to be scheduled. </w:t>
      </w:r>
    </w:p>
    <w:p>
      <w:pPr>
        <w:pStyle w:val="Normal"/>
        <w:jc w:val="both"/>
        <w:rPr>
          <w:sz w:val="24"/>
        </w:rPr>
      </w:pPr>
      <w:r>
        <w:rPr>
          <w:sz w:val="24"/>
        </w:rPr>
      </w:r>
    </w:p>
    <w:p>
      <w:pPr>
        <w:pStyle w:val="Normal"/>
        <w:jc w:val="both"/>
        <w:rPr>
          <w:sz w:val="24"/>
        </w:rPr>
      </w:pPr>
      <w:r>
        <w:rPr>
          <w:sz w:val="24"/>
        </w:rPr>
        <w:tab/>
        <w:tab/>
        <w:t>(c)</w:t>
        <w:tab/>
        <w:t>If Buyer fails to so timely exercise its call option pursuant to Section 5(b) above, the option shall expire and Buyer shall have no right to receive any Available Energy for the applicable Day(s) and shall not be entitled to any reduction in the Capacity Charge for the applicable Day(s).</w:t>
      </w:r>
    </w:p>
    <w:p>
      <w:pPr>
        <w:pStyle w:val="Normal"/>
        <w:jc w:val="both"/>
        <w:rPr>
          <w:sz w:val="24"/>
        </w:rPr>
      </w:pPr>
      <w:r>
        <w:rPr>
          <w:sz w:val="24"/>
        </w:rPr>
      </w:r>
    </w:p>
    <w:p>
      <w:pPr>
        <w:pStyle w:val="Normal"/>
        <w:keepNext w:val="true"/>
        <w:ind w:start="720" w:end="0"/>
        <w:jc w:val="both"/>
        <w:rPr/>
      </w:pPr>
      <w:r>
        <w:rPr>
          <w:sz w:val="24"/>
        </w:rPr>
        <w:t>6.</w:t>
        <w:tab/>
      </w:r>
      <w:r>
        <w:rPr>
          <w:sz w:val="24"/>
          <w:u w:val="single"/>
        </w:rPr>
        <w:t>Scheduling</w:t>
      </w:r>
      <w:r>
        <w:rPr>
          <w:sz w:val="24"/>
        </w:rPr>
        <w:t>.</w:t>
      </w:r>
    </w:p>
    <w:p>
      <w:pPr>
        <w:pStyle w:val="Normal"/>
        <w:keepNext w:val="true"/>
        <w:jc w:val="both"/>
        <w:rPr>
          <w:sz w:val="24"/>
        </w:rPr>
      </w:pPr>
      <w:r>
        <w:rPr>
          <w:sz w:val="24"/>
        </w:rPr>
      </w:r>
    </w:p>
    <w:p>
      <w:pPr>
        <w:pStyle w:val="Normal"/>
        <w:keepNext w:val="true"/>
        <w:ind w:firstLine="1440" w:end="0"/>
        <w:jc w:val="both"/>
        <w:rPr>
          <w:sz w:val="24"/>
        </w:rPr>
      </w:pPr>
      <w:r>
        <w:rPr>
          <w:sz w:val="24"/>
        </w:rPr>
        <w:t>(a)</w:t>
        <w:tab/>
        <w:t>By no later than 2:00 p.m. CPT on the Business Day that the Available Energy, Additional Energy or Replacement Energy is to be prescheduled, Buyer shall send a schedule to Seller and the ERCOT ISO by facsimile or instantaneous electronic communication reflecting the megawatts of Available Energy, Additional Energy or Replacement Energy to be delivered to Buyer in each hour of the schedule for the immediately following Business Day and/or immediately following Non-Business Day(s).  Schedules will be in accordance with the scheduling parameters of the ERCOT transmission providers, transmission tariff(s), and the scheduling rules of the ERCOT ISO.  Any schedule submitted by Buyer must be for all of the Available Energy, Additional Energy or Replacement Energy for each hour identified in the Seller’s response to Buyer’s proper exercise of its call option and shall only be for consecutive hours (i.e., any hourly schedule of the Available Energy, Additional Energy or Replacement Energy submitted by Buyer cannot go to zero in any hour and then resume later in the same Day) with a minimum of eight (8) consecutive hours in a Day.  Schedules shall only be in whole MWs.  There will be no intraday schedule changes unless stipulated by the ERCOT ISO, or due to a Unit Forced Outage or Uncontrollable Force, and Seller shall not be permitted without Buyer’s verbal express prior agreement to increase intraday the Available Energy, Additional Energy or Replacement Energy deliverable hereunder from the quantity initially scheduled.  However, Seller may elect, but is not obligated, to supply Replacement Energy in order to maintain up to the quantity of Available Energy initially scheduled with Replacement Energy from the Seller's Facility.</w:t>
      </w:r>
    </w:p>
    <w:p>
      <w:pPr>
        <w:pStyle w:val="Normal"/>
        <w:jc w:val="both"/>
        <w:rPr>
          <w:sz w:val="24"/>
        </w:rPr>
      </w:pPr>
      <w:r>
        <w:rPr>
          <w:sz w:val="24"/>
        </w:rPr>
      </w:r>
    </w:p>
    <w:p>
      <w:pPr>
        <w:pStyle w:val="Normal"/>
        <w:ind w:firstLine="1440" w:end="0"/>
        <w:jc w:val="both"/>
        <w:rPr>
          <w:sz w:val="24"/>
        </w:rPr>
      </w:pPr>
      <w:r>
        <w:rPr>
          <w:sz w:val="24"/>
        </w:rPr>
        <w:t>(b)</w:t>
        <w:tab/>
        <w:t>If Buyer fails to so timely submit the schedule pursuant to Section 6(a) above, Seller shall have no obligation to deliver and Buyer shall have no right to receive any Available Energy, Additional Energy or Replacement Energy for the applicable Day(s) and shall not be entitled to any reduction in the Capacity Charge for the applicable Day(s).</w:t>
      </w:r>
    </w:p>
    <w:p>
      <w:pPr>
        <w:pStyle w:val="Normal"/>
        <w:jc w:val="both"/>
        <w:rPr>
          <w:sz w:val="24"/>
        </w:rPr>
      </w:pPr>
      <w:r>
        <w:rPr>
          <w:sz w:val="24"/>
        </w:rPr>
      </w:r>
    </w:p>
    <w:p>
      <w:pPr>
        <w:pStyle w:val="Normal"/>
        <w:ind w:firstLine="1440" w:end="0"/>
        <w:jc w:val="both"/>
        <w:rPr>
          <w:sz w:val="24"/>
        </w:rPr>
      </w:pPr>
      <w:r>
        <w:rPr>
          <w:sz w:val="24"/>
        </w:rPr>
        <w:t>(c)</w:t>
        <w:tab/>
        <w:t>All scheduling under this Agreement shall be done either through the implementation of static or dynamic schedules.  The Parties may fulfill the obligations stated in this Section 6 acting for themselves or, when permitted by the ERCOT ISO, through Qualified Scheduling Entities.</w:t>
      </w:r>
    </w:p>
    <w:p>
      <w:pPr>
        <w:pStyle w:val="Normal"/>
        <w:ind w:firstLine="1440" w:end="0"/>
        <w:jc w:val="both"/>
        <w:rPr>
          <w:sz w:val="24"/>
        </w:rPr>
      </w:pPr>
      <w:r>
        <w:rPr>
          <w:sz w:val="24"/>
        </w:rPr>
      </w:r>
    </w:p>
    <w:p>
      <w:pPr>
        <w:pStyle w:val="Normal"/>
        <w:keepNext w:val="true"/>
        <w:jc w:val="both"/>
        <w:rPr>
          <w:sz w:val="24"/>
        </w:rPr>
      </w:pPr>
      <w:r>
        <w:rPr>
          <w:sz w:val="24"/>
        </w:rPr>
        <w:tab/>
        <w:tab/>
        <w:t>(d)</w:t>
        <w:tab/>
        <w:t>The Parties shall agree to procedures that conform to all applicable ERCOT and NERC guidelines for accounting for the output and delivery to Buyer of energy from Seller’s Facility.  Such procedures shall provide that on a weekly basis representatives of the Buyer, the Seller, and the operator(s) of the control area(s) to which Buyer schedules energy received from the Seller shall coordinate and agree upon the accounting for energy scheduled for delivery to Buyer from Seller’s Facility.</w:t>
      </w:r>
    </w:p>
    <w:p>
      <w:pPr>
        <w:pStyle w:val="Normal"/>
        <w:jc w:val="both"/>
        <w:rPr>
          <w:sz w:val="24"/>
        </w:rPr>
      </w:pPr>
      <w:r>
        <w:rPr>
          <w:sz w:val="24"/>
        </w:rPr>
      </w:r>
    </w:p>
    <w:p>
      <w:pPr>
        <w:pStyle w:val="BodyTextIndent3"/>
        <w:keepNext w:val="true"/>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1440" w:start="0" w:end="0"/>
        <w:rPr>
          <w:lang w:val="en-CA" w:eastAsia="en-CA"/>
        </w:rPr>
      </w:pPr>
      <w:r>
        <w:rPr>
          <w:lang w:val="en-CA" w:eastAsia="en-CA"/>
        </w:rPr>
        <w:t>Seller shall be solely responsible for any and all imbalance charges and penalties imposed by the ERCOT ISO, ERCOT transmission access fees imposed by ERCOT transmission providers, or charges by other generators in connection with generation imbalances (collectively "Imbalance Charges") incurred during the period ending 5 minutes after Seller notifies Buyer of a Unit Forced Outage or Uncontrollable Force; thereafter Buyer shall be liable for all such Imbalance Charges for Available Energy</w:t>
      </w:r>
      <w:r>
        <w:rPr/>
        <w:t>, Additional Energy</w:t>
      </w:r>
      <w:r>
        <w:rPr>
          <w:lang w:val="en-CA" w:eastAsia="en-CA"/>
        </w:rPr>
        <w:t xml:space="preserve"> or Replacement Energy scheduled hereunder.   Buyer shall be responsible for any Imbalance Charges for Available Energy or Replacement Energy scheduled hereunder caused by Buyer, such as by Buyer’s inability to take delivery or by Buyer’s notification of the ERCOT ISO with incorrect information as to a schedule hereunder or the revision of a schedule hereunder.  Buyer shall maintain or arrange for 24-hour real time contact between Buyer’s scheduling personnel and Seller’s operating personnel.  Buyer shall be responsible for communicating schedule changes to its counterparties in the event of a Unit Forced Outage.  Buyer shall have the right at Buyer’s sole expense to make arrangements to receive real-time signals from Seller relating to the operating status of Seller’s Facility and Seller shall cooperate with Buyer to facilitate such arrangements.</w:t>
      </w:r>
    </w:p>
    <w:p>
      <w:pPr>
        <w:pStyle w:val="BodyTextIndent3"/>
        <w:keepNext w:val="true"/>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hanging="0" w:end="0"/>
        <w:rPr>
          <w:lang w:val="en-CA" w:eastAsia="en-CA"/>
        </w:rPr>
      </w:pPr>
      <w:r>
        <w:rPr>
          <w:lang w:val="en-CA" w:eastAsia="en-CA"/>
        </w:rPr>
      </w:r>
    </w:p>
    <w:p>
      <w:pPr>
        <w:pStyle w:val="BodyTextIndent3"/>
        <w:keepNext w:val="true"/>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1440" w:start="0" w:end="0"/>
        <w:rPr>
          <w:lang w:val="en-CA" w:eastAsia="en-CA"/>
        </w:rPr>
      </w:pPr>
      <w:r>
        <w:rPr>
          <w:lang w:val="en-CA" w:eastAsia="en-CA"/>
        </w:rPr>
        <w:t>Upon the finalization of the ERCOT Protocols, the Parties agree to negotiate in good faith and amend this Agreement, if necessary, to give effect to the original intentions of the Parties under this Agreement wherever possible and conform to all applicable ERCOT scheduling guidelines.</w:t>
      </w:r>
    </w:p>
    <w:p>
      <w:pPr>
        <w:pStyle w:val="Normal"/>
        <w:jc w:val="both"/>
        <w:rPr>
          <w:sz w:val="24"/>
          <w:lang w:val="en-CA" w:eastAsia="en-CA"/>
        </w:rPr>
      </w:pPr>
      <w:r>
        <w:rPr>
          <w:sz w:val="24"/>
          <w:lang w:val="en-CA" w:eastAsia="en-CA"/>
        </w:rPr>
      </w:r>
      <w:r>
        <w:br w:type="page"/>
      </w:r>
    </w:p>
    <w:p>
      <w:pPr>
        <w:pStyle w:val="Normal"/>
        <w:jc w:val="center"/>
        <w:rPr>
          <w:sz w:val="24"/>
          <w:u w:val="single"/>
        </w:rPr>
      </w:pPr>
      <w:r>
        <w:rPr>
          <w:sz w:val="24"/>
          <w:u w:val="single"/>
        </w:rPr>
        <w:t>CHARGES AND PAYMENT PROVISIONS</w:t>
      </w:r>
    </w:p>
    <w:p>
      <w:pPr>
        <w:pStyle w:val="Normal"/>
        <w:jc w:val="center"/>
        <w:rPr>
          <w:sz w:val="24"/>
          <w:u w:val="single"/>
        </w:rPr>
      </w:pPr>
      <w:r>
        <w:rPr>
          <w:sz w:val="24"/>
          <w:u w:val="single"/>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7.</w:t>
        <w:tab/>
      </w:r>
      <w:r>
        <w:rPr>
          <w:u w:val="single"/>
        </w:rPr>
        <w:t>Charges</w:t>
      </w:r>
      <w:r>
        <w:rPr/>
        <w:t xml:space="preserve">. </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ab/>
        <w:t>(a)</w:t>
        <w:tab/>
      </w:r>
      <w:r>
        <w:rPr>
          <w:u w:val="single"/>
        </w:rPr>
        <w:t>Energy Price</w:t>
      </w:r>
      <w:r>
        <w:rPr/>
        <w:t>.  Buyer shall pay Seller monthly for the Available Energy scheduled by Buyer and delivered by Seller , plus any Replacement Energy delivered  by Seller, an Energy Price equal to the sum for every Day of the month of the following daily amounts: the product obtained by multiplying the sum of Fuel Cost ($/MWh) plus O&amp;M Cost ($/MWh), times the quantity of Available Energy and Replacement Energy (in MWh) delivered to Buyer. Buyer shall pay Seller monthly for the Additional Energy received by Buyer an Energy Price determined consistent with Section 3(b) hereof.</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Normal"/>
        <w:jc w:val="both"/>
        <w:rPr/>
      </w:pPr>
      <w:r>
        <w:rPr>
          <w:sz w:val="24"/>
        </w:rPr>
        <w:tab/>
        <w:tab/>
        <w:t>(b)</w:t>
        <w:tab/>
      </w:r>
      <w:r>
        <w:rPr>
          <w:sz w:val="24"/>
          <w:u w:val="single"/>
        </w:rPr>
        <w:t>Start Charge</w:t>
      </w:r>
      <w:r>
        <w:rPr>
          <w:sz w:val="24"/>
        </w:rPr>
        <w:t>.  Buyer shall pay a Start Charge to Seller if (1) more than twelve (12) hours have or will elapse between the last scheduled delivery of the Available Energy and the start of the next scheduled delivery of Available Energy; or (2) Buyer schedules the delivery of Available Energy for a period of less than twelve (12) consecutive hours.  No more than one (1) Start Charge shall be assessed each Day.</w:t>
      </w:r>
    </w:p>
    <w:p>
      <w:pPr>
        <w:pStyle w:val="Normal"/>
        <w:jc w:val="both"/>
        <w:rPr>
          <w:sz w:val="24"/>
        </w:rPr>
      </w:pPr>
      <w:r>
        <w:rPr>
          <w:sz w:val="24"/>
        </w:rPr>
      </w:r>
    </w:p>
    <w:p>
      <w:pPr>
        <w:pStyle w:val="Normal"/>
        <w:jc w:val="both"/>
        <w:rPr/>
      </w:pPr>
      <w:r>
        <w:rPr>
          <w:sz w:val="24"/>
        </w:rPr>
        <w:tab/>
        <w:tab/>
        <w:t>(c)</w:t>
        <w:tab/>
      </w:r>
      <w:r>
        <w:rPr>
          <w:sz w:val="24"/>
          <w:u w:val="single"/>
        </w:rPr>
        <w:t>Capacity Charge</w:t>
      </w:r>
      <w:r>
        <w:rPr>
          <w:sz w:val="24"/>
        </w:rPr>
        <w:t>.  Buyer shall pay a total Capacity Charge of the amount set forth on the Confirmation, payable in monthly installments.  Buyer shall pay to Seller the amount set forth on the Confirmation per month for each month for the months set forth on the Confirmation.</w:t>
      </w:r>
    </w:p>
    <w:p>
      <w:pPr>
        <w:pStyle w:val="Normal"/>
        <w:jc w:val="both"/>
        <w:rPr>
          <w:sz w:val="24"/>
        </w:rPr>
      </w:pPr>
      <w:r>
        <w:rPr>
          <w:sz w:val="24"/>
        </w:rPr>
      </w:r>
    </w:p>
    <w:p>
      <w:pPr>
        <w:pStyle w:val="Normal"/>
        <w:ind w:firstLine="720" w:end="0"/>
        <w:jc w:val="both"/>
        <w:rPr/>
      </w:pPr>
      <w:r>
        <w:rPr>
          <w:sz w:val="24"/>
        </w:rPr>
        <w:t>8.</w:t>
        <w:tab/>
      </w:r>
      <w:r>
        <w:rPr>
          <w:sz w:val="24"/>
          <w:u w:val="single"/>
        </w:rPr>
        <w:t>Capacity Charge Adjustments</w:t>
      </w:r>
      <w:r>
        <w:rPr>
          <w:sz w:val="24"/>
        </w:rPr>
        <w:t xml:space="preserve">.  </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sz w:val="24"/>
        </w:rPr>
      </w:pPr>
      <w:r>
        <w:rPr>
          <w:sz w:val="24"/>
        </w:rPr>
      </w:r>
    </w:p>
    <w:p>
      <w:pPr>
        <w:pStyle w:val="BodyText2"/>
        <w:spacing w:lineRule="auto" w:line="240"/>
        <w:rPr/>
      </w:pPr>
      <w:r>
        <w:rPr/>
        <w:tab/>
        <w:t>(a)</w:t>
        <w:tab/>
      </w:r>
      <w:r>
        <w:rPr>
          <w:u w:val="single"/>
        </w:rPr>
        <w:t>Seasonal Adjustment to Capacity Charge</w:t>
      </w:r>
      <w:r>
        <w:rPr/>
        <w:t>.  The Capacity Charge for each Season will be adjusted for unavailability of Seller’s Facility due to Uncontrollable Force(s) or Unit Forced Outage(s) as set forth in Section (b) below; provided however, no adjustment will be made for sales by Seller made in compliance with a directive from the ERCOT ISO or to the extent Seller provides Replacement Energy in response to Buyer’s exercise of its call option hereunder.</w:t>
      </w:r>
    </w:p>
    <w:p>
      <w:pPr>
        <w:pStyle w:val="BodyText2"/>
        <w:spacing w:lineRule="auto" w:line="240"/>
        <w:ind w:start="720" w:end="0"/>
        <w:rPr/>
      </w:pPr>
      <w:r>
        <w:rPr/>
      </w:r>
    </w:p>
    <w:p>
      <w:pPr>
        <w:pStyle w:val="BodyText2"/>
        <w:spacing w:lineRule="auto" w:line="240"/>
        <w:ind w:firstLine="1440" w:end="0"/>
        <w:rPr/>
      </w:pPr>
      <w:r>
        <w:rPr/>
        <w:t>(b)</w:t>
        <w:tab/>
      </w:r>
      <w:r>
        <w:rPr>
          <w:u w:val="single"/>
        </w:rPr>
        <w:t>Actual Availability</w:t>
      </w:r>
      <w:r>
        <w:rPr/>
        <w:t>.  The Capacity Charge adjustment is to be calculated for each respective month based upon the Actual Availability of the Seller’s Facility being no less than ninety percent (90%) for the 1</w:t>
      </w:r>
      <w:r>
        <w:rPr>
          <w:vertAlign w:val="superscript"/>
        </w:rPr>
        <w:t>st</w:t>
      </w:r>
      <w:r>
        <w:rPr/>
        <w:t xml:space="preserve"> and  2</w:t>
      </w:r>
      <w:r>
        <w:rPr>
          <w:vertAlign w:val="superscript"/>
        </w:rPr>
        <w:t xml:space="preserve">nd </w:t>
      </w:r>
      <w:r>
        <w:rPr/>
        <w:t>Seasons and no less than ninety-five percent (95%) during the 3</w:t>
      </w:r>
      <w:r>
        <w:rPr>
          <w:vertAlign w:val="superscript"/>
        </w:rPr>
        <w:t>rd</w:t>
      </w:r>
      <w:r>
        <w:rPr/>
        <w:t xml:space="preserve"> Season.  If during the applicable Season the Seller's Facility fails to achieve such respective levels of availability, an adjustment to the Capacity Charge will be made to the Season, calculated as follows:</w:t>
      </w:r>
    </w:p>
    <w:p>
      <w:pPr>
        <w:pStyle w:val="BodyText2"/>
        <w:spacing w:lineRule="auto" w:line="240"/>
        <w:ind w:hanging="0" w:end="0"/>
        <w:rPr/>
      </w:pPr>
      <w:r>
        <w:rPr/>
      </w:r>
    </w:p>
    <w:p>
      <w:pPr>
        <w:pStyle w:val="BodyText2"/>
        <w:spacing w:lineRule="auto" w:line="240"/>
        <w:ind w:hanging="0" w:start="2160" w:end="0"/>
        <w:rPr/>
      </w:pPr>
      <w:r>
        <w:rPr/>
        <w:t xml:space="preserve">(1) </w:t>
        <w:tab/>
        <w:t>For each Season, “Actual Availability” shall be equal to (i) the sum of  (A) the Available Energy received by Buyer during such Season, plus (B) the Replacement Energy received by Buyer during such Season, plus (C) Available Energy and Replacement Energy scheduled, but not received by Buyer due to Uncontrollable Forces affecting Buyer or for any reason attributable to Buyer for such Season, plus (D) the sum of the Contract Capacity Quantity for all the On-Peak Availability Hours for such Season that Buyer did not timely exercise its call option, plus (E) the sum of the Available Energy for such Season that Buyer did not timely schedule after properly exercising its call option, plus (F) the sum of the Available Energy supplied pursuant to ERCOT ISO directives that otherwise would have been delivered to Buyer, plus (G) the sum of all megawatthours that liquidated damages were paid by Seller pursuant to Section 14 for non-delivery of Available Energy; divided by (ii) the Contract Capacity Quantity multiplied by all of the On-Peak Availability Hours in such Season, expressed as a percentage.</w:t>
      </w:r>
    </w:p>
    <w:p>
      <w:pPr>
        <w:pStyle w:val="BodyText2"/>
        <w:spacing w:lineRule="auto" w:line="240"/>
        <w:ind w:start="2160" w:end="0"/>
        <w:rPr/>
      </w:pPr>
      <w:r>
        <w:rPr/>
      </w:r>
    </w:p>
    <w:p>
      <w:pPr>
        <w:pStyle w:val="BodyText2"/>
        <w:numPr>
          <w:ilvl w:val="0"/>
          <w:numId w:val="5"/>
        </w:numPr>
        <w:tabs>
          <w:tab w:val="clear" w:pos="2160"/>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spacing w:lineRule="auto" w:line="240"/>
        <w:ind w:hanging="0" w:start="2160" w:end="0"/>
        <w:rPr/>
      </w:pPr>
      <w:r>
        <w:rPr/>
        <w:t>If Actual Availability is less than 90% for the  1</w:t>
      </w:r>
      <w:r>
        <w:rPr>
          <w:vertAlign w:val="superscript"/>
        </w:rPr>
        <w:t>st</w:t>
      </w:r>
      <w:r>
        <w:rPr/>
        <w:t xml:space="preserve"> or 2</w:t>
      </w:r>
      <w:r>
        <w:rPr>
          <w:vertAlign w:val="superscript"/>
        </w:rPr>
        <w:t xml:space="preserve">nd </w:t>
      </w:r>
      <w:r>
        <w:rPr/>
        <w:t>Seasons or 95% for the  3</w:t>
      </w:r>
      <w:r>
        <w:rPr>
          <w:vertAlign w:val="superscript"/>
        </w:rPr>
        <w:t>rd</w:t>
      </w:r>
      <w:r>
        <w:rPr/>
        <w:t xml:space="preserve"> Season, the sum of the Capacity Charges within the applicable Season will be reduced by the capacity charge adjustment for such Season to be calculated as  (i) the positive difference, if any, of (A) 90% or 95%, as applicable for such Season, minus (B) the Actual Availability for such Season, multiplied by (ii) the product  of the Contract Capacity and the On-Peak Availability Hours pertaining to such Season, multiplied by (iii) the Capacity Adjustment Rate (in $/MWh) as set forth on the Confirmation.  An example of the Actual Availability and capacity charge reduction calculations may be attached by the Parties as an exhibit to this Agreement, which shall form a part of this Agreement only if initialed by both Parties hereto. </w:t>
      </w:r>
    </w:p>
    <w:p>
      <w:pPr>
        <w:pStyle w:val="BodyText2"/>
        <w:spacing w:lineRule="auto" w:line="240"/>
        <w:ind w:hanging="0" w:end="0"/>
        <w:rPr/>
      </w:pPr>
      <w:r>
        <w:rPr/>
      </w:r>
    </w:p>
    <w:p>
      <w:pPr>
        <w:pStyle w:val="BodyText2"/>
        <w:spacing w:lineRule="auto" w:line="240"/>
        <w:ind w:hanging="0" w:start="2160" w:end="0"/>
        <w:rPr/>
      </w:pPr>
      <w:r>
        <w:rPr/>
        <w:t>In no event shall the reduction as to any Season exceed 100% of the sum of the Capacity Charges within such Season.</w:t>
      </w:r>
    </w:p>
    <w:p>
      <w:pPr>
        <w:pStyle w:val="BodyText2"/>
        <w:spacing w:lineRule="auto" w:line="240"/>
        <w:ind w:start="2160" w:end="0"/>
        <w:rPr/>
      </w:pPr>
      <w:r>
        <w:rPr/>
      </w:r>
    </w:p>
    <w:p>
      <w:pPr>
        <w:pStyle w:val="BodyText2"/>
        <w:spacing w:lineRule="auto" w:line="240"/>
        <w:rPr/>
      </w:pPr>
      <w:r>
        <w:rPr/>
        <w:t>(c)</w:t>
        <w:tab/>
      </w:r>
      <w:r>
        <w:rPr>
          <w:u w:val="single"/>
        </w:rPr>
        <w:t>Payment of Capacity Adjustment.</w:t>
      </w:r>
      <w:r>
        <w:rPr/>
        <w:t xml:space="preserve">  The adjustment to the Capacity Charge for any Season shall be due at the same time as payment is due for energy taken in the last month of such Season.</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BodyText2"/>
        <w:keepNext w:val="tru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9.</w:t>
        <w:tab/>
      </w:r>
      <w:r>
        <w:rPr>
          <w:u w:val="single"/>
        </w:rPr>
        <w:t>Payment</w:t>
      </w:r>
      <w:r>
        <w:rPr/>
        <w:t>.</w:t>
      </w:r>
    </w:p>
    <w:p>
      <w:pPr>
        <w:pStyle w:val="BodyText2"/>
        <w:keepNext w:val="tru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BodyText2"/>
        <w:keepNext w:val="tru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ab/>
        <w:t>(a)</w:t>
        <w:tab/>
        <w:t>Seller shall prepare and deliver to Buyer by the fifteenth (15th) Day of each calendar month a statement showing all amounts owed for (i) the prior calendar month Capacity Charge; (ii) actual quantities of Available Energy, Additional Energy and Replacement Energy scheduled and confirmed for delivery by Buyer and tendered for delivery by Seller in the prior calendar month; and, (iii) the prior calendar month Start Charges; and (iv) all amounts credited to Buyer for which payment has been received by Seller relating to the sale of energy due to an ERCOT ISO directive pursuant to Section 3(c).  Buyer shall pay Seller by check or wire transfer, as designated by Seller, the net amount due at the address specified in Section 20 or to the financial institution specified by Seller, as applicable, by the later of ten (10) Days after receipt of the statement, or the twenty-fifth (25th) Day of the month.  If the payment date falls on a Saturday, Sunday, or legal holiday, payment will be due on or before the next Business Day.</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Heading2"/>
        <w:tabs>
          <w:tab w:val="clear" w:pos="720"/>
          <w:tab w:val="left" w:pos="1080" w:leader="none"/>
        </w:tabs>
        <w:ind w:hanging="0" w:start="0"/>
        <w:rPr/>
      </w:pPr>
      <w:r>
        <w:rPr>
          <w:sz w:val="24"/>
        </w:rPr>
        <w:tab/>
        <w:tab/>
        <w:t>(b)</w:t>
        <w:tab/>
        <w:t xml:space="preserve">Each Party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deliveries hereunder.  If any such examination reveals any inaccuracy in any statement, the necessary adjustments in such statement and the payments thereof will be made promptly and shall bear interest calculated at the Interest Rate from the date the overpayment or underpayment was made until paid (other than as provided in Section 8, </w:t>
      </w:r>
      <w:r>
        <w:rPr>
          <w:sz w:val="24"/>
          <w:u w:val="single"/>
        </w:rPr>
        <w:t xml:space="preserve">Capacity Charge Adjustments, </w:t>
      </w:r>
      <w:r>
        <w:rPr>
          <w:sz w:val="24"/>
        </w:rPr>
        <w:t>which shall be made in accordance with Section 8); provided, however, that no adjustment for any statement or payment will be made unless a specific written objection to the accuracy thereof that explains in reasonable detail the dispute was made prior to the lapse of twelve (12) months from the rendition thereof, and thereafter any objection shall be deemed waived. All audit rights shall survive the termination of this Agreement for twelve (12) months.</w:t>
      </w:r>
    </w:p>
    <w:p>
      <w:pPr>
        <w:pStyle w:val="Normal"/>
        <w:jc w:val="both"/>
        <w:rPr>
          <w:sz w:val="24"/>
        </w:rPr>
      </w:pPr>
      <w:r>
        <w:rPr>
          <w:sz w:val="24"/>
        </w:rPr>
      </w:r>
    </w:p>
    <w:p>
      <w:pPr>
        <w:pStyle w:val="Normal"/>
        <w:jc w:val="both"/>
        <w:rPr>
          <w:sz w:val="24"/>
        </w:rPr>
      </w:pPr>
      <w:r>
        <w:rPr>
          <w:sz w:val="24"/>
        </w:rPr>
        <w:tab/>
        <w:tab/>
        <w:t>(c)</w:t>
        <w:tab/>
        <w:t xml:space="preserve">If Buyer fails to pay any amounts due Seller when the same are due, interest shall accrue from the date that such payment is due until the same is paid at the lower of (i) the Prime Rate of Interest as published from time to time by Chase Manhattan Bank, New York, plus two percent (2%), or (ii) the highest rate permitted by law (the "Interest Rate").  Any amount that is withheld but is eventually determined to be due shall bear interest at the same rate from the date such amount was initially due.  </w:t>
      </w:r>
    </w:p>
    <w:p>
      <w:pPr>
        <w:pStyle w:val="Normal"/>
        <w:jc w:val="both"/>
        <w:rPr>
          <w:sz w:val="24"/>
        </w:rPr>
      </w:pPr>
      <w:r>
        <w:rPr>
          <w:sz w:val="24"/>
        </w:rPr>
      </w:r>
    </w:p>
    <w:p>
      <w:pPr>
        <w:pStyle w:val="Normal"/>
        <w:jc w:val="both"/>
        <w:rPr/>
      </w:pPr>
      <w:r>
        <w:rPr>
          <w:sz w:val="24"/>
        </w:rPr>
        <w:tab/>
        <w:t>10.</w:t>
        <w:tab/>
      </w:r>
      <w:r>
        <w:rPr>
          <w:sz w:val="24"/>
          <w:u w:val="single"/>
        </w:rPr>
        <w:t>Taxes</w:t>
      </w:r>
      <w:r>
        <w:rPr>
          <w:sz w:val="24"/>
        </w:rPr>
        <w:t>.  Seller shall pay or cause to be paid all sales, use, excise, ad valorem, and similar taxes imposed or levied by any governmental agency upon the energy prior to delivery to Buyer at the Delivery Point.  In the event Buyer is required to remit any such tax, the amount thereof shall be deducted from any sums due Seller.  Buyer shall pay all sales, use, excise, ad valorem, utility, city license, or any similar taxes imposed by any governmental agency upon the energy at and after delivery at the Delivery Point.  In the event Seller is required to remit any such tax, the amount thereof shall be added to any sums due Seller.</w:t>
      </w:r>
    </w:p>
    <w:p>
      <w:pPr>
        <w:pStyle w:val="Normal"/>
        <w:jc w:val="both"/>
        <w:rPr>
          <w:sz w:val="24"/>
        </w:rPr>
      </w:pPr>
      <w:r>
        <w:rPr>
          <w:sz w:val="24"/>
        </w:rPr>
      </w:r>
    </w:p>
    <w:p>
      <w:pPr>
        <w:pStyle w:val="Normal"/>
        <w:ind w:firstLine="720" w:end="0"/>
        <w:jc w:val="both"/>
        <w:rPr/>
      </w:pPr>
      <w:r>
        <w:rPr>
          <w:sz w:val="24"/>
        </w:rPr>
        <w:t>11.</w:t>
        <w:tab/>
      </w:r>
      <w:r>
        <w:rPr>
          <w:sz w:val="24"/>
          <w:u w:val="single"/>
        </w:rPr>
        <w:t>Netting of Payments</w:t>
      </w:r>
      <w:r>
        <w:rPr>
          <w:sz w:val="24"/>
        </w:rPr>
        <w:t>.  The Parties hereby agree that they shall discharge mutual debts and payment obligations due and owing to each other on the same Day through netting, in which case all amounts owed by each Party to the other Party during the monthly billing period under this Agreement or any other agreement between the Parties, including any related damages calculated pursuant to Section 14, interest, and payments or credits, shall be netted so that only the excess amount remaining due shall be paid by the Party who owes it.</w:t>
      </w:r>
    </w:p>
    <w:p>
      <w:pPr>
        <w:pStyle w:val="Normal"/>
        <w:jc w:val="both"/>
        <w:rPr>
          <w:sz w:val="24"/>
        </w:rPr>
      </w:pPr>
      <w:r>
        <w:rPr>
          <w:sz w:val="24"/>
        </w:rPr>
      </w:r>
    </w:p>
    <w:p>
      <w:pPr>
        <w:pStyle w:val="Normal"/>
        <w:ind w:firstLine="720" w:end="0"/>
        <w:jc w:val="both"/>
        <w:rPr/>
      </w:pPr>
      <w:r>
        <w:rPr>
          <w:sz w:val="24"/>
        </w:rPr>
        <w:t>12.</w:t>
        <w:tab/>
      </w:r>
      <w:r>
        <w:rPr>
          <w:sz w:val="24"/>
          <w:u w:val="single"/>
        </w:rPr>
        <w:t>Rate Changes and Contingency</w:t>
      </w:r>
      <w:r>
        <w:rPr>
          <w:sz w:val="24"/>
        </w:rPr>
        <w:t>.  With respect to this Agreement, Buyer may not file a complaint seeking a reduction in rates or any change in the other terms and conditions of sale with the FERC pursuant to the Federal Power Act or with the Public Utility Commission of Texas pursuant to the Public Utility Regulatory Act of Texas.   The effectiveness of this Agreement is also contingent upon a determination by Seller that the sale to Buyer will not result in violation of the FERC's Appendix A screening criteria relating to market concentration; provided however, that upon execution of this Agreement this contingency is deemed waived.</w:t>
      </w:r>
    </w:p>
    <w:p>
      <w:pPr>
        <w:pStyle w:val="Normal"/>
        <w:jc w:val="both"/>
        <w:rPr>
          <w:sz w:val="24"/>
        </w:rPr>
      </w:pPr>
      <w:r>
        <w:rPr>
          <w:sz w:val="24"/>
        </w:rPr>
      </w:r>
    </w:p>
    <w:p>
      <w:pPr>
        <w:pStyle w:val="Normal"/>
        <w:jc w:val="center"/>
        <w:rPr>
          <w:sz w:val="24"/>
          <w:u w:val="single"/>
        </w:rPr>
      </w:pPr>
      <w:r>
        <w:rPr>
          <w:sz w:val="24"/>
          <w:u w:val="single"/>
        </w:rPr>
        <w:t>UNCONTROLLABLE FORCES</w:t>
      </w:r>
    </w:p>
    <w:p>
      <w:pPr>
        <w:pStyle w:val="Normal"/>
        <w:jc w:val="center"/>
        <w:rPr>
          <w:sz w:val="24"/>
          <w:u w:val="single"/>
        </w:rPr>
      </w:pPr>
      <w:r>
        <w:rPr>
          <w:sz w:val="24"/>
          <w:u w:val="single"/>
        </w:rPr>
      </w:r>
    </w:p>
    <w:p>
      <w:pPr>
        <w:pStyle w:val="Normal"/>
        <w:ind w:start="720" w:end="0"/>
        <w:rPr/>
      </w:pPr>
      <w:r>
        <w:rPr>
          <w:sz w:val="24"/>
        </w:rPr>
        <w:t>13.</w:t>
        <w:tab/>
      </w:r>
      <w:r>
        <w:rPr>
          <w:sz w:val="24"/>
          <w:u w:val="single"/>
        </w:rPr>
        <w:t>Uncontrollable Forces</w:t>
      </w:r>
      <w:r>
        <w:rPr>
          <w:sz w:val="24"/>
        </w:rPr>
        <w:t>.</w:t>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end="0"/>
        <w:rPr>
          <w:sz w:val="24"/>
        </w:rPr>
      </w:pPr>
      <w:r>
        <w:rPr>
          <w:sz w:val="24"/>
        </w:rPr>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rPr/>
      </w:pPr>
      <w:r>
        <w:rPr/>
        <w:t>(a)</w:t>
        <w:tab/>
        <w:t>Neither Party shall be liable to the other Party for any failure to perform any provision or obligation under this Agreement (other than the Parties’ obligations to make payments then due or becoming due with respect to performance prior to the Uncontrollable Forces, and pursuant to Section 8 hereof) if such failure is caused by or results directly or indirectly from any event or circumstance which prevents one Party (the "Claiming Party") from performing its obligations hereunder, which event or circumstance was not anticipated as of the date this Agreement was entered into, which is not within the reasonable control of, or the result of the negligence of, the Claiming Party, and which, by the exercise of due diligence, the Claiming Party is unable to overcome or avoid or cause to be avoided (hereinafter referred to as “Uncontrollable Forces”). One or more of the following may be of such nature as to meet the foregoing definition of an Uncontrollable Force: fires, floods, storms, or other Acts of God; strikes, war, or accidents; ERCOT ISO Directives, failure or curtailment of the electrical or natural gas transportation facilities to or from Seller’s Facility or gas supply to or from Seller’s Facility, or other necessary facilities; or any similar cause beyond the reasonable control of the party failing to perform.  No Party shall, however, be relieved of liability for failure of performance if such failure is due to removable or remediable causes, that such Party fails to remove or remedy using commercially reasonable efforts within a reasonable time period.  The Claiming Party must provide prompt written or oral notice to the other and shall further provide written notice of the particulars of the event or occurrence within five (5) Business Days of such occurrence.  Nothing herein shall require either Party to settle a strike on unsatisfactory terms or consent to the demands of striking workers.</w:t>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rPr/>
      </w:pPr>
      <w:r>
        <w:rPr/>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rPr/>
      </w:pPr>
      <w:r>
        <w:rPr/>
        <w:t>(b)</w:t>
        <w:tab/>
        <w:t>In addition, if the Claiming Party fails to perform due to an Uncontrollable Force for a period of sixty (60) or more consecutive Days, then the other Party shall have the right at anytime thereafter (but before performance has begun again) to terminate this Agreement upon ten (10) Days written notice to the Claiming Party.  Such termination shall not give rise to any claims, demands or causes of action of any nature other than those set forth in Section 8.</w:t>
      </w:r>
    </w:p>
    <w:p>
      <w:pPr>
        <w:pStyle w:val="Normal"/>
        <w:keepNext w:val="true"/>
        <w:jc w:val="both"/>
        <w:rPr>
          <w:sz w:val="24"/>
        </w:rPr>
      </w:pPr>
      <w:r>
        <w:rPr>
          <w:sz w:val="24"/>
        </w:rPr>
      </w:r>
    </w:p>
    <w:p>
      <w:pPr>
        <w:pStyle w:val="Normal"/>
        <w:keepNext w:val="true"/>
        <w:jc w:val="center"/>
        <w:rPr>
          <w:sz w:val="24"/>
          <w:u w:val="single"/>
        </w:rPr>
      </w:pPr>
      <w:r>
        <w:rPr>
          <w:sz w:val="24"/>
          <w:u w:val="single"/>
        </w:rPr>
        <w:t>DAMAGES AND LIMITATIONS</w:t>
      </w:r>
    </w:p>
    <w:p>
      <w:pPr>
        <w:pStyle w:val="Normal"/>
        <w:keepNext w:val="true"/>
        <w:jc w:val="center"/>
        <w:rPr>
          <w:sz w:val="24"/>
          <w:u w:val="single"/>
        </w:rPr>
      </w:pPr>
      <w:r>
        <w:rPr>
          <w:sz w:val="24"/>
          <w:u w:val="single"/>
        </w:rPr>
      </w:r>
    </w:p>
    <w:p>
      <w:pPr>
        <w:pStyle w:val="Normal"/>
        <w:keepNext w:val="true"/>
        <w:jc w:val="both"/>
        <w:rPr/>
      </w:pPr>
      <w:r>
        <w:rPr>
          <w:sz w:val="24"/>
        </w:rPr>
        <w:tab/>
        <w:t>14.</w:t>
        <w:tab/>
      </w:r>
      <w:r>
        <w:rPr>
          <w:sz w:val="24"/>
          <w:u w:val="single"/>
        </w:rPr>
        <w:t>Damages for Nonperformance; Limitation on Damages</w:t>
      </w:r>
      <w:r>
        <w:rPr>
          <w:sz w:val="24"/>
        </w:rPr>
        <w:t>.</w:t>
      </w:r>
    </w:p>
    <w:p>
      <w:pPr>
        <w:pStyle w:val="Normal"/>
        <w:keepNext w:val="true"/>
        <w:ind w:firstLine="720" w:end="0"/>
        <w:jc w:val="both"/>
        <w:rPr>
          <w:sz w:val="24"/>
        </w:rPr>
      </w:pPr>
      <w:r>
        <w:rPr>
          <w:sz w:val="24"/>
        </w:rPr>
      </w:r>
    </w:p>
    <w:p>
      <w:pPr>
        <w:pStyle w:val="BodyText2"/>
        <w:spacing w:lineRule="auto" w:line="240"/>
        <w:rPr/>
      </w:pPr>
      <w:r>
        <w:rPr/>
        <w:tab/>
        <w:t>(a)</w:t>
        <w:tab/>
        <w:t>If Seller fails to deliver all or any part of the Available Energy properly scheduled and confirmed by Buyer for any reason other than an Uncontrollable Forces, Buyer’s failure to receive, a Unit Forced Outage, or sale of Available Energy as directed by the ERCOT ISO, then Seller shall pay Buyer as Buyer's sole and exclusive remedy as to such non-delivery of Available Energy (and in lieu of any capacity charge adjustment under Section 8) an amount equal to the positive difference, if any, obtained by subtracting the Energy Price from the Replacement Price and multiplying by the amount by which the Available Energy scheduled by Buyer for any Day exceeds the quantity delivered by Seller.    "Replacement Price" means the price at which Buyer, acting in a commercially reasonable manner, purchases Energy Interchange Classification Resource Type D Energy not delivered by Seller (plus Costs and additional transmission charges, if any, incurred by Buyer) or, absent a purchase, the market price for Energy Interchange Classification Resource Type D Energy at such Delivery Point as determined by the average of three broker or other industry participant quotes obtained in a commercially reasonable manner, or if such quotes are unavailable, as determined in a commercially reasonable manner; provided, however, in no event shall the Replacement Price include any penalties, ratcheted demand or similar charges, nor shall a Party be required to utilize or change its utilization of its contractual assets or market positions to minimize the other Party’s liability for damages. Such payment will become due and payable on or before ten (10) Business Days after receipt of a demand for payment setting forth the basis and calculation of the amount demanded, and other reasonable supporting documentation.  In no event shall Seller be liable for such damages if the Seller's failure to deliver is the result of an Uncontrollable Force, a Unit Forced Outage, or is due to a directive by the ERCOT ISO, or as otherwise agreed by the Parties.  In all such instances, Buyer’s sole remedy shall be the Capacity Charge adjustment set forth in Section 8 of this Agreement.</w:t>
      </w:r>
    </w:p>
    <w:p>
      <w:pPr>
        <w:pStyle w:val="Normal"/>
        <w:ind w:firstLine="720" w:end="0"/>
        <w:jc w:val="both"/>
        <w:rPr>
          <w:sz w:val="24"/>
        </w:rPr>
      </w:pPr>
      <w:r>
        <w:rPr>
          <w:sz w:val="24"/>
        </w:rPr>
      </w:r>
    </w:p>
    <w:p>
      <w:pPr>
        <w:pStyle w:val="BodyText2"/>
        <w:spacing w:lineRule="auto" w:line="240"/>
        <w:ind w:firstLine="1440" w:end="0"/>
        <w:rPr/>
      </w:pPr>
      <w:r>
        <w:rPr/>
        <w:t>(b)</w:t>
        <w:tab/>
        <w:t>If Buyer fails to receive all or any part of the Available Energy for which Buyer properly exercised its call in accordance with Section 5 and scheduled by Buyer in accordance with Section 6 (or Buyer properly exercised its call but failed to schedule) for any reason other than an Uncontrollable Force or Seller’s failure to deliver,  then Buyer shall pay Seller as Seller's sole and exclusive remedy as to such non-receipt of energy  an amount for each unit of Energy in such deficiency equal to the positive difference, if any, obtained by subtracting the Sales Price from the Energy Price.  "Sales Price" means the price per unit of Energy at which Seller, acting in a commercially reasonable manner, resells the Energy not received by Buyer, deducting from such proceeds any (i) costs reasonably incurred by Seller in reselling the Energy and (ii) additional transmission charges, if any, reasonably incurred by Seller in delivering such Energy to the third party purchasers, or, absent a sale, the market price for such quantity at the Delivery Point (or other point of delivery in relation to Replacement Energy) determined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Such payment will become due and payable on or before ten (10) Business Days after receipt of a demand for payment setting forth the basis and calculation of the amount demanded, and other reasonable supporting documentation.</w:t>
      </w:r>
    </w:p>
    <w:p>
      <w:pPr>
        <w:pStyle w:val="BodyText2"/>
        <w:spacing w:lineRule="auto" w:line="240"/>
        <w:ind w:hanging="0" w:end="0"/>
        <w:rPr/>
      </w:pPr>
      <w:r>
        <w:rPr/>
      </w:r>
    </w:p>
    <w:p>
      <w:pPr>
        <w:pStyle w:val="Normal"/>
        <w:ind w:firstLine="720" w:end="0"/>
        <w:jc w:val="both"/>
        <w:rPr>
          <w:sz w:val="24"/>
        </w:rPr>
      </w:pPr>
      <w:r>
        <w:rPr>
          <w:sz w:val="24"/>
        </w:rPr>
        <w:tab/>
        <w:t>(c)</w:t>
        <w:tab/>
        <w:t xml:space="preserve">As an alternative to the damages provisions of Section 14(a) and (b) above, the Parties may mutually agree to deliver and receive energy pursuant to such terms as the Parties agree in order to discharge a Party’s obligation to pay damages.  In the absence of such mutual agreement, the damages provisions of Section 14(a) and (b) above shall apply. </w:t>
      </w:r>
    </w:p>
    <w:p>
      <w:pPr>
        <w:pStyle w:val="Normal"/>
        <w:jc w:val="both"/>
        <w:rPr>
          <w:sz w:val="24"/>
        </w:rPr>
      </w:pPr>
      <w:r>
        <w:rPr>
          <w:sz w:val="24"/>
        </w:rPr>
      </w:r>
    </w:p>
    <w:p>
      <w:pPr>
        <w:pStyle w:val="Normal"/>
        <w:ind w:firstLine="720" w:end="0"/>
        <w:jc w:val="both"/>
        <w:rPr>
          <w:sz w:val="24"/>
        </w:rPr>
      </w:pPr>
      <w:r>
        <w:rPr>
          <w:sz w:val="24"/>
        </w:rPr>
        <w:tab/>
        <w:t>(d)</w:t>
        <w:tab/>
        <w:t>Both Parties hereby stipulate the damages set forth in Section 14(a) and (b) above are reasonable in light of the anticipated harm and the difficulty of estimation and calculation of actual damages and the Parties hereby waive the right to contest such damages as an unreasonable penalty.</w:t>
      </w:r>
    </w:p>
    <w:p>
      <w:pPr>
        <w:pStyle w:val="Normal"/>
        <w:jc w:val="both"/>
        <w:rPr>
          <w:sz w:val="24"/>
        </w:rPr>
      </w:pPr>
      <w:r>
        <w:rPr>
          <w:sz w:val="24"/>
        </w:rPr>
      </w:r>
    </w:p>
    <w:p>
      <w:pPr>
        <w:pStyle w:val="Normal"/>
        <w:jc w:val="both"/>
        <w:rPr/>
      </w:pPr>
      <w:r>
        <w:rPr>
          <w:sz w:val="24"/>
        </w:rPr>
        <w:tab/>
        <w:t>15.</w:t>
        <w:tab/>
      </w:r>
      <w:r>
        <w:rPr>
          <w:sz w:val="24"/>
          <w:u w:val="single"/>
        </w:rPr>
        <w:t>Termination and Liquidation</w:t>
      </w:r>
      <w:r>
        <w:rPr>
          <w:sz w:val="24"/>
        </w:rPr>
        <w:t>.</w:t>
      </w:r>
    </w:p>
    <w:p>
      <w:pPr>
        <w:pStyle w:val="Normal"/>
        <w:jc w:val="both"/>
        <w:rPr>
          <w:sz w:val="24"/>
        </w:rPr>
      </w:pPr>
      <w:r>
        <w:rPr>
          <w:sz w:val="24"/>
        </w:rPr>
      </w:r>
    </w:p>
    <w:p>
      <w:pPr>
        <w:pStyle w:val="Normal"/>
        <w:numPr>
          <w:ilvl w:val="0"/>
          <w:numId w:val="3"/>
        </w:numPr>
        <w:jc w:val="both"/>
        <w:rPr>
          <w:sz w:val="24"/>
        </w:rPr>
      </w:pPr>
      <w:r>
        <w:rPr>
          <w:sz w:val="24"/>
        </w:rPr>
        <w:t xml:space="preserve">Upon an Event of Default the Performing Party hereto, at its option, may </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lang w:val="en-CA" w:eastAsia="en-CA"/>
        </w:rPr>
      </w:pPr>
      <w:r>
        <w:rPr>
          <w:lang w:val="en-CA" w:eastAsia="en-CA"/>
        </w:rPr>
        <w:t>terminate this Agreement by giving written notice thereof to the Defaulting Party which notice shall state specifically the cause for termination.  The Defaulting Party shall have five (5) Business Days after receipt of such notice in which to remedy or remove the cause stated in such notice for terminating this Agreement.  If, within such five (5) Day period, the Defaulting Party does so remedy or remove such cause in the opinion of the Performing Party exercised in good faith, then such notice shall be deemed withdrawn and this Agreement shall continue in full force and effect.  If the Defaulting Party does not remedy or remove the cause within such five (5) Day period, then, at the option of the Performing Party, the Performing Party may declare an Event of Default and this Agreement shall terminate on a Business Day selected by the Performing Party, which date shall be between 1 and 20 days after the five Day period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jc w:val="both"/>
        <w:rPr>
          <w:sz w:val="24"/>
          <w:lang w:val="en-CA" w:eastAsia="en-CA"/>
        </w:rPr>
      </w:pPr>
      <w:r>
        <w:rPr>
          <w:sz w:val="24"/>
          <w:lang w:val="en-CA" w:eastAsia="en-CA"/>
        </w:rPr>
      </w:r>
    </w:p>
    <w:p>
      <w:pPr>
        <w:pStyle w:val="Normal"/>
        <w:tabs>
          <w:tab w:val="clear" w:pos="720"/>
          <w:tab w:val="left" w:pos="0" w:leader="none"/>
        </w:tabs>
        <w:ind w:firstLine="720" w:end="0"/>
        <w:jc w:val="both"/>
        <w:rPr>
          <w:sz w:val="24"/>
        </w:rPr>
      </w:pPr>
      <w:r>
        <w:rPr>
          <w:sz w:val="24"/>
        </w:rPr>
        <w:t>(b)</w:t>
        <w:tab/>
        <w:t>Upon an Event of Default that has not been cured pursuant to this provision the Performing Party may withhold or suspend all payments to the Defaulting Party required hereunder and/or withhold or suspend all deliveries of Available Energy and Additional Energy to the Defaulting Party required hereunder.</w:t>
      </w:r>
    </w:p>
    <w:p>
      <w:pPr>
        <w:pStyle w:val="Normal"/>
        <w:tabs>
          <w:tab w:val="clear" w:pos="720"/>
          <w:tab w:val="left" w:pos="0" w:leader="none"/>
        </w:tabs>
        <w:ind w:firstLine="720" w:start="720" w:end="0"/>
        <w:jc w:val="both"/>
        <w:rPr>
          <w:sz w:val="24"/>
        </w:rPr>
      </w:pPr>
      <w:r>
        <w:rPr>
          <w:sz w:val="24"/>
        </w:rPr>
      </w:r>
    </w:p>
    <w:p>
      <w:pPr>
        <w:pStyle w:val="Normal"/>
        <w:tabs>
          <w:tab w:val="clear" w:pos="720"/>
          <w:tab w:val="left" w:pos="0" w:leader="none"/>
        </w:tabs>
        <w:ind w:firstLine="720" w:end="0"/>
        <w:jc w:val="both"/>
        <w:rPr>
          <w:sz w:val="24"/>
        </w:rPr>
      </w:pPr>
      <w:r>
        <w:rPr>
          <w:sz w:val="24"/>
        </w:rPr>
        <w:t>(c)</w:t>
        <w:tab/>
        <w:t>If an Event of Default occurs and is continuing and the Performing Party exercises its right of termination, the Performing Party may (at its election) from time to time set off any or all amounts which the Defaulting Party owes the Performing Party against any or all amounts that the Performing Party owes to the Defaulting Party (in each case, under this Agreement  and where such amounts have become due as of the Early Termination Date), provided that any amount not then due that is included in such set-off shall be discounted to present value as determined by the Performing Party in a commercially reasonable manner.</w:t>
      </w:r>
    </w:p>
    <w:p>
      <w:pPr>
        <w:pStyle w:val="Normal"/>
        <w:jc w:val="both"/>
        <w:rPr>
          <w:sz w:val="24"/>
        </w:rPr>
      </w:pPr>
      <w:r>
        <w:rPr>
          <w:sz w:val="24"/>
        </w:rPr>
      </w:r>
    </w:p>
    <w:p>
      <w:pPr>
        <w:pStyle w:val="Normal"/>
        <w:jc w:val="both"/>
        <w:rPr>
          <w:sz w:val="24"/>
        </w:rPr>
      </w:pPr>
      <w:r>
        <w:rPr>
          <w:sz w:val="24"/>
        </w:rPr>
        <w:t>(d)</w:t>
        <w:tab/>
        <w:t>If a Party is the Defaulting Party, the other Party as the Performing Party may on prior notice to Defaulting Party  liquidate this Agreement by closing out and canceling this Agreement and calculating a Settlement Payment representing a single net liquidated amount based on valuations pertaining as of the Early Termination Date; with calculation and payment thereof to be made consistent with the definition of Settlement Payment hereunder.</w:t>
      </w:r>
    </w:p>
    <w:p>
      <w:pPr>
        <w:pStyle w:val="Normal"/>
        <w:jc w:val="both"/>
        <w:rPr>
          <w:sz w:val="24"/>
        </w:rPr>
      </w:pPr>
      <w:r>
        <w:rPr>
          <w:sz w:val="24"/>
        </w:rPr>
      </w:r>
    </w:p>
    <w:p>
      <w:pPr>
        <w:pStyle w:val="Normal"/>
        <w:jc w:val="both"/>
        <w:rPr/>
      </w:pPr>
      <w:r>
        <w:rPr>
          <w:sz w:val="24"/>
        </w:rPr>
        <w:tab/>
        <w:t>16.</w:t>
        <w:tab/>
      </w:r>
      <w:r>
        <w:rPr>
          <w:sz w:val="24"/>
          <w:u w:val="single"/>
        </w:rPr>
        <w:t>Indemnification</w:t>
      </w:r>
    </w:p>
    <w:p>
      <w:pPr>
        <w:pStyle w:val="Normal"/>
        <w:jc w:val="both"/>
        <w:rPr>
          <w:sz w:val="24"/>
          <w:u w:val="single"/>
        </w:rPr>
      </w:pPr>
      <w:r>
        <w:rPr>
          <w:sz w:val="24"/>
          <w:u w:val="single"/>
        </w:rPr>
      </w:r>
    </w:p>
    <w:p>
      <w:pPr>
        <w:pStyle w:val="Normal"/>
        <w:ind w:firstLine="1440" w:end="0"/>
        <w:jc w:val="both"/>
        <w:rPr/>
      </w:pPr>
      <w:r>
        <w:rPr>
          <w:sz w:val="24"/>
        </w:rPr>
        <w:t>(a)</w:t>
        <w:tab/>
        <w:t xml:space="preserve">Seller expressly agrees, to the extent allowed by law, to indemnify and save harmless and defend Buyer, its Affiliates and each of their respective agents, servants, partners, officers, directors, and employees (collectively, “Buyer Indemnitees”), with respect to all costs, losses, and damages (including, without limitation, reasonable attorneys’ fees) (“Losses”) in any manner directly or indirectly connected with or growing out of the generation, transmission, or use of energy sold pursuant to this Agreement, that occur prior to the delivery of energy at the Delivery Point, </w:t>
      </w:r>
      <w:r>
        <w:rPr>
          <w:caps/>
          <w:sz w:val="24"/>
        </w:rPr>
        <w:t>including claims arising from BUYER’s concurrent negligence,</w:t>
      </w:r>
      <w:r>
        <w:rPr>
          <w:sz w:val="24"/>
        </w:rPr>
        <w:t xml:space="preserve"> unless such Losses arise out of or result from the sole negligence and/or willful misconduct of Buyer Indemnitees.</w:t>
      </w:r>
    </w:p>
    <w:p>
      <w:pPr>
        <w:pStyle w:val="Normal"/>
        <w:jc w:val="both"/>
        <w:rPr>
          <w:sz w:val="24"/>
        </w:rPr>
      </w:pPr>
      <w:r>
        <w:rPr>
          <w:sz w:val="24"/>
        </w:rPr>
      </w:r>
    </w:p>
    <w:p>
      <w:pPr>
        <w:pStyle w:val="Normal"/>
        <w:ind w:firstLine="720" w:end="0"/>
        <w:jc w:val="both"/>
        <w:rPr/>
      </w:pPr>
      <w:r>
        <w:rPr>
          <w:sz w:val="24"/>
        </w:rPr>
        <w:tab/>
        <w:t>(b)</w:t>
        <w:tab/>
        <w:t xml:space="preserve">Buyer expressly agrees, to the extent permitted by law, to indemnify and save harmless and defend Seller, its Affiliates and each of their respective agents, servants, partners, officers, directors and employees (collectively, “Seller Indemnitees”), with respect to all Losses in any manner directly or indirectly connected with or growing out of the generation, transmission, or use of energy sold pursuant to this Agreement, which occur at or after the delivery of energy at the Delivery Point, </w:t>
      </w:r>
      <w:r>
        <w:rPr>
          <w:caps/>
          <w:sz w:val="24"/>
        </w:rPr>
        <w:t>including claims arising from Seller’s concurrent negligence</w:t>
      </w:r>
      <w:r>
        <w:rPr>
          <w:sz w:val="24"/>
        </w:rPr>
        <w:t>, unless such Losses arise out of or result from the sole negligence and/or willful misconduct of Seller Indemnitees.  Provided, however, this Agreement does not in any way create a contractual relationship of one Party with a customer of another Party; and does not create a duty thereto.</w:t>
      </w:r>
    </w:p>
    <w:p>
      <w:pPr>
        <w:pStyle w:val="Normal"/>
        <w:ind w:firstLine="720" w:end="0"/>
        <w:jc w:val="both"/>
        <w:rPr>
          <w:sz w:val="24"/>
        </w:rPr>
      </w:pPr>
      <w:r>
        <w:rPr>
          <w:sz w:val="24"/>
        </w:rPr>
        <w:t xml:space="preserve">  </w:t>
      </w:r>
    </w:p>
    <w:p>
      <w:pPr>
        <w:pStyle w:val="Normal"/>
        <w:ind w:firstLine="1440" w:end="0"/>
        <w:jc w:val="both"/>
        <w:rPr>
          <w:sz w:val="24"/>
        </w:rPr>
      </w:pPr>
      <w:r>
        <w:rPr>
          <w:sz w:val="24"/>
        </w:rPr>
        <w:t>(c)</w:t>
        <w:tab/>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sz w:val="24"/>
        </w:rPr>
      </w:pPr>
      <w:r>
        <w:rPr>
          <w:sz w:val="24"/>
        </w:rPr>
      </w:r>
    </w:p>
    <w:p>
      <w:pPr>
        <w:pStyle w:val="Normal"/>
        <w:jc w:val="center"/>
        <w:rPr>
          <w:sz w:val="24"/>
          <w:u w:val="single"/>
        </w:rPr>
      </w:pPr>
      <w:r>
        <w:rPr>
          <w:sz w:val="24"/>
          <w:u w:val="single"/>
        </w:rPr>
        <w:t>CREDIT REQUIREMENTS</w:t>
      </w:r>
    </w:p>
    <w:p>
      <w:pPr>
        <w:pStyle w:val="Normal"/>
        <w:jc w:val="center"/>
        <w:rPr>
          <w:sz w:val="24"/>
          <w:u w:val="single"/>
        </w:rPr>
      </w:pPr>
      <w:r>
        <w:rPr>
          <w:sz w:val="24"/>
          <w:u w:val="single"/>
        </w:rPr>
      </w:r>
    </w:p>
    <w:p>
      <w:pPr>
        <w:pStyle w:val="Normal"/>
        <w:jc w:val="both"/>
        <w:rPr/>
      </w:pPr>
      <w:r>
        <w:rPr>
          <w:sz w:val="24"/>
        </w:rPr>
        <w:tab/>
        <w:t>17.</w:t>
        <w:tab/>
      </w:r>
      <w:r>
        <w:rPr>
          <w:sz w:val="24"/>
          <w:u w:val="single"/>
        </w:rPr>
        <w:t>Guarantees.</w:t>
      </w:r>
      <w:r>
        <w:rPr>
          <w:sz w:val="24"/>
        </w:rPr>
        <w:t xml:space="preserve"> As part of the consideration of Seller entering into this Agreement, and in order to induce Seller to enter into this Agreement, Buyer agrees to provide a guaranty from Enron Corp. (“Buyer’s Guarantor”), and in a form, acceptable to Seller (the “Buyer Guarantee”).  The Buyer Guarantee shall be provided within ten (10) Business Days after the execution date hereof and shall be maintained until all amounts that may become due to Seller from Buyer hereunder are paid.  For the term of the Buyer Guarantee, the Buyer Guarantee shall be in the sum of fifteen million Dollars ($15,000,000).  As part of the consideration of Buyer entering into this Agreement, and in order to induce Buyer to enter into this Agreement, Seller agrees to provide a guaranty from American Electric Power Company, Inc. (“Seller’s Guarantor”), and in a form, acceptable to Buyer (the “Seller Guarantee”).  The Seller Guarantee shall be provided within ten (10) Business Days after the execution date hereof and shall be maintained until all amounts that may become due to Buyer from Seller hereunder are paid.  For the term of the Seller Guarantee, the Seller Guarantee shall be in the sum of fifteen million Dollars ($15,000,000).</w:t>
      </w:r>
    </w:p>
    <w:p>
      <w:pPr>
        <w:pStyle w:val="Normal"/>
        <w:jc w:val="both"/>
        <w:rPr>
          <w:sz w:val="24"/>
        </w:rPr>
      </w:pPr>
      <w:r>
        <w:rPr>
          <w:sz w:val="24"/>
        </w:rPr>
      </w:r>
    </w:p>
    <w:p>
      <w:pPr>
        <w:pStyle w:val="Justified"/>
        <w:jc w:val="both"/>
        <w:rPr/>
      </w:pPr>
      <w:r>
        <w:rPr/>
        <w:t>18.</w:t>
        <w:tab/>
        <w:t>Downgrade Event. If at any time there shall occur a Downgrade Event in respect of either Party’s Guarantor, then the other Party may require adequate assurance in a commercially reasonable amount determined by the Party not experiencing a Downgrade Event. It shall be a Downgrade Event for Buyer if Buyer’s Guarantor’s Credit Rating falls below BBB- from S&amp;P or Baa3  from Moody’s.  It shall be a Downgrade Event for Seller if Seller’s Guarantor's Credit Rating falls below BBB- from S&amp;P or Baa3 from Moody’s.  Adequate assurance shall mean that the Party experiencing the Downgrade Event shall deliver to the other Party, within two (2) Business Days of a written request, acceptable Performance Assurance in the form of cash, or alternatively, an irrevocable standby letter of credit, expiring in not less than fifteen (15) Days, issued: (A) in the other Party’s favor; (B) by an Acceptable Bank; and (C) no later than fifteen (15) Days prior to expiry of such letter of credit, the party experiencing the Downgrade Event shall instruct such issuing bank to renew or extend such letter of credit that satisfies the foregoing.  All costs relating to any letter of credit shall be for the account of Party experiencing the Downgrade Event.  In the event of a Seller's Downgrade Event, Seller may provide a parental guarantee in form acceptable to Buyer from American Electric Power Company, Inc., or the corporate successor thereto in lieu of the Performance Assurance requirements.  In the event a Party shall fail to provide such adequate Performance Assurance or other credit assurance (including but not limited to a parent company guaranty) acceptable to the other Party within two (2) Business Days of receipt of a written request, then an Event of Default shall be deemed to have occurred and the Party not experiencing a Downgrade Event will be entitled to the remedies set forth in Section 15 of this Agreement.  For purposes hereof, “Acceptable Bank” means by a U.S. commercial bank or a foreign bank with a U.S. branch with such bank having a credit rating of at least A- from S&amp;P or A3 from Moody’s,  "Credit Rating" means, with respect to any entity, the rating then assigned to such entity’s corporate credit rating or unsecured, senior long-term debt obligations (not supported by third party credit enhancements) by S&amp;P or Moody’s,</w:t>
      </w:r>
      <w:r>
        <w:rPr>
          <w:b/>
          <w:i/>
        </w:rPr>
        <w:t xml:space="preserve"> </w:t>
      </w:r>
      <w:r>
        <w:rPr/>
        <w:t>"</w:t>
      </w:r>
      <w:r>
        <w:rPr>
          <w:u w:val="single"/>
        </w:rPr>
        <w:t>Moody’s</w:t>
      </w:r>
      <w:r>
        <w:rPr/>
        <w:t>" means Moody’s Investor Services, Inc. or its successor, and "</w:t>
      </w:r>
      <w:r>
        <w:rPr>
          <w:u w:val="single"/>
        </w:rPr>
        <w:t>S&amp;P</w:t>
      </w:r>
      <w:r>
        <w:rPr/>
        <w:t>" means the Standard &amp; Poor’s Rating Group (a division of McGraw-Hill, Inc.) or  its successor.  “Performance Assurance” means collateral security in the form of cash or Letter of Credit from an Acceptable Bank.</w:t>
      </w:r>
    </w:p>
    <w:p>
      <w:pPr>
        <w:pStyle w:val="Heading2"/>
        <w:ind w:hanging="0" w:start="0"/>
        <w:rPr/>
      </w:pPr>
      <w:r>
        <w:rPr/>
      </w:r>
    </w:p>
    <w:p>
      <w:pPr>
        <w:pStyle w:val="Normal"/>
        <w:jc w:val="both"/>
        <w:rPr/>
      </w:pPr>
      <w:r>
        <w:rPr>
          <w:sz w:val="24"/>
        </w:rPr>
        <w:t>19.</w:t>
        <w:tab/>
        <w:t xml:space="preserve">Financial Information.  If requested by Seller, Buyer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Buyer, Seller or its Guarantor shall deliver (i) within 120 days following the end of each fiscal year, a copy of the annual report of </w:t>
      </w:r>
      <w:r>
        <w:rPr>
          <w:sz w:val="24"/>
          <w:lang w:val="en-US" w:eastAsia="en-US"/>
        </w:rPr>
        <w:t>American Electric Power Company, Inc</w:t>
      </w:r>
      <w:r>
        <w:rPr/>
        <w:t>.</w:t>
      </w:r>
      <w:r>
        <w:rPr>
          <w:sz w:val="24"/>
        </w:rPr>
        <w:t xml:space="preserve"> containing audited consolidated financial statements for such fiscal year certified by independent certified public accountants and (ii) within 60 days after the end of each of its first three (3) fiscal quarters of each fiscal year, a copy of the quarterly report of </w:t>
      </w:r>
      <w:r>
        <w:rPr>
          <w:sz w:val="24"/>
          <w:lang w:val="en-US" w:eastAsia="en-US"/>
        </w:rPr>
        <w:t>American Electric Power Company, Inc.</w:t>
      </w:r>
      <w:r>
        <w:rPr>
          <w:sz w:val="24"/>
        </w:rPr>
        <w:t xml:space="preserve">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p>
    <w:p>
      <w:pPr>
        <w:pStyle w:val="Normal"/>
        <w:jc w:val="center"/>
        <w:rPr>
          <w:sz w:val="24"/>
          <w:u w:val="single"/>
        </w:rPr>
      </w:pPr>
      <w:r>
        <w:rPr>
          <w:sz w:val="24"/>
          <w:u w:val="single"/>
        </w:rPr>
      </w:r>
    </w:p>
    <w:p>
      <w:pPr>
        <w:pStyle w:val="Normal"/>
        <w:jc w:val="center"/>
        <w:rPr>
          <w:sz w:val="24"/>
          <w:u w:val="single"/>
        </w:rPr>
      </w:pPr>
      <w:r>
        <w:rPr>
          <w:sz w:val="24"/>
          <w:u w:val="single"/>
        </w:rPr>
        <w:t>METERING</w:t>
      </w:r>
    </w:p>
    <w:p>
      <w:pPr>
        <w:pStyle w:val="Normal"/>
        <w:jc w:val="center"/>
        <w:rPr>
          <w:sz w:val="24"/>
          <w:u w:val="single"/>
        </w:rPr>
      </w:pPr>
      <w:r>
        <w:rPr>
          <w:sz w:val="24"/>
          <w:u w:val="single"/>
        </w:rPr>
      </w:r>
    </w:p>
    <w:p>
      <w:pPr>
        <w:pStyle w:val="Normal"/>
        <w:jc w:val="both"/>
        <w:rPr/>
      </w:pPr>
      <w:r>
        <w:rPr>
          <w:sz w:val="24"/>
        </w:rPr>
        <w:tab/>
        <w:t>20.</w:t>
        <w:tab/>
      </w:r>
      <w:r>
        <w:rPr>
          <w:sz w:val="24"/>
          <w:u w:val="single"/>
        </w:rPr>
        <w:t>Metering</w:t>
      </w:r>
      <w:r>
        <w:rPr>
          <w:sz w:val="24"/>
        </w:rPr>
        <w:t>.  The custody transfer meters between the Seller Facility and Buyer shall be the billing meters (the “Billing Meters”).  Buyer, or its designee, shall have the right to witness any accuracy tests of the applicable Billing Meters hereunder, which tests will occur during the first month of the term hereof.  In addition, at any time during the term of this Agreement, Buyer may request that Seller schedule a test of the Billing Meters whereupon Seller shall make arrangements to have the Billing Meters tested.  Buyer shall pay for the test unless the test reveals a percentage error in measurements by the Billing Meters of greater than 1%.  If, upon testing, the Billing Meters are found to be in error by not more than plus or minus 1%, measurements of energy deliveries taken from the previous recordings of such Billing Meters and used in computation of amounts owed hereunder shall be considered accurate, and no adjustment in payment shall be made.  If, however, upon testing, the Billing Meters are found to be inaccurate by more than plus or minus 1%, then any previous recording by the Billing Meters used in computations of payment hereunder shall be adjusted to reflect the corrected measurements.  The corrected quantity of energy deliveries over the period of time of such inaccuracy shall be determined (i) by the registration of back-up or check meters, if any, installed and registering accurately, adjusted for losses; or (ii) in the event that there are no accurately registering back-up or check meters, by mathematical calculation, if upon a calibration test of the Billing Meters a percentage error is ascertainable; or (iii) in the absence of an installed and/or properly registering back-up or check meters or an ascertainable percentage of error, by agreement of the Parties; or (iv) barring any of the foregoing, by the average of each Party’s best good faith estimate based upon quantities of energy measured during periods of similar conditions when the Billing Meters were accurately registering.  If no reliable information exists as to the period of time over which the Billing Meters were inaccurate by more than 1%, the Parties agree to assume for correction purposes that the inaccuracy began at a point in time midway between the current testing date and the last previous date on which the Billing Meters were tested and found to be accurate, but in no event more than three (3) months.  The current invoice shall reflect, and any invoices prepared based on billing information obtained after the previous test of the Billing Meters shall be adjusted to reflect the corrected measurements.  Payments in respect of invoices adjusted pursuant to this Section 20, shall be made within one (1) month of a corrected billing statement.</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sz w:val="24"/>
        </w:rPr>
      </w:pPr>
      <w:r>
        <w:rPr>
          <w:sz w:val="24"/>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jc w:val="center"/>
        <w:rPr>
          <w:u w:val="single"/>
        </w:rPr>
      </w:pPr>
      <w:r>
        <w:rPr>
          <w:u w:val="single"/>
        </w:rPr>
        <w:t>NOTICES</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jc w:val="center"/>
        <w:rPr>
          <w:u w:val="single"/>
        </w:rPr>
      </w:pPr>
      <w:r>
        <w:rPr>
          <w:u w:val="single"/>
        </w:rPr>
      </w:r>
    </w:p>
    <w:p>
      <w:pPr>
        <w:pStyle w:val="Normal"/>
        <w:jc w:val="both"/>
        <w:rPr/>
      </w:pPr>
      <w:r>
        <w:rPr>
          <w:sz w:val="24"/>
        </w:rPr>
        <w:tab/>
        <w:t>21.</w:t>
        <w:tab/>
      </w:r>
      <w:r>
        <w:rPr>
          <w:sz w:val="24"/>
          <w:u w:val="single"/>
        </w:rPr>
        <w:t>Notices</w:t>
      </w:r>
      <w:r>
        <w:rPr>
          <w:sz w:val="24"/>
        </w:rPr>
        <w:t>.  Any notice or statement provided for herein shall be in writing and be deemed properly served if delivered personally, or sent by mail or facsimile, to the Party to whom the notice is given at the following addresses:</w:t>
      </w:r>
    </w:p>
    <w:p>
      <w:pPr>
        <w:pStyle w:val="Normal"/>
        <w:rPr>
          <w:sz w:val="24"/>
        </w:rPr>
      </w:pPr>
      <w:r>
        <w:rPr>
          <w:sz w:val="24"/>
        </w:rPr>
      </w:r>
    </w:p>
    <w:tbl>
      <w:tblPr>
        <w:tblW w:w="8748" w:type="dxa"/>
        <w:jc w:val="start"/>
        <w:tblInd w:w="828" w:type="dxa"/>
        <w:tblLayout w:type="fixed"/>
        <w:tblCellMar>
          <w:top w:w="0" w:type="dxa"/>
          <w:start w:w="108" w:type="dxa"/>
          <w:bottom w:w="0" w:type="dxa"/>
          <w:end w:w="108" w:type="dxa"/>
        </w:tblCellMar>
      </w:tblPr>
      <w:tblGrid>
        <w:gridCol w:w="4374"/>
        <w:gridCol w:w="4374"/>
      </w:tblGrid>
      <w:tr>
        <w:trPr/>
        <w:tc>
          <w:tcPr>
            <w:tcW w:w="4374" w:type="dxa"/>
            <w:tcBorders/>
          </w:tcPr>
          <w:p>
            <w:pPr>
              <w:pStyle w:val="Normal"/>
              <w:tabs>
                <w:tab w:val="clear" w:pos="720"/>
                <w:tab w:val="left" w:pos="1242" w:leader="none"/>
              </w:tabs>
              <w:spacing w:lineRule="auto" w:line="360"/>
              <w:rPr>
                <w:sz w:val="24"/>
              </w:rPr>
            </w:pPr>
            <w:r>
              <w:rPr>
                <w:sz w:val="24"/>
              </w:rPr>
              <w:t>SELLER:</w:t>
            </w:r>
          </w:p>
          <w:p>
            <w:pPr>
              <w:pStyle w:val="Normal"/>
              <w:tabs>
                <w:tab w:val="clear" w:pos="720"/>
                <w:tab w:val="left" w:pos="1242" w:leader="none"/>
              </w:tabs>
              <w:rPr/>
            </w:pPr>
            <w:r>
              <w:rPr>
                <w:sz w:val="24"/>
                <w:u w:val="single"/>
              </w:rPr>
              <w:t>Notices/Correspondence</w:t>
            </w:r>
            <w:r>
              <w:rPr>
                <w:sz w:val="24"/>
              </w:rPr>
              <w: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sz w:val="24"/>
                <w:u w:val="single"/>
              </w:rPr>
            </w:pPr>
            <w:r>
              <w:rPr>
                <w:sz w:val="24"/>
                <w:u w:val="single"/>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pPr>
            <w:r>
              <w:rPr/>
              <w:t>Frontera Generation Limited Partnership</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pPr>
            <w:r>
              <w:rPr/>
              <w:t>1616 Woodall Rodgers Freeway</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pPr>
            <w:r>
              <w:rPr/>
              <w:t>Dallas, Texas  75202</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pPr>
            <w:r>
              <w:rPr/>
              <w:t>Attn:  Joe Emberger</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242" w:leader="none"/>
              </w:tabs>
              <w:spacing w:lineRule="auto" w:line="240"/>
              <w:rPr/>
            </w:pPr>
            <w:r>
              <w:rPr/>
              <w:t>Fax No.: (</w:t>
            </w:r>
          </w:p>
          <w:p>
            <w:pPr>
              <w:pStyle w:val="Normal"/>
              <w:tabs>
                <w:tab w:val="clear" w:pos="720"/>
                <w:tab w:val="left" w:pos="1242" w:leader="none"/>
              </w:tabs>
              <w:rPr>
                <w:sz w:val="24"/>
                <w:u w:val="single"/>
              </w:rPr>
            </w:pPr>
            <w:r>
              <w:rPr>
                <w:sz w:val="24"/>
              </w:rPr>
              <w:t>Telephone(614) 223-1000</w:t>
            </w:r>
          </w:p>
        </w:tc>
        <w:tc>
          <w:tcPr>
            <w:tcW w:w="4374" w:type="dxa"/>
            <w:tcBorders/>
          </w:tcPr>
          <w:p>
            <w:pPr>
              <w:pStyle w:val="Normal"/>
              <w:keepNext w:val="true"/>
              <w:spacing w:lineRule="auto" w:line="360"/>
              <w:rPr>
                <w:sz w:val="24"/>
              </w:rPr>
            </w:pPr>
            <w:r>
              <w:rPr>
                <w:sz w:val="24"/>
              </w:rPr>
              <w:t>SELLER:</w:t>
            </w:r>
          </w:p>
          <w:p>
            <w:pPr>
              <w:pStyle w:val="Normal"/>
              <w:keepNext w:val="true"/>
              <w:rPr/>
            </w:pPr>
            <w:r>
              <w:rPr>
                <w:sz w:val="24"/>
                <w:u w:val="single"/>
              </w:rPr>
              <w:t>Payments</w:t>
            </w:r>
            <w:r>
              <w:rPr>
                <w:sz w:val="24"/>
              </w:rPr>
              <w:t>:</w:t>
            </w:r>
          </w:p>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sz w:val="24"/>
              </w:rPr>
            </w:pPr>
            <w:r>
              <w:rPr>
                <w:sz w:val="24"/>
              </w:rPr>
            </w:r>
          </w:p>
          <w:p>
            <w:pPr>
              <w:pStyle w:val="Normal"/>
              <w:keepNext w:val="true"/>
              <w:tabs>
                <w:tab w:val="clear" w:pos="720"/>
                <w:tab w:val="left" w:pos="1188" w:leader="none"/>
              </w:tabs>
              <w:rPr>
                <w:sz w:val="24"/>
              </w:rPr>
            </w:pPr>
            <w:r>
              <w:rPr>
                <w:sz w:val="24"/>
              </w:rPr>
              <w:t>Mellon Bank, N.A.</w:t>
            </w:r>
          </w:p>
          <w:p>
            <w:pPr>
              <w:pStyle w:val="Normal"/>
              <w:keepNext w:val="true"/>
              <w:tabs>
                <w:tab w:val="clear" w:pos="720"/>
                <w:tab w:val="left" w:pos="1188" w:leader="none"/>
              </w:tabs>
              <w:rPr>
                <w:sz w:val="24"/>
              </w:rPr>
            </w:pPr>
            <w:r>
              <w:rPr>
                <w:sz w:val="24"/>
              </w:rPr>
              <w:t>ABA#043-000-261</w:t>
            </w:r>
          </w:p>
          <w:p>
            <w:pPr>
              <w:pStyle w:val="Normal"/>
              <w:keepNext w:val="true"/>
              <w:tabs>
                <w:tab w:val="clear" w:pos="720"/>
                <w:tab w:val="left" w:pos="1188" w:leader="none"/>
              </w:tabs>
              <w:rPr>
                <w:sz w:val="24"/>
              </w:rPr>
            </w:pPr>
            <w:r>
              <w:rPr>
                <w:sz w:val="24"/>
              </w:rPr>
              <w:t>Acct#009-3340</w:t>
            </w:r>
          </w:p>
          <w:p>
            <w:pPr>
              <w:pStyle w:val="Normal"/>
              <w:keepNext w:val="true"/>
              <w:tabs>
                <w:tab w:val="clear" w:pos="720"/>
                <w:tab w:val="left" w:pos="1188" w:leader="none"/>
              </w:tabs>
              <w:rPr>
                <w:sz w:val="24"/>
              </w:rPr>
            </w:pPr>
            <w:r>
              <w:rPr>
                <w:sz w:val="24"/>
              </w:rPr>
              <w:t>For the Account of Frontera Generation Limited Partnership</w:t>
            </w:r>
          </w:p>
          <w:p>
            <w:pPr>
              <w:pStyle w:val="Normal"/>
              <w:keepNext w:val="true"/>
              <w:tabs>
                <w:tab w:val="clear" w:pos="720"/>
                <w:tab w:val="left" w:pos="1188" w:leader="none"/>
              </w:tabs>
              <w:rPr>
                <w:sz w:val="24"/>
              </w:rPr>
            </w:pPr>
            <w:r>
              <w:rPr>
                <w:sz w:val="24"/>
              </w:rPr>
              <w:t>Bank Contact:  Jan Schade</w:t>
            </w:r>
          </w:p>
          <w:p>
            <w:pPr>
              <w:pStyle w:val="Normal"/>
              <w:keepNext w:val="true"/>
              <w:rPr>
                <w:sz w:val="24"/>
              </w:rPr>
            </w:pPr>
            <w:r>
              <w:rPr>
                <w:sz w:val="24"/>
              </w:rPr>
              <w:t>Phone No.: (412)234-1359</w:t>
            </w:r>
          </w:p>
        </w:tc>
      </w:tr>
      <w:tr>
        <w:trPr/>
        <w:tc>
          <w:tcPr>
            <w:tcW w:w="4374" w:type="dxa"/>
            <w:tcBorders/>
          </w:tcPr>
          <w:p>
            <w:pPr>
              <w:pStyle w:val="Normal"/>
              <w:keepNext w:val="true"/>
              <w:tabs>
                <w:tab w:val="clear" w:pos="720"/>
                <w:tab w:val="left" w:pos="1242" w:leader="none"/>
              </w:tabs>
              <w:spacing w:lineRule="auto" w:line="360"/>
              <w:rPr>
                <w:sz w:val="24"/>
              </w:rPr>
            </w:pPr>
            <w:r>
              <w:rPr>
                <w:sz w:val="24"/>
              </w:rPr>
              <w:t>BUYER:</w:t>
            </w:r>
          </w:p>
          <w:p>
            <w:pPr>
              <w:pStyle w:val="Normal"/>
              <w:keepNext w:val="true"/>
              <w:tabs>
                <w:tab w:val="clear" w:pos="720"/>
                <w:tab w:val="left" w:pos="1242" w:leader="none"/>
              </w:tabs>
              <w:rPr/>
            </w:pPr>
            <w:r>
              <w:rPr>
                <w:sz w:val="24"/>
                <w:u w:val="single"/>
              </w:rPr>
              <w:t>Notices/Correspondence</w:t>
            </w:r>
            <w:r>
              <w:rPr>
                <w:sz w:val="24"/>
              </w:rPr>
              <w:t>:</w:t>
            </w:r>
          </w:p>
          <w:p>
            <w:pPr>
              <w:pStyle w:val="Normal"/>
              <w:keepNext w:val="true"/>
              <w:tabs>
                <w:tab w:val="clear" w:pos="720"/>
                <w:tab w:val="left" w:pos="1242" w:leader="none"/>
              </w:tabs>
              <w:rPr>
                <w:sz w:val="24"/>
              </w:rPr>
            </w:pPr>
            <w:r>
              <w:rPr>
                <w:sz w:val="24"/>
              </w:rPr>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sz w:val="24"/>
              </w:rPr>
              <w:t xml:space="preserve"> </w:t>
            </w:r>
            <w:r>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Attn.: Power Contracts Documentation Manager        Fax No.  713-646-2443</w:t>
            </w:r>
          </w:p>
          <w:p>
            <w:pPr>
              <w:pStyle w:val="Normal"/>
              <w:keepNext w:val="true"/>
              <w:tabs>
                <w:tab w:val="clear" w:pos="720"/>
                <w:tab w:val="left" w:pos="1242" w:leader="none"/>
              </w:tabs>
              <w:rPr/>
            </w:pPr>
            <w:r>
              <w:rPr/>
            </w:r>
          </w:p>
          <w:p>
            <w:pPr>
              <w:pStyle w:val="Normal"/>
              <w:keepNext w:val="true"/>
              <w:tabs>
                <w:tab w:val="clear" w:pos="720"/>
                <w:tab w:val="left" w:pos="1242" w:leader="none"/>
              </w:tabs>
              <w:rPr/>
            </w:pPr>
            <w:r>
              <w:rPr/>
              <w:t xml:space="preserve">With </w:t>
            </w:r>
            <w:r>
              <w:rPr>
                <w:u w:val="single"/>
              </w:rPr>
              <w:t>notices</w:t>
            </w:r>
            <w:r>
              <w:rPr/>
              <w:t xml:space="preserve"> also sent to:</w:t>
            </w:r>
          </w:p>
          <w:p>
            <w:pPr>
              <w:pStyle w:val="Normal"/>
              <w:keepNext w:val="true"/>
              <w:tabs>
                <w:tab w:val="clear" w:pos="720"/>
                <w:tab w:val="left" w:pos="1242" w:leader="none"/>
              </w:tabs>
              <w:rPr/>
            </w:pPr>
            <w:r>
              <w:rPr/>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pPr>
            <w:r>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ab/>
              <w:t>Trading Group</w:t>
            </w:r>
          </w:p>
          <w:p>
            <w:pPr>
              <w:pStyle w:val="Normal"/>
              <w:keepNext w:val="true"/>
              <w:tabs>
                <w:tab w:val="clear" w:pos="720"/>
                <w:tab w:val="left" w:pos="1242" w:leader="none"/>
              </w:tabs>
              <w:rPr>
                <w:sz w:val="24"/>
              </w:rPr>
            </w:pPr>
            <w:r>
              <w:rPr/>
              <w:t xml:space="preserve">              </w:t>
            </w:r>
            <w:r>
              <w:rPr/>
              <w:t>Fax No.  713-646-4818</w:t>
            </w:r>
          </w:p>
        </w:tc>
        <w:tc>
          <w:tcPr>
            <w:tcW w:w="4374"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720" w:end="0"/>
              <w:jc w:val="both"/>
              <w:rPr>
                <w:sz w:val="24"/>
              </w:rPr>
            </w:pPr>
            <w:r>
              <w:rPr>
                <w:sz w:val="24"/>
              </w:rPr>
            </w:r>
          </w:p>
          <w:p>
            <w:pPr>
              <w:pStyle w:val="Normal"/>
              <w:keepNext w:val="true"/>
              <w:rPr>
                <w:sz w:val="24"/>
                <w:u w:val="single"/>
              </w:rPr>
            </w:pPr>
            <w:r>
              <w:rPr>
                <w:sz w:val="24"/>
                <w:u w:val="single"/>
              </w:rPr>
              <w:t>Invoices:</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pPr>
            <w:r>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pPr>
            <w:r>
              <w:rPr/>
              <w:t>1400 Smith Street (77002)</w:t>
            </w:r>
          </w:p>
          <w:p>
            <w:pPr>
              <w:pStyle w:val="Heading1"/>
              <w:ind w:hanging="0" w:start="0"/>
              <w:rPr/>
            </w:pPr>
            <w:r>
              <w:rPr>
                <w:b/>
              </w:rPr>
              <w:t xml:space="preserve">               </w:t>
            </w:r>
            <w:r>
              <w:rPr/>
              <w:t>P. O. Box 4428</w:t>
            </w:r>
          </w:p>
          <w:p>
            <w:pPr>
              <w:pStyle w:val="Heading1"/>
              <w:ind w:hanging="0" w:start="0"/>
              <w:rPr/>
            </w:pPr>
            <w:r>
              <w:rPr/>
              <w:t xml:space="preserve">               </w:t>
            </w:r>
            <w:r>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pPr>
            <w:r>
              <w:rPr/>
              <w:t>Attn.: Power Client Services Manager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pPr>
            <w:r>
              <w:rPr/>
            </w:r>
          </w:p>
          <w:p>
            <w:pPr>
              <w:pStyle w:val="Normal"/>
              <w:keepNext w:val="true"/>
              <w:rPr>
                <w:sz w:val="24"/>
                <w:u w:val="single"/>
              </w:rPr>
            </w:pPr>
            <w:r>
              <w:rPr>
                <w:sz w:val="24"/>
                <w:u w:val="single"/>
              </w:rPr>
              <w:t>All payments to Buyer shall be wire transferred to:</w:t>
            </w:r>
          </w:p>
          <w:p>
            <w:pPr>
              <w:pStyle w:val="Normal"/>
              <w:keepNext w:val="true"/>
              <w:rPr>
                <w:sz w:val="24"/>
                <w:u w:val="single"/>
              </w:rPr>
            </w:pPr>
            <w:r>
              <w:rPr>
                <w:sz w:val="24"/>
                <w:u w:val="single"/>
              </w:rPr>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pPr>
            <w:r>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pPr>
            <w:r>
              <w:rPr/>
              <w:t>for Enron Power Marketing, Inc.</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pPr>
            <w:r>
              <w:rPr/>
              <w:t>ABA Routing No. 111000012</w:t>
            </w:r>
          </w:p>
          <w:p>
            <w:pPr>
              <w:pStyle w:val="Normal"/>
              <w:keepNext w:val="true"/>
              <w:rPr/>
            </w:pPr>
            <w:r>
              <w:rPr/>
              <w:t xml:space="preserve">              </w:t>
            </w:r>
            <w:r>
              <w:rPr/>
              <w:t>Account No. 3750469312</w:t>
            </w:r>
          </w:p>
        </w:tc>
      </w:tr>
      <w:tr>
        <w:trPr/>
        <w:tc>
          <w:tcPr>
            <w:tcW w:w="4374" w:type="dxa"/>
            <w:tcBorders/>
          </w:tcPr>
          <w:p>
            <w:pPr>
              <w:pStyle w:val="Normal"/>
              <w:keepNext w:val="true"/>
              <w:tabs>
                <w:tab w:val="clear" w:pos="720"/>
                <w:tab w:val="left" w:pos="1242" w:leader="none"/>
              </w:tabs>
              <w:snapToGrid w:val="false"/>
              <w:spacing w:lineRule="auto" w:line="360"/>
              <w:rPr>
                <w:sz w:val="24"/>
              </w:rPr>
            </w:pPr>
            <w:r>
              <w:rPr>
                <w:sz w:val="24"/>
              </w:rPr>
            </w:r>
          </w:p>
        </w:tc>
        <w:tc>
          <w:tcPr>
            <w:tcW w:w="4374"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720" w:end="0"/>
              <w:jc w:val="both"/>
              <w:rPr>
                <w:sz w:val="24"/>
              </w:rPr>
            </w:pPr>
            <w:r>
              <w:rPr>
                <w:sz w:val="24"/>
              </w:rPr>
            </w:r>
          </w:p>
        </w:tc>
      </w:tr>
    </w:tbl>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pPr>
      <w:r>
        <w:rPr/>
      </w:r>
    </w:p>
    <w:p>
      <w:pPr>
        <w:pStyle w:val="Normal"/>
        <w:rPr>
          <w:sz w:val="24"/>
        </w:rPr>
      </w:pPr>
      <w:r>
        <w:rPr>
          <w:sz w:val="24"/>
        </w:rPr>
        <w:t>Notices shall be effective upon actual receipt.</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sz w:val="24"/>
        </w:rPr>
      </w:pPr>
      <w:r>
        <w:rPr>
          <w:sz w:val="24"/>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jc w:val="center"/>
        <w:rPr>
          <w:u w:val="single"/>
        </w:rPr>
      </w:pPr>
      <w:r>
        <w:rPr>
          <w:u w:val="single"/>
        </w:rPr>
        <w:t>MISCELLANEOUS</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jc w:val="center"/>
        <w:rPr>
          <w:u w:val="single"/>
        </w:rPr>
      </w:pPr>
      <w:r>
        <w:rPr>
          <w:u w:val="single"/>
        </w:rPr>
      </w:r>
    </w:p>
    <w:p>
      <w:pPr>
        <w:pStyle w:val="Normal"/>
        <w:ind w:firstLine="720" w:end="0"/>
        <w:jc w:val="both"/>
        <w:rPr/>
      </w:pPr>
      <w:r>
        <w:rPr>
          <w:sz w:val="24"/>
        </w:rPr>
        <w:t>22.</w:t>
        <w:tab/>
      </w:r>
      <w:r>
        <w:rPr>
          <w:sz w:val="24"/>
          <w:u w:val="single"/>
        </w:rPr>
        <w:t>Assignment</w:t>
      </w:r>
      <w:r>
        <w:rPr>
          <w:sz w:val="24"/>
        </w:rPr>
        <w:t>.  No assignment of this Agreement or of any right or obligation hereunder shall be made without the written consent of the other Party, which consent shall not be unreasonably withheld; except that either Party may assign this Agreement to a creditor for the purpose of providing financial security or to an Affiliate upon notice to the other and the assigning Party will remain liable for performance hereunder.  This Agreement shall be binding upon and inure to the benefit of the Parties’ hereto.  No transfer of or succession to the interest of Seller hereunder shall be effective in regard to Buyer’s obligation for the payment of revenue hereunder until the first Day of the month following the calendar month in which Buyer received notice of such with copies of recorded instruments or proper documentation reflecting the change in ownership.</w:t>
      </w:r>
    </w:p>
    <w:p>
      <w:pPr>
        <w:pStyle w:val="Normal"/>
        <w:keepNext w:val="true"/>
        <w:ind w:firstLine="720" w:end="0"/>
        <w:jc w:val="both"/>
        <w:rPr>
          <w:sz w:val="24"/>
        </w:rPr>
      </w:pPr>
      <w:r>
        <w:rPr>
          <w:sz w:val="24"/>
        </w:rPr>
      </w:r>
    </w:p>
    <w:p>
      <w:pPr>
        <w:pStyle w:val="Normal"/>
        <w:jc w:val="both"/>
        <w:rPr/>
      </w:pPr>
      <w:r>
        <w:rPr>
          <w:sz w:val="24"/>
        </w:rPr>
        <w:tab/>
        <w:t>23.</w:t>
        <w:tab/>
      </w:r>
      <w:r>
        <w:rPr>
          <w:sz w:val="24"/>
          <w:u w:val="single"/>
        </w:rPr>
        <w:t>Regulatory Jurisdiction</w:t>
      </w:r>
      <w:r>
        <w:rPr>
          <w:sz w:val="24"/>
        </w:rPr>
        <w:t>.  It is understood by the Parties that this Agreement and performance hereunder is subject to all present and future valid and applicable laws, orders, statutes, and regulations of courts or regulatory bodies (state or federal) having jurisdiction over the Parties and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w:t>
      </w:r>
    </w:p>
    <w:p>
      <w:pPr>
        <w:pStyle w:val="Normal"/>
        <w:keepNext w:val="true"/>
        <w:ind w:firstLine="720" w:end="0"/>
        <w:jc w:val="both"/>
        <w:rPr>
          <w:sz w:val="24"/>
        </w:rPr>
      </w:pPr>
      <w:r>
        <w:rPr>
          <w:sz w:val="24"/>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24.</w:t>
        <w:tab/>
      </w:r>
      <w:r>
        <w:rPr>
          <w:u w:val="single"/>
        </w:rPr>
        <w:t>Confidentiality</w:t>
      </w:r>
      <w:r>
        <w:rPr/>
        <w:t>.  This Agreement and the information provided by either Party hereto in connection with this Agreement is intended to be confidential and shall not be disclosed to anyone by either Party (except to such Party’s Affiliates, legal counsel, lenders and auditors subject to the same requirements of confidentiality, or except as required to effectuate transportation of the energy), unless such disclosure is required by law or a regulatory agency having jurisdiction.  In the event that a Party determines that it must disclose this Agreement, any provision hereof, or any information relating hereto, to any person or entity, such Party shall immediately advise the other Party of the intended disclosure and shall seek, and cooperate with the other Party if it chooses to seek, such protective order(s) or other restrictions on further disclosure as are reasonably available under the circumstances.</w:t>
      </w:r>
    </w:p>
    <w:p>
      <w:pPr>
        <w:pStyle w:val="Normal"/>
        <w:keepNext w:val="true"/>
        <w:ind w:firstLine="720" w:end="0"/>
        <w:jc w:val="both"/>
        <w:rPr>
          <w:sz w:val="24"/>
        </w:rPr>
      </w:pPr>
      <w:r>
        <w:rPr>
          <w:sz w:val="24"/>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25.</w:t>
        <w:tab/>
      </w:r>
      <w:r>
        <w:rPr>
          <w:u w:val="single"/>
        </w:rPr>
        <w:t>Recordings</w:t>
      </w:r>
      <w:r>
        <w:rPr/>
        <w:t>.  It is the regular practice of Seller to record its telephonic scheduling communications. Each Party consents to the recording of its representatives’ telephone conversations without any further notice.  The Parties agree not to contest or assert any defense based on the validity or enforceability of telephonic conversations under laws relating to whether certain agreements are to be in writing or signed by the Party to be thereby bound, or the authority of any employee of such Party to make such communication. Any such recordings or electronic communications may be introduced into evidence to prove oral agreements or other matters between the Parties.  In the event of a dispute, upon request by either Party, the other Party shall immediately make available to the Party requesting the same a copy of all recordings of relevant telephonic communications.  Nothing herein is intended to affect in any manner either Party’s right to contest the authenticity or interpretation of any such recording.</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u w:val="single"/>
        </w:rPr>
      </w:pPr>
      <w:r>
        <w:rPr>
          <w:u w:val="single"/>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ab/>
        <w:t>26.</w:t>
        <w:tab/>
      </w:r>
      <w:r>
        <w:rPr>
          <w:u w:val="single"/>
        </w:rPr>
        <w:t>Forward Contract</w:t>
      </w:r>
      <w:r>
        <w:rPr/>
        <w:t>.  The Parties agree that this Agreement is a “forward contract” and each Party represents to the other that it is a “forward contract merchant” within the meaning of and for the purposes of the United States Bankruptcy Code, as amended, and it is a producer, commercial user of or merchant handling electric energy and/or capacity and it is entering into this Agreement for purposes related to its business.  Each Party covenants that it will cause these representations and warranties to be true and correct throughout the term of this Agreement.</w:t>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r>
    </w:p>
    <w:p>
      <w:pPr>
        <w:pStyle w:val="BodyText2"/>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720" w:leader="none"/>
          <w:tab w:val="left" w:pos="1440" w:leader="none"/>
        </w:tabs>
        <w:spacing w:lineRule="auto" w:line="240"/>
        <w:rPr/>
      </w:pPr>
      <w:r>
        <w:rPr/>
        <w:t>27.</w:t>
        <w:tab/>
      </w:r>
      <w:r>
        <w:rPr>
          <w:u w:val="single"/>
        </w:rPr>
        <w:t>Entire Agreement.</w:t>
      </w:r>
      <w:r>
        <w:rPr/>
        <w:t xml:space="preserve">  This Agreement constitutes the entire agreement of the Parties as to the matters contained herein and there are no oral promises, agreements, or warranties affecting same.  The Parties acknowledge and agree that each provision of this Agreement has been jointly drafted and prepared by the combined efforts of the Parties, and not one Party to the exclusion of the other, and no provision shall be construed or interpreted in favor of one Party against the other as a result of any drafting or preparation thereof.</w:t>
      </w:r>
    </w:p>
    <w:p>
      <w:pPr>
        <w:pStyle w:val="Normal"/>
        <w:ind w:firstLine="720" w:end="0"/>
        <w:jc w:val="both"/>
        <w:rPr>
          <w:sz w:val="24"/>
        </w:rPr>
      </w:pPr>
      <w:r>
        <w:rPr>
          <w:sz w:val="24"/>
        </w:rPr>
      </w:r>
    </w:p>
    <w:p>
      <w:pPr>
        <w:pStyle w:val="Normal"/>
        <w:ind w:firstLine="720" w:end="0"/>
        <w:jc w:val="both"/>
        <w:rPr/>
      </w:pPr>
      <w:r>
        <w:rPr>
          <w:sz w:val="24"/>
        </w:rPr>
        <w:t>28.</w:t>
        <w:tab/>
      </w:r>
      <w:r>
        <w:rPr>
          <w:sz w:val="24"/>
          <w:u w:val="single"/>
        </w:rPr>
        <w:t>Waiver.</w:t>
      </w:r>
      <w:r>
        <w:rPr>
          <w:sz w:val="24"/>
        </w:rPr>
        <w:t xml:space="preserve">  No waiver of one or more defaults by either Party shall operate as a waiver of any future default(s) whether of a like or different nature.</w:t>
      </w:r>
    </w:p>
    <w:p>
      <w:pPr>
        <w:pStyle w:val="Normal"/>
        <w:ind w:firstLine="720" w:end="0"/>
        <w:jc w:val="both"/>
        <w:rPr>
          <w:sz w:val="24"/>
        </w:rPr>
      </w:pPr>
      <w:r>
        <w:rPr>
          <w:sz w:val="24"/>
        </w:rPr>
      </w:r>
    </w:p>
    <w:p>
      <w:pPr>
        <w:pStyle w:val="Heading2"/>
        <w:ind w:firstLine="720" w:start="0" w:end="0"/>
        <w:jc w:val="both"/>
        <w:rPr/>
      </w:pPr>
      <w:r>
        <w:rPr>
          <w:sz w:val="24"/>
        </w:rPr>
        <w:t>29.</w:t>
        <w:tab/>
      </w:r>
      <w:r>
        <w:rPr>
          <w:sz w:val="24"/>
          <w:u w:val="single"/>
        </w:rPr>
        <w:t>Governing Laws</w:t>
      </w:r>
      <w:r>
        <w:rPr>
          <w:sz w:val="24"/>
        </w:rPr>
        <w:t>.  This Agreement shall be governed by the laws of the State of Texas without regard to conflict of laws.  This purchase and sale is subject to all applicable governmental laws, orders, directives, rules, and regulations. EACH PARTY WAIVES ITS RIGHT TO JURY TRIAL WITH RESPECT TO ANY LITIGATION ARISING UNDER OR IN CONNECTION WITH THIS AGREEMENT.</w:t>
      </w:r>
    </w:p>
    <w:p>
      <w:pPr>
        <w:pStyle w:val="Normal"/>
        <w:ind w:firstLine="720" w:end="0"/>
        <w:jc w:val="both"/>
        <w:rPr>
          <w:sz w:val="24"/>
        </w:rPr>
      </w:pPr>
      <w:r>
        <w:rPr>
          <w:sz w:val="24"/>
        </w:rPr>
      </w:r>
    </w:p>
    <w:p>
      <w:pPr>
        <w:pStyle w:val="Normal"/>
        <w:ind w:firstLine="720" w:end="0"/>
        <w:jc w:val="both"/>
        <w:rPr/>
      </w:pPr>
      <w:r>
        <w:rPr>
          <w:sz w:val="24"/>
        </w:rPr>
        <w:t>30.</w:t>
        <w:tab/>
      </w:r>
      <w:r>
        <w:rPr>
          <w:sz w:val="24"/>
          <w:u w:val="single"/>
        </w:rPr>
        <w:t>Ancillary Services.</w:t>
      </w:r>
      <w:r>
        <w:rPr>
          <w:sz w:val="24"/>
        </w:rPr>
        <w:t xml:space="preserve">  No ancillary services are provided by either Party hereunder except as specifically addressed through the terms of this Agreement.</w:t>
      </w:r>
    </w:p>
    <w:p>
      <w:pPr>
        <w:pStyle w:val="Normal"/>
        <w:ind w:firstLine="720" w:end="0"/>
        <w:jc w:val="both"/>
        <w:rPr>
          <w:sz w:val="24"/>
        </w:rPr>
      </w:pPr>
      <w:r>
        <w:rPr>
          <w:sz w:val="24"/>
        </w:rPr>
      </w:r>
    </w:p>
    <w:p>
      <w:pPr>
        <w:pStyle w:val="BodyTextIndent3"/>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lineRule="auto" w:line="240"/>
        <w:ind w:firstLine="720" w:end="0"/>
        <w:rPr/>
      </w:pPr>
      <w:r>
        <w:rPr>
          <w:lang w:val="en-CA" w:eastAsia="en-CA"/>
        </w:rPr>
        <w:t>31.</w:t>
        <w:tab/>
      </w:r>
      <w:r>
        <w:rPr>
          <w:u w:val="single"/>
          <w:lang w:val="en-CA" w:eastAsia="en-CA"/>
        </w:rPr>
        <w:t>Third Party Beneficiary.</w:t>
      </w:r>
      <w:r>
        <w:rPr>
          <w:lang w:val="en-CA" w:eastAsia="en-CA"/>
        </w:rPr>
        <w:t xml:space="preserve">  This Agreement is entered into solely for the use and benefit of Buyer and Seller, and their respective successors and assigns, and nothing in this Agreement shall be construed as giving any rights, benefits, remedies, or claims to any other person, firm, association, corporation, or entity, except for the benefit of other indemnified Parties expressly as provided for therein, shall not imply or create any rights on the part of or obligations to any other person or entity.</w:t>
      </w:r>
    </w:p>
    <w:p>
      <w:pPr>
        <w:pStyle w:val="Normal"/>
        <w:jc w:val="both"/>
        <w:rPr>
          <w:sz w:val="24"/>
          <w:lang w:val="en-CA" w:eastAsia="en-CA"/>
        </w:rPr>
      </w:pPr>
      <w:r>
        <w:rPr>
          <w:sz w:val="24"/>
          <w:lang w:val="en-CA" w:eastAsia="en-CA"/>
        </w:rPr>
      </w:r>
    </w:p>
    <w:p>
      <w:pPr>
        <w:pStyle w:val="Normal"/>
        <w:ind w:firstLine="720" w:end="0"/>
        <w:jc w:val="both"/>
        <w:rPr>
          <w:sz w:val="24"/>
        </w:rPr>
      </w:pPr>
      <w:r>
        <w:rPr>
          <w:sz w:val="24"/>
        </w:rPr>
        <w:t>32.</w:t>
        <w:tab/>
      </w:r>
      <w:r>
        <w:rPr>
          <w:sz w:val="24"/>
          <w:u w:val="single"/>
        </w:rPr>
        <w:t>Single Agreement.</w:t>
      </w:r>
      <w:r>
        <w:rPr>
          <w:sz w:val="24"/>
        </w:rPr>
        <w:t xml:space="preserve">  To facilitate execution, this Agreement may be executed in as many counterparts as may be required and all counterparts shall collectively constitute a single agreement. </w:t>
      </w:r>
      <w:r>
        <w:rPr>
          <w:color w:val="000000"/>
          <w:sz w:val="24"/>
        </w:rPr>
        <w:t xml:space="preserve">This Agreement shall become effective when the Seller shall have received counterparts hereof signed by all of the Parties hereto.  For purposes of this transaction and the closing thereof, a facsimile signature of such document shall be as binding as an original signature, and the Parties shall provide, in addition to a facsimile signature, an original executed copy of such counterpart Agreement. </w:t>
      </w:r>
    </w:p>
    <w:p>
      <w:pPr>
        <w:pStyle w:val="BodyTextIndent3"/>
        <w:spacing w:lineRule="auto" w:line="240"/>
        <w:ind w:hanging="0" w:start="1440" w:end="0"/>
        <w:rPr>
          <w:sz w:val="24"/>
          <w:u w:val="single"/>
        </w:rPr>
      </w:pPr>
      <w:r>
        <w:rPr>
          <w:sz w:val="24"/>
          <w:u w:val="single"/>
        </w:rPr>
      </w:r>
    </w:p>
    <w:p>
      <w:pPr>
        <w:pStyle w:val="BodyTextIndent3"/>
        <w:spacing w:lineRule="auto" w:line="240"/>
        <w:ind w:hanging="0" w:end="0"/>
        <w:rPr/>
      </w:pPr>
      <w:r>
        <w:rPr/>
        <w:t>IN WITNESS WHEREOF, the Parties have executed this Agreement by the signatures of the representative below to be effective as of the Day and year first above written.</w:t>
      </w:r>
    </w:p>
    <w:p>
      <w:pPr>
        <w:pStyle w:val="BodyTextIndent3"/>
        <w:spacing w:lineRule="auto" w:line="240"/>
        <w:ind w:hanging="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caps/>
              </w:rPr>
            </w:pPr>
            <w:r>
              <w:rPr>
                <w:caps/>
              </w:rPr>
              <w:t>BUYER:</w:t>
            </w:r>
          </w:p>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caps/>
              </w:rPr>
            </w:pPr>
            <w:r>
              <w:rPr>
                <w:caps/>
              </w:rPr>
            </w:r>
          </w:p>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caps/>
              </w:rPr>
            </w:pPr>
            <w:r>
              <w:rPr>
                <w:caps/>
              </w:rPr>
            </w:r>
          </w:p>
          <w:p>
            <w:pPr>
              <w:pStyle w:val="Normal"/>
              <w:jc w:val="both"/>
              <w:rPr>
                <w:caps/>
                <w:sz w:val="24"/>
              </w:rPr>
            </w:pPr>
            <w:r>
              <w:rPr>
                <w:caps/>
                <w:sz w:val="24"/>
              </w:rPr>
            </w:r>
          </w:p>
          <w:p>
            <w:pPr>
              <w:pStyle w:val="Normal"/>
              <w:jc w:val="both"/>
              <w:rPr>
                <w:sz w:val="24"/>
              </w:rPr>
            </w:pPr>
            <w:r>
              <w:rPr>
                <w:sz w:val="24"/>
              </w:rPr>
            </w:r>
          </w:p>
          <w:p>
            <w:pPr>
              <w:pStyle w:val="Normal"/>
              <w:tabs>
                <w:tab w:val="clear" w:pos="720"/>
                <w:tab w:val="left" w:pos="360" w:leader="none"/>
                <w:tab w:val="left" w:pos="4320" w:leader="none"/>
              </w:tabs>
              <w:jc w:val="both"/>
              <w:rPr>
                <w:sz w:val="24"/>
              </w:rPr>
            </w:pPr>
            <w:r>
              <w:rPr>
                <w:sz w:val="24"/>
              </w:rPr>
              <w:t>By:</w:t>
              <w:tab/>
            </w:r>
            <w:r>
              <w:rPr>
                <w:sz w:val="24"/>
                <w:u w:val="single"/>
              </w:rPr>
              <w:tab/>
            </w:r>
          </w:p>
          <w:p>
            <w:pPr>
              <w:pStyle w:val="Normal"/>
              <w:tabs>
                <w:tab w:val="clear" w:pos="720"/>
                <w:tab w:val="left" w:pos="612" w:leader="none"/>
                <w:tab w:val="left" w:pos="4320" w:leader="none"/>
              </w:tabs>
              <w:jc w:val="both"/>
              <w:rPr>
                <w:sz w:val="24"/>
              </w:rPr>
            </w:pPr>
            <w:r>
              <w:rPr>
                <w:sz w:val="24"/>
              </w:rPr>
              <w:t>Name:</w:t>
            </w:r>
            <w:r>
              <w:rPr>
                <w:sz w:val="24"/>
                <w:u w:val="single"/>
              </w:rPr>
              <w:tab/>
            </w:r>
          </w:p>
          <w:p>
            <w:pPr>
              <w:pStyle w:val="BodyText"/>
              <w:keepNext w:val="true"/>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612" w:leader="none"/>
                <w:tab w:val="left" w:pos="4320" w:leader="none"/>
              </w:tabs>
              <w:spacing w:lineRule="auto" w:line="240"/>
              <w:rPr/>
            </w:pPr>
            <w:r>
              <w:rPr/>
              <w:t>Title:</w:t>
              <w:tab/>
            </w:r>
            <w:r>
              <w:rPr>
                <w:u w:val="single"/>
              </w:rPr>
              <w:tab/>
            </w:r>
          </w:p>
        </w:tc>
        <w:tc>
          <w:tcPr>
            <w:tcW w:w="4788" w:type="dxa"/>
            <w:tcBorders/>
          </w:tcPr>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pPr>
            <w:r>
              <w:rPr/>
              <w:t>SELLER:</w:t>
            </w:r>
          </w:p>
          <w:p>
            <w:pPr>
              <w:pStyle w:val="BodyTex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Rule="auto" w:line="240"/>
              <w:rPr/>
            </w:pPr>
            <w:r>
              <w:rPr/>
            </w:r>
          </w:p>
          <w:p>
            <w:pPr>
              <w:pStyle w:val="Normal"/>
              <w:tabs>
                <w:tab w:val="clear" w:pos="720"/>
                <w:tab w:val="left" w:pos="342" w:leader="none"/>
              </w:tabs>
              <w:jc w:val="both"/>
              <w:rPr>
                <w:sz w:val="24"/>
                <w:u w:val="single"/>
              </w:rPr>
            </w:pPr>
            <w:r>
              <w:rPr>
                <w:sz w:val="24"/>
                <w:u w:val="single"/>
              </w:rPr>
            </w:r>
          </w:p>
          <w:p>
            <w:pPr>
              <w:pStyle w:val="Normal"/>
              <w:tabs>
                <w:tab w:val="clear" w:pos="720"/>
                <w:tab w:val="left" w:pos="342" w:leader="none"/>
              </w:tabs>
              <w:jc w:val="both"/>
              <w:rPr>
                <w:sz w:val="24"/>
                <w:u w:val="single"/>
              </w:rPr>
            </w:pPr>
            <w:r>
              <w:rPr>
                <w:sz w:val="24"/>
                <w:u w:val="single"/>
              </w:rPr>
            </w:r>
          </w:p>
          <w:p>
            <w:pPr>
              <w:pStyle w:val="Normal"/>
              <w:tabs>
                <w:tab w:val="clear" w:pos="720"/>
                <w:tab w:val="left" w:pos="342" w:leader="none"/>
              </w:tabs>
              <w:jc w:val="both"/>
              <w:rPr>
                <w:sz w:val="24"/>
              </w:rPr>
            </w:pPr>
            <w:r>
              <w:rPr>
                <w:sz w:val="24"/>
              </w:rPr>
            </w:r>
          </w:p>
          <w:p>
            <w:pPr>
              <w:pStyle w:val="Normal"/>
              <w:tabs>
                <w:tab w:val="clear" w:pos="720"/>
                <w:tab w:val="left" w:pos="162" w:leader="none"/>
                <w:tab w:val="left" w:pos="522" w:leader="none"/>
                <w:tab w:val="left" w:pos="4320" w:leader="none"/>
              </w:tabs>
              <w:jc w:val="both"/>
              <w:rPr>
                <w:sz w:val="24"/>
              </w:rPr>
            </w:pPr>
            <w:r>
              <w:rPr>
                <w:sz w:val="24"/>
              </w:rPr>
              <w:tab/>
              <w:t>By:</w:t>
              <w:tab/>
            </w:r>
            <w:r>
              <w:rPr>
                <w:sz w:val="24"/>
                <w:u w:val="single"/>
              </w:rPr>
              <w:tab/>
            </w:r>
          </w:p>
          <w:p>
            <w:pPr>
              <w:pStyle w:val="Normal"/>
              <w:tabs>
                <w:tab w:val="clear" w:pos="720"/>
                <w:tab w:val="left" w:pos="360" w:leader="none"/>
                <w:tab w:val="left" w:pos="990" w:leader="none"/>
                <w:tab w:val="left" w:pos="4320" w:leader="none"/>
              </w:tabs>
              <w:jc w:val="both"/>
              <w:rPr>
                <w:sz w:val="24"/>
              </w:rPr>
            </w:pPr>
            <w:r>
              <w:rPr>
                <w:sz w:val="24"/>
              </w:rPr>
              <w:tab/>
              <w:t>Name:</w:t>
            </w:r>
            <w:r>
              <w:rPr>
                <w:sz w:val="24"/>
                <w:u w:val="single"/>
              </w:rPr>
              <w:tab/>
            </w:r>
          </w:p>
          <w:p>
            <w:pPr>
              <w:pStyle w:val="Normal"/>
              <w:tabs>
                <w:tab w:val="clear" w:pos="720"/>
                <w:tab w:val="left" w:pos="360" w:leader="none"/>
                <w:tab w:val="left" w:pos="990" w:leader="none"/>
                <w:tab w:val="left" w:pos="4320" w:leader="none"/>
              </w:tabs>
              <w:jc w:val="both"/>
              <w:rPr>
                <w:sz w:val="24"/>
              </w:rPr>
            </w:pPr>
            <w:r>
              <w:rPr>
                <w:sz w:val="24"/>
              </w:rPr>
              <w:tab/>
              <w:t>Title:</w:t>
              <w:tab/>
            </w:r>
            <w:r>
              <w:rPr>
                <w:sz w:val="24"/>
                <w:u w:val="single"/>
              </w:rPr>
              <w:tab/>
            </w:r>
          </w:p>
        </w:tc>
      </w:tr>
    </w:tbl>
    <w:p>
      <w:pPr>
        <w:sectPr>
          <w:footerReference w:type="default" r:id="rId2"/>
          <w:type w:val="nextPage"/>
          <w:pgSz w:w="12240" w:h="15840"/>
          <w:pgMar w:left="1440" w:right="1440" w:gutter="0" w:header="0" w:top="1440" w:footer="504" w:bottom="1440"/>
          <w:pgNumType w:fmt="decimal"/>
          <w:formProt w:val="false"/>
          <w:textDirection w:val="lrTb"/>
          <w:docGrid w:type="default" w:linePitch="360" w:charSpace="0"/>
        </w:sectPr>
        <w:pStyle w:val="Normal"/>
        <w:rPr/>
      </w:pPr>
      <w:r>
        <w:rPr/>
      </w:r>
    </w:p>
    <w:p>
      <w:pPr>
        <w:pStyle w:val="Normal"/>
        <w:jc w:val="center"/>
        <w:rPr>
          <w:b/>
          <w:sz w:val="28"/>
          <w:u w:val="single"/>
        </w:rPr>
      </w:pPr>
      <w:r>
        <w:rPr>
          <w:b/>
          <w:sz w:val="28"/>
          <w:u w:val="single"/>
        </w:rPr>
        <w:t>LETTER OF CONFIRMATION</w:t>
      </w:r>
    </w:p>
    <w:p>
      <w:pPr>
        <w:pStyle w:val="Normal"/>
        <w:jc w:val="center"/>
        <w:rPr>
          <w:b/>
          <w:sz w:val="28"/>
          <w:u w:val="single"/>
        </w:rPr>
      </w:pPr>
      <w:r>
        <w:rPr>
          <w:b/>
          <w:sz w:val="28"/>
          <w:u w:val="single"/>
        </w:rPr>
      </w:r>
    </w:p>
    <w:p>
      <w:pPr>
        <w:pStyle w:val="Normal"/>
        <w:jc w:val="center"/>
        <w:rPr>
          <w:b/>
          <w:sz w:val="28"/>
          <w:u w:val="single"/>
        </w:rPr>
      </w:pPr>
      <w:r>
        <w:rPr>
          <w:b/>
          <w:sz w:val="28"/>
          <w:u w:val="single"/>
        </w:rPr>
      </w:r>
    </w:p>
    <w:p>
      <w:pPr>
        <w:pStyle w:val="BodyTextFirstIndent"/>
        <w:rPr>
          <w:sz w:val="28"/>
        </w:rPr>
      </w:pPr>
      <w:r>
        <w:rPr>
          <w:sz w:val="28"/>
        </w:rPr>
        <w:t>This confirmation letter shall confirm the Transaction agreed to on September 29, 2000 between Frontera Limited Partnership (“Seller”) and Enron Power Marketing, Inc. (“Buyer”) regarding the sale/purchase of the Contract Capacity Quantity under the terms and conditions as follows:</w:t>
      </w:r>
    </w:p>
    <w:p>
      <w:pPr>
        <w:pStyle w:val="Normal"/>
        <w:rPr>
          <w:sz w:val="28"/>
        </w:rPr>
      </w:pPr>
      <w:r>
        <w:rPr>
          <w:sz w:val="28"/>
        </w:rPr>
      </w:r>
    </w:p>
    <w:p>
      <w:pPr>
        <w:pStyle w:val="Normal"/>
        <w:numPr>
          <w:ilvl w:val="0"/>
          <w:numId w:val="2"/>
        </w:numPr>
        <w:rPr>
          <w:sz w:val="28"/>
        </w:rPr>
      </w:pPr>
      <w:r>
        <w:rPr>
          <w:sz w:val="28"/>
          <w:u w:val="single"/>
        </w:rPr>
        <w:t>Section 2</w:t>
      </w:r>
      <w:r>
        <w:rPr>
          <w:sz w:val="28"/>
        </w:rPr>
        <w:t>. Term Start Date shall be January 1, 2001.</w:t>
      </w:r>
    </w:p>
    <w:p>
      <w:pPr>
        <w:pStyle w:val="Normal"/>
        <w:rPr>
          <w:sz w:val="28"/>
        </w:rPr>
      </w:pPr>
      <w:r>
        <w:rPr>
          <w:sz w:val="28"/>
        </w:rPr>
      </w:r>
    </w:p>
    <w:p>
      <w:pPr>
        <w:pStyle w:val="Normal"/>
        <w:numPr>
          <w:ilvl w:val="0"/>
          <w:numId w:val="2"/>
        </w:numPr>
        <w:rPr>
          <w:sz w:val="28"/>
        </w:rPr>
      </w:pPr>
      <w:r>
        <w:rPr>
          <w:sz w:val="28"/>
          <w:u w:val="single"/>
        </w:rPr>
        <w:t>Section 2</w:t>
      </w:r>
      <w:r>
        <w:rPr>
          <w:sz w:val="28"/>
        </w:rPr>
        <w:t>. Term End Date shall be December 31, 2001.</w:t>
      </w:r>
    </w:p>
    <w:p>
      <w:pPr>
        <w:pStyle w:val="Normal"/>
        <w:rPr>
          <w:sz w:val="28"/>
        </w:rPr>
      </w:pPr>
      <w:r>
        <w:rPr>
          <w:sz w:val="28"/>
        </w:rPr>
      </w:r>
    </w:p>
    <w:p>
      <w:pPr>
        <w:pStyle w:val="Normal"/>
        <w:rPr>
          <w:sz w:val="28"/>
        </w:rPr>
      </w:pPr>
      <w:r>
        <w:rPr>
          <w:sz w:val="28"/>
        </w:rPr>
      </w:r>
    </w:p>
    <w:p>
      <w:pPr>
        <w:pStyle w:val="Normal"/>
        <w:numPr>
          <w:ilvl w:val="0"/>
          <w:numId w:val="2"/>
        </w:numPr>
        <w:rPr>
          <w:sz w:val="28"/>
        </w:rPr>
      </w:pPr>
      <w:r>
        <w:rPr>
          <w:sz w:val="28"/>
          <w:u w:val="single"/>
        </w:rPr>
        <w:t>Section 7(c) Capacity Charge</w:t>
      </w:r>
      <w:r>
        <w:rPr>
          <w:sz w:val="28"/>
        </w:rPr>
        <w:t>.  Buyer shall pay a total Capacity Charge of six million two hundred and forty thousand dollars ($6,240,000), payable in monthly installments as follows:</w:t>
      </w:r>
    </w:p>
    <w:p>
      <w:pPr>
        <w:pStyle w:val="Normal"/>
        <w:rPr>
          <w:sz w:val="28"/>
        </w:rPr>
      </w:pPr>
      <w:r>
        <w:rPr>
          <w:sz w:val="28"/>
        </w:rPr>
      </w:r>
    </w:p>
    <w:p>
      <w:pPr>
        <w:pStyle w:val="Normal"/>
        <w:tabs>
          <w:tab w:val="clear" w:pos="720"/>
          <w:tab w:val="left" w:pos="1350" w:leader="none"/>
        </w:tabs>
        <w:ind w:start="360" w:end="0"/>
        <w:rPr>
          <w:sz w:val="28"/>
        </w:rPr>
      </w:pPr>
      <w:r>
        <w:rPr>
          <w:sz w:val="28"/>
        </w:rPr>
        <w:t>January 2001</w:t>
        <w:tab/>
        <w:tab/>
        <w:t>$2.70 / KW-Mo. ($270,000)</w:t>
      </w:r>
    </w:p>
    <w:p>
      <w:pPr>
        <w:pStyle w:val="Normal"/>
        <w:tabs>
          <w:tab w:val="clear" w:pos="720"/>
          <w:tab w:val="left" w:pos="1350" w:leader="none"/>
        </w:tabs>
        <w:ind w:start="360" w:end="0"/>
        <w:rPr>
          <w:sz w:val="28"/>
        </w:rPr>
      </w:pPr>
      <w:r>
        <w:rPr>
          <w:sz w:val="28"/>
        </w:rPr>
        <w:t>February 2001</w:t>
        <w:tab/>
        <w:tab/>
        <w:t>$2.70 / KW-Mo. ($270,000)</w:t>
      </w:r>
    </w:p>
    <w:p>
      <w:pPr>
        <w:pStyle w:val="Normal"/>
        <w:tabs>
          <w:tab w:val="clear" w:pos="720"/>
          <w:tab w:val="left" w:pos="1350" w:leader="none"/>
        </w:tabs>
        <w:ind w:start="360" w:end="0"/>
        <w:rPr>
          <w:sz w:val="28"/>
        </w:rPr>
      </w:pPr>
      <w:r>
        <w:rPr>
          <w:sz w:val="28"/>
        </w:rPr>
        <w:t>March 2001</w:t>
        <w:tab/>
        <w:tab/>
        <w:t>$2.70 / KW-Mo. ($270,000)</w:t>
      </w:r>
    </w:p>
    <w:p>
      <w:pPr>
        <w:pStyle w:val="Normal"/>
        <w:tabs>
          <w:tab w:val="clear" w:pos="720"/>
          <w:tab w:val="left" w:pos="1350" w:leader="none"/>
        </w:tabs>
        <w:ind w:start="360" w:end="0"/>
        <w:rPr>
          <w:sz w:val="28"/>
        </w:rPr>
      </w:pPr>
      <w:r>
        <w:rPr>
          <w:sz w:val="28"/>
        </w:rPr>
        <w:t>April 2001</w:t>
        <w:tab/>
        <w:tab/>
        <w:t>$2.70 / KW-Mo. ($270,000)</w:t>
      </w:r>
    </w:p>
    <w:p>
      <w:pPr>
        <w:pStyle w:val="Normal"/>
        <w:tabs>
          <w:tab w:val="clear" w:pos="720"/>
          <w:tab w:val="left" w:pos="1350" w:leader="none"/>
        </w:tabs>
        <w:ind w:start="360" w:end="0"/>
        <w:rPr>
          <w:sz w:val="28"/>
        </w:rPr>
      </w:pPr>
      <w:r>
        <w:rPr>
          <w:sz w:val="28"/>
        </w:rPr>
        <w:t>May 2001</w:t>
        <w:tab/>
        <w:tab/>
        <w:t>$2.70 / KW-Mo. ($270,000)</w:t>
      </w:r>
    </w:p>
    <w:p>
      <w:pPr>
        <w:pStyle w:val="Normal"/>
        <w:tabs>
          <w:tab w:val="clear" w:pos="720"/>
          <w:tab w:val="left" w:pos="1350" w:leader="none"/>
        </w:tabs>
        <w:ind w:start="360" w:end="0"/>
        <w:rPr>
          <w:sz w:val="28"/>
        </w:rPr>
      </w:pPr>
      <w:r>
        <w:rPr>
          <w:sz w:val="28"/>
        </w:rPr>
        <w:t>June 2001</w:t>
        <w:tab/>
        <w:tab/>
        <w:t>$10.70 / KW-Mo. ($1,070,000)</w:t>
      </w:r>
    </w:p>
    <w:p>
      <w:pPr>
        <w:pStyle w:val="Normal"/>
        <w:tabs>
          <w:tab w:val="clear" w:pos="720"/>
          <w:tab w:val="left" w:pos="1350" w:leader="none"/>
        </w:tabs>
        <w:ind w:start="360" w:end="0"/>
        <w:rPr>
          <w:sz w:val="28"/>
        </w:rPr>
      </w:pPr>
      <w:r>
        <w:rPr>
          <w:sz w:val="28"/>
        </w:rPr>
        <w:t>July 2001</w:t>
        <w:tab/>
        <w:tab/>
        <w:t>$10.70 / KW-Mo. ($1,070,000)</w:t>
      </w:r>
    </w:p>
    <w:p>
      <w:pPr>
        <w:pStyle w:val="Normal"/>
        <w:tabs>
          <w:tab w:val="clear" w:pos="720"/>
          <w:tab w:val="left" w:pos="1350" w:leader="none"/>
        </w:tabs>
        <w:ind w:start="360" w:end="0"/>
        <w:rPr>
          <w:sz w:val="28"/>
        </w:rPr>
      </w:pPr>
      <w:r>
        <w:rPr>
          <w:sz w:val="28"/>
        </w:rPr>
        <w:t>August 2001</w:t>
        <w:tab/>
        <w:tab/>
        <w:t>$10.70 / KW-Mo. ($1,070,000)</w:t>
      </w:r>
    </w:p>
    <w:p>
      <w:pPr>
        <w:pStyle w:val="Normal"/>
        <w:tabs>
          <w:tab w:val="clear" w:pos="720"/>
          <w:tab w:val="left" w:pos="1350" w:leader="none"/>
        </w:tabs>
        <w:ind w:start="360" w:end="0"/>
        <w:rPr>
          <w:sz w:val="28"/>
        </w:rPr>
      </w:pPr>
      <w:r>
        <w:rPr>
          <w:sz w:val="28"/>
        </w:rPr>
        <w:t>September 2001</w:t>
        <w:tab/>
        <w:t>$10.70 / KW-Mo. ($1,070,000)</w:t>
      </w:r>
    </w:p>
    <w:p>
      <w:pPr>
        <w:pStyle w:val="Normal"/>
        <w:tabs>
          <w:tab w:val="clear" w:pos="720"/>
          <w:tab w:val="left" w:pos="1350" w:leader="none"/>
        </w:tabs>
        <w:ind w:start="360" w:end="0"/>
        <w:rPr>
          <w:sz w:val="28"/>
        </w:rPr>
      </w:pPr>
      <w:r>
        <w:rPr>
          <w:sz w:val="28"/>
        </w:rPr>
        <w:t>October 2001</w:t>
        <w:tab/>
        <w:tab/>
        <w:t>$2.70 / KW-Mo. ($270,000)</w:t>
      </w:r>
    </w:p>
    <w:p>
      <w:pPr>
        <w:pStyle w:val="Normal"/>
        <w:tabs>
          <w:tab w:val="clear" w:pos="720"/>
          <w:tab w:val="left" w:pos="1350" w:leader="none"/>
        </w:tabs>
        <w:ind w:start="360" w:end="0"/>
        <w:rPr>
          <w:sz w:val="28"/>
        </w:rPr>
      </w:pPr>
      <w:r>
        <w:rPr>
          <w:sz w:val="28"/>
        </w:rPr>
        <w:t>November 2001</w:t>
        <w:tab/>
        <w:t>$2.70 / KW-Mo. ($270,000)</w:t>
      </w:r>
    </w:p>
    <w:p>
      <w:pPr>
        <w:pStyle w:val="Normal"/>
        <w:tabs>
          <w:tab w:val="clear" w:pos="720"/>
          <w:tab w:val="left" w:pos="1350" w:leader="none"/>
        </w:tabs>
        <w:ind w:start="360" w:end="0"/>
        <w:rPr>
          <w:sz w:val="28"/>
        </w:rPr>
      </w:pPr>
      <w:r>
        <w:rPr>
          <w:sz w:val="28"/>
        </w:rPr>
        <w:t>December 2001</w:t>
        <w:tab/>
        <w:tab/>
        <w:t>$2.70 / KW-Mo. ($270,000)</w:t>
      </w:r>
    </w:p>
    <w:p>
      <w:pPr>
        <w:pStyle w:val="Normal"/>
        <w:tabs>
          <w:tab w:val="clear" w:pos="720"/>
          <w:tab w:val="left" w:pos="1350" w:leader="none"/>
        </w:tabs>
        <w:ind w:start="360" w:end="0"/>
        <w:rPr>
          <w:sz w:val="28"/>
        </w:rPr>
      </w:pPr>
      <w:r>
        <w:rPr>
          <w:sz w:val="28"/>
        </w:rPr>
      </w:r>
    </w:p>
    <w:p>
      <w:pPr>
        <w:pStyle w:val="Normal"/>
        <w:tabs>
          <w:tab w:val="clear" w:pos="720"/>
          <w:tab w:val="left" w:pos="1350" w:leader="none"/>
        </w:tabs>
        <w:ind w:start="360" w:end="0"/>
        <w:rPr>
          <w:sz w:val="28"/>
        </w:rPr>
      </w:pPr>
      <w:r>
        <w:rPr>
          <w:sz w:val="28"/>
        </w:rPr>
      </w:r>
    </w:p>
    <w:p>
      <w:pPr>
        <w:pStyle w:val="Normal"/>
        <w:rPr>
          <w:sz w:val="28"/>
        </w:rPr>
      </w:pPr>
      <w:r>
        <w:rPr>
          <w:sz w:val="28"/>
        </w:rPr>
      </w:r>
    </w:p>
    <w:p>
      <w:pPr>
        <w:pStyle w:val="Normal"/>
        <w:numPr>
          <w:ilvl w:val="0"/>
          <w:numId w:val="2"/>
        </w:numPr>
        <w:rPr>
          <w:sz w:val="28"/>
        </w:rPr>
      </w:pPr>
      <w:r>
        <w:rPr>
          <w:sz w:val="28"/>
        </w:rPr>
        <w:t>For the 1</w:t>
      </w:r>
      <w:r>
        <w:rPr>
          <w:sz w:val="28"/>
          <w:vertAlign w:val="superscript"/>
        </w:rPr>
        <w:t>st</w:t>
      </w:r>
      <w:r>
        <w:rPr>
          <w:sz w:val="28"/>
        </w:rPr>
        <w:t xml:space="preserve">  Season the Capacity Adjustment Rate shall be $5.29/MWh</w:t>
      </w:r>
      <w:r>
        <w:rPr>
          <w:sz w:val="28"/>
          <w:u w:val="single"/>
        </w:rPr>
        <w:t>;</w:t>
      </w:r>
    </w:p>
    <w:p>
      <w:pPr>
        <w:pStyle w:val="Normal"/>
        <w:ind w:start="360" w:end="0"/>
        <w:rPr/>
      </w:pPr>
      <w:r>
        <w:rPr>
          <w:sz w:val="28"/>
        </w:rPr>
        <w:t>For the 2</w:t>
      </w:r>
      <w:r>
        <w:rPr>
          <w:sz w:val="28"/>
          <w:vertAlign w:val="superscript"/>
        </w:rPr>
        <w:t>nd</w:t>
      </w:r>
      <w:r>
        <w:rPr>
          <w:sz w:val="28"/>
        </w:rPr>
        <w:t xml:space="preserve"> Season the Capacity Adjustment Rate shall be $5.19/MWh</w:t>
      </w:r>
      <w:r>
        <w:rPr>
          <w:sz w:val="28"/>
          <w:u w:val="single"/>
        </w:rPr>
        <w:t>:</w:t>
      </w:r>
    </w:p>
    <w:p>
      <w:pPr>
        <w:pStyle w:val="Normal"/>
        <w:ind w:start="360" w:end="0"/>
        <w:rPr/>
      </w:pPr>
      <w:r>
        <w:rPr>
          <w:sz w:val="28"/>
        </w:rPr>
        <w:t>For the 3</w:t>
      </w:r>
      <w:r>
        <w:rPr>
          <w:sz w:val="28"/>
          <w:vertAlign w:val="superscript"/>
        </w:rPr>
        <w:t>rd</w:t>
      </w:r>
      <w:r>
        <w:rPr>
          <w:sz w:val="28"/>
        </w:rPr>
        <w:t xml:space="preserve"> Season the Capacity Adjustment Rate shall be $20.64/MWh.</w:t>
      </w:r>
    </w:p>
    <w:p>
      <w:pPr>
        <w:pStyle w:val="Normal"/>
        <w:rPr>
          <w:sz w:val="28"/>
        </w:rPr>
      </w:pPr>
      <w:r>
        <w:rPr>
          <w:sz w:val="28"/>
        </w:rPr>
      </w:r>
    </w:p>
    <w:p>
      <w:pPr>
        <w:pStyle w:val="Normal"/>
        <w:numPr>
          <w:ilvl w:val="0"/>
          <w:numId w:val="2"/>
        </w:numPr>
        <w:rPr>
          <w:sz w:val="28"/>
        </w:rPr>
      </w:pPr>
      <w:r>
        <w:rPr>
          <w:sz w:val="28"/>
        </w:rPr>
        <w:t>Contract Capacity Quantity shall be 100 MW.</w:t>
      </w:r>
    </w:p>
    <w:p>
      <w:pPr>
        <w:pStyle w:val="Normal"/>
        <w:rPr>
          <w:sz w:val="28"/>
        </w:rPr>
      </w:pPr>
      <w:r>
        <w:rPr>
          <w:sz w:val="28"/>
        </w:rPr>
      </w:r>
    </w:p>
    <w:p>
      <w:pPr>
        <w:pStyle w:val="Normal"/>
        <w:numPr>
          <w:ilvl w:val="0"/>
          <w:numId w:val="2"/>
        </w:numPr>
        <w:rPr>
          <w:sz w:val="28"/>
        </w:rPr>
      </w:pPr>
      <w:r>
        <w:rPr>
          <w:sz w:val="28"/>
        </w:rPr>
        <w:t xml:space="preserve">Special Conditions: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8"/>
        </w:rPr>
      </w:pPr>
      <w:r>
        <w:rPr>
          <w:sz w:val="28"/>
        </w:rPr>
        <w:tab/>
        <w:t>Neither Party shall disclose the terms or conditions of this Letter of Confirmation to a third party (other than the Party's and its Affiliates' employees, lenders, counsel, accountants or advisors who have a need to know such information and have agreed to keep such terms confidential) except in order to comply with any applicable law, exchange rule, regulatory requirement or request; provided, each Party shall notify the other Party, to the extent reasonably practicable,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rPr>
          <w:sz w:val="28"/>
        </w:rPr>
      </w:pPr>
      <w:r>
        <w:rPr>
          <w:sz w:val="28"/>
        </w:rPr>
      </w:r>
    </w:p>
    <w:p>
      <w:pPr>
        <w:pStyle w:val="Normal"/>
        <w:rPr>
          <w:sz w:val="28"/>
        </w:rPr>
      </w:pPr>
      <w:r>
        <w:rPr>
          <w:sz w:val="28"/>
        </w:rPr>
      </w:r>
    </w:p>
    <w:p>
      <w:pPr>
        <w:pStyle w:val="Heading"/>
        <w:jc w:val="both"/>
        <w:rPr>
          <w:sz w:val="28"/>
        </w:rPr>
      </w:pPr>
      <w:r>
        <w:rPr>
          <w:sz w:val="28"/>
        </w:rPr>
        <w:t>This confirmation letter is being provided pursuant to and in accordance with the "AGREEMENT FOR SALE AND PURCHASE OF ELECTRICAL CAPACITY AND ENERGY BY AND BETWEEN Frontera Generation Limited Partnership AND Enron Power Marketing, Inc." dated October __, 2000 (the “Agreement”), and constitutes part of and is subject to the terms and provisions of such Agreement.  Terms used but not defined herein shall have the meanings ascribed to them in the Agreement.</w:t>
      </w:r>
    </w:p>
    <w:p>
      <w:pPr>
        <w:pStyle w:val="Heading"/>
        <w:rPr>
          <w:sz w:val="28"/>
        </w:rPr>
      </w:pPr>
      <w:r>
        <w:rPr>
          <w:sz w:val="28"/>
        </w:rPr>
      </w:r>
    </w:p>
    <w:p>
      <w:pPr>
        <w:pStyle w:val="Signature-dbl"/>
        <w:rPr>
          <w:sz w:val="28"/>
        </w:rPr>
      </w:pPr>
      <w:r>
        <w:rPr>
          <w:sz w:val="28"/>
        </w:rPr>
        <w:t>Frontera Generation Limited Partnership</w:t>
        <w:tab/>
        <w:t>Enron Power Marketing, Inc.</w:t>
      </w:r>
    </w:p>
    <w:p>
      <w:pPr>
        <w:pStyle w:val="Signature-dbl"/>
        <w:rPr>
          <w:sz w:val="28"/>
        </w:rPr>
      </w:pPr>
      <w:r>
        <w:rPr>
          <w:sz w:val="28"/>
        </w:rPr>
      </w:r>
    </w:p>
    <w:p>
      <w:pPr>
        <w:pStyle w:val="Signature-dbl"/>
        <w:rPr>
          <w:sz w:val="28"/>
        </w:rPr>
      </w:pPr>
      <w:r>
        <w:rPr>
          <w:sz w:val="28"/>
        </w:rPr>
        <w:t xml:space="preserve">Name:  </w:t>
      </w:r>
      <w:r>
        <w:rPr>
          <w:sz w:val="28"/>
          <w:u w:val="single"/>
        </w:rPr>
        <w:tab/>
      </w:r>
      <w:r>
        <w:rPr>
          <w:sz w:val="28"/>
        </w:rPr>
        <w:tab/>
        <w:t xml:space="preserve">Name:  </w:t>
      </w:r>
      <w:r>
        <w:rPr>
          <w:sz w:val="28"/>
          <w:u w:val="single"/>
        </w:rPr>
        <w:tab/>
      </w:r>
    </w:p>
    <w:p>
      <w:pPr>
        <w:pStyle w:val="Signature-dbl"/>
        <w:rPr>
          <w:sz w:val="28"/>
        </w:rPr>
      </w:pPr>
      <w:r>
        <w:rPr>
          <w:sz w:val="28"/>
        </w:rPr>
        <w:t xml:space="preserve">Title:  </w:t>
      </w:r>
      <w:r>
        <w:rPr>
          <w:sz w:val="28"/>
          <w:u w:val="single"/>
        </w:rPr>
        <w:tab/>
      </w:r>
      <w:r>
        <w:rPr>
          <w:sz w:val="28"/>
        </w:rPr>
        <w:tab/>
        <w:t xml:space="preserve">Title:  </w:t>
      </w:r>
      <w:r>
        <w:rPr>
          <w:sz w:val="28"/>
          <w:u w:val="single"/>
        </w:rPr>
        <w:tab/>
      </w:r>
    </w:p>
    <w:p>
      <w:pPr>
        <w:pStyle w:val="Signature-dbl"/>
        <w:rPr>
          <w:sz w:val="28"/>
        </w:rPr>
      </w:pPr>
      <w:r>
        <w:rPr>
          <w:sz w:val="28"/>
        </w:rPr>
        <w:t xml:space="preserve">Phone No:  </w:t>
      </w:r>
      <w:r>
        <w:rPr>
          <w:sz w:val="28"/>
          <w:u w:val="single"/>
        </w:rPr>
        <w:tab/>
      </w:r>
      <w:r>
        <w:rPr>
          <w:sz w:val="28"/>
        </w:rPr>
        <w:tab/>
        <w:t xml:space="preserve">Phone No:  </w:t>
      </w:r>
      <w:r>
        <w:rPr>
          <w:sz w:val="28"/>
          <w:u w:val="single"/>
        </w:rPr>
        <w:tab/>
      </w:r>
    </w:p>
    <w:p>
      <w:pPr>
        <w:pStyle w:val="Signature-dbl"/>
        <w:rPr/>
      </w:pPr>
      <w:r>
        <w:rPr/>
        <w:t xml:space="preserve">Fax:  </w:t>
      </w:r>
      <w:r>
        <w:rPr>
          <w:u w:val="single"/>
        </w:rPr>
        <w:tab/>
      </w:r>
      <w:r>
        <w:rPr/>
        <w:tab/>
        <w:t xml:space="preserve">Fax:  </w:t>
      </w:r>
      <w:r>
        <w:rPr>
          <w:u w:val="single"/>
        </w:rPr>
        <w:tab/>
      </w:r>
    </w:p>
    <w:p>
      <w:pPr>
        <w:pStyle w:val="Signature-dbl"/>
        <w:rPr>
          <w:u w:val="single"/>
        </w:rPr>
      </w:pPr>
      <w:r>
        <w:rPr>
          <w:u w:val="single"/>
        </w:rPr>
      </w:r>
    </w:p>
    <w:p>
      <w:pPr>
        <w:pStyle w:val="Signature-dbl"/>
        <w:rPr>
          <w:sz w:val="28"/>
          <w:u w:val="single"/>
        </w:rPr>
      </w:pPr>
      <w:r>
        <w:rPr>
          <w:sz w:val="28"/>
          <w:u w:val="single"/>
        </w:rPr>
      </w:r>
    </w:p>
    <w:p>
      <w:pPr>
        <w:pStyle w:val="Normal"/>
        <w:rPr>
          <w:sz w:val="28"/>
        </w:rPr>
      </w:pPr>
      <w:r>
        <w:rPr>
          <w:sz w:val="28"/>
        </w:rPr>
      </w:r>
    </w:p>
    <w:sectPr>
      <w:footerReference w:type="default" r:id="rId3"/>
      <w:footerReference w:type="first" r:id="rId4"/>
      <w:type w:val="nextPage"/>
      <w:pgSz w:w="12240" w:h="15840"/>
      <w:pgMar w:left="1440" w:right="1440" w:gutter="0" w:header="0" w:top="1440" w:footer="504" w:bottom="1440"/>
      <w:pgNumType w:start="3"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57.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2160"/>
        </w:tabs>
        <w:ind w:start="2160" w:hanging="720"/>
      </w:pPr>
      <w:rPr/>
    </w:lvl>
  </w:abstractNum>
  <w:abstractNum w:abstractNumId="4">
    <w:lvl w:ilvl="0">
      <w:start w:val="6"/>
      <w:numFmt w:val="lowerLetter"/>
      <w:lvlText w:val="(%1)"/>
      <w:lvlJc w:val="start"/>
      <w:pPr>
        <w:tabs>
          <w:tab w:val="num" w:pos="2160"/>
        </w:tabs>
        <w:ind w:start="2160" w:hanging="720"/>
      </w:pPr>
      <w:rPr/>
    </w:lvl>
  </w:abstractNum>
  <w:abstractNum w:abstractNumId="5">
    <w:lvl w:ilvl="0">
      <w:start w:val="2"/>
      <w:numFmt w:val="decimal"/>
      <w:lvlText w:val="(%1)"/>
      <w:lvlJc w:val="start"/>
      <w:pPr>
        <w:tabs>
          <w:tab w:val="num" w:pos="2880"/>
        </w:tabs>
        <w:ind w:start="2880" w:hanging="720"/>
      </w:pPr>
      <w:rPr/>
    </w:lvl>
  </w:abstractNum>
  <w:abstractNum w:abstractNumId="6">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7">
    <w:lvl w:ilvl="0">
      <w:start w:val="5"/>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CA" w:bidi="ar-SA"/>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2z0">
    <w:name w:val="WW8Num12z0"/>
    <w:qFormat/>
    <w:rPr/>
  </w:style>
  <w:style w:type="character" w:styleId="WW8Num13z0">
    <w:name w:val="WW8Num13z0"/>
    <w:qFormat/>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5z0">
    <w:name w:val="WW8Num25z0"/>
    <w:qFormat/>
    <w:rPr>
      <w:rFonts w:ascii="Times New Roman" w:hAnsi="Times New Roman" w:cs="Times New Roman"/>
      <w:b/>
      <w:i w:val="false"/>
      <w:caps/>
      <w:strike w:val="false"/>
      <w:dstrike w:val="false"/>
      <w:outline w:val="false"/>
      <w:shadow w:val="false"/>
      <w:vanish w:val="false"/>
      <w:color w:val="auto"/>
      <w:position w:val="0"/>
      <w:sz w:val="24"/>
      <w:sz w:val="24"/>
      <w:u w:val="single"/>
      <w:vertAlign w:val="baseline"/>
    </w:rPr>
  </w:style>
  <w:style w:type="character" w:styleId="WW8Num25z1">
    <w:name w:val="WW8Num2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0">
    <w:name w:val="WW8Num26z0"/>
    <w:qFormat/>
    <w:rPr/>
  </w:style>
  <w:style w:type="character" w:styleId="WW8Num27z0">
    <w:name w:val="WW8Num27z0"/>
    <w:qFormat/>
    <w:rPr>
      <w:rFonts w:ascii="Times New Roman" w:hAnsi="Times New Roman" w:cs="Times New Roman"/>
      <w:b/>
      <w:i w:val="false"/>
      <w:caps/>
      <w:sz w:val="24"/>
    </w:rPr>
  </w:style>
  <w:style w:type="character" w:styleId="WW8Num27z1">
    <w:name w:val="WW8Num27z1"/>
    <w:qFormat/>
    <w:rPr>
      <w:rFonts w:ascii="Times New Roman" w:hAnsi="Times New Roman" w:cs="Times New Roman"/>
      <w:b w:val="false"/>
      <w:i w:val="false"/>
      <w:sz w:val="24"/>
      <w:u w:val="none"/>
    </w:rPr>
  </w:style>
  <w:style w:type="character" w:styleId="WW8Num27z2">
    <w:name w:val="WW8Num27z2"/>
    <w:qFormat/>
    <w:rPr>
      <w:rFonts w:ascii="Times New Roman" w:hAnsi="Times New Roman" w:cs="Times New Roman"/>
      <w:b w:val="false"/>
      <w:i w:val="false"/>
      <w:sz w:val="24"/>
    </w:rPr>
  </w:style>
  <w:style w:type="character" w:styleId="WW8Num27z5">
    <w:name w:val="WW8Num27z5"/>
    <w:qFormat/>
    <w:rPr>
      <w:rFonts w:ascii="Times New Roman" w:hAnsi="Times New Roman" w:cs="Times New Roman"/>
      <w:b/>
      <w:i w:val="false"/>
      <w:sz w:val="24"/>
      <w:u w:val="none"/>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u w:val="single"/>
    </w:rPr>
  </w:style>
  <w:style w:type="character" w:styleId="WW8Num36z0">
    <w:name w:val="WW8Num3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SpecialHead">
    <w:name w:val="Special Head"/>
    <w:qFormat/>
    <w:rPr>
      <w:b/>
    </w:rPr>
  </w:style>
  <w:style w:type="character" w:styleId="Hyperlink">
    <w:name w:val="Hyperlink"/>
    <w:basedOn w:val="DefaultParagraphFont"/>
    <w:rPr>
      <w:color w:val="0000FF"/>
      <w:u w:val="single"/>
    </w:rPr>
  </w:style>
  <w:style w:type="paragraph" w:styleId="Heading">
    <w:name w:val="Heading"/>
    <w:basedOn w:val="Normal"/>
    <w:next w:val="BodyText"/>
    <w:qFormat/>
    <w:pPr>
      <w:spacing w:lineRule="atLeast" w:line="240"/>
      <w:jc w:val="center"/>
    </w:pPr>
    <w:rPr>
      <w:b/>
      <w:sz w:val="24"/>
      <w:lang w:val="en-US"/>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spacing w:lineRule="auto" w:line="480"/>
    </w:pPr>
    <w:rPr>
      <w:sz w:val="24"/>
      <w:lang w:val="en-U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spacing w:lineRule="atLeast" w:line="480"/>
      <w:ind w:firstLine="720" w:start="0" w:end="0"/>
    </w:pPr>
    <w:rPr>
      <w:sz w:val="24"/>
      <w:lang w:val="en-US"/>
    </w:rPr>
  </w:style>
  <w:style w:type="paragraph" w:styleId="BodyTextIndent2">
    <w:name w:val="Body Text Indent 2"/>
    <w:basedOn w:val="Normal"/>
    <w:qFormat/>
    <w:pPr>
      <w:tabs>
        <w:tab w:val="clear" w:pos="720"/>
        <w:tab w:val="left" w:pos="0" w:leader="none"/>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 w:val="left" w:pos="28800" w:leader="none"/>
      </w:tabs>
      <w:spacing w:lineRule="atLeast" w:line="480"/>
      <w:ind w:hanging="720" w:start="2160" w:end="0"/>
    </w:pPr>
    <w:rPr>
      <w:sz w:val="24"/>
      <w:lang w:val="en-US"/>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0" w:leader="none"/>
        <w:tab w:val="left" w:pos="189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 w:val="left" w:pos="28800" w:leader="none"/>
      </w:tabs>
      <w:spacing w:lineRule="auto" w:line="480"/>
      <w:jc w:val="both"/>
    </w:pPr>
    <w:rPr>
      <w:sz w:val="24"/>
      <w:lang w:val="en-US"/>
    </w:rPr>
  </w:style>
  <w:style w:type="paragraph" w:styleId="CommentText">
    <w:name w:val="Comment Text"/>
    <w:basedOn w:val="Normal"/>
    <w:qFormat/>
    <w:pPr>
      <w:widowControl w:val="false"/>
    </w:pPr>
    <w:rPr>
      <w:lang w:val="en-US"/>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216" w:leader="dot"/>
      </w:tabs>
      <w:spacing w:before="120" w:after="120"/>
    </w:pPr>
    <w:rPr>
      <w:b/>
      <w:caps/>
    </w:rPr>
  </w:style>
  <w:style w:type="paragraph" w:styleId="TOC2">
    <w:name w:val="toc 2"/>
    <w:basedOn w:val="Normal"/>
    <w:next w:val="Normal"/>
    <w:pPr>
      <w:tabs>
        <w:tab w:val="clear" w:pos="720"/>
        <w:tab w:val="right" w:pos="9216" w:leader="dot"/>
      </w:tabs>
      <w:ind w:hanging="0" w:start="200" w:end="0"/>
    </w:pPr>
    <w:rPr>
      <w:smallCaps/>
    </w:rPr>
  </w:style>
  <w:style w:type="paragraph" w:styleId="TOC3">
    <w:name w:val="toc 3"/>
    <w:basedOn w:val="Normal"/>
    <w:next w:val="Normal"/>
    <w:pPr>
      <w:tabs>
        <w:tab w:val="clear" w:pos="720"/>
        <w:tab w:val="right" w:pos="9216" w:leader="dot"/>
      </w:tabs>
      <w:ind w:hanging="0" w:start="400" w:end="0"/>
    </w:pPr>
    <w:rPr>
      <w:i/>
    </w:rPr>
  </w:style>
  <w:style w:type="paragraph" w:styleId="TOC4">
    <w:name w:val="toc 4"/>
    <w:basedOn w:val="Normal"/>
    <w:next w:val="Normal"/>
    <w:pPr>
      <w:tabs>
        <w:tab w:val="clear" w:pos="720"/>
        <w:tab w:val="right" w:pos="9216" w:leader="dot"/>
      </w:tabs>
      <w:ind w:hanging="0" w:start="600" w:end="0"/>
    </w:pPr>
    <w:rPr>
      <w:sz w:val="18"/>
    </w:rPr>
  </w:style>
  <w:style w:type="paragraph" w:styleId="TOC5">
    <w:name w:val="toc 5"/>
    <w:basedOn w:val="Normal"/>
    <w:next w:val="Normal"/>
    <w:pPr>
      <w:tabs>
        <w:tab w:val="clear" w:pos="720"/>
        <w:tab w:val="right" w:pos="9216" w:leader="dot"/>
      </w:tabs>
      <w:ind w:hanging="0" w:start="800" w:end="0"/>
    </w:pPr>
    <w:rPr>
      <w:sz w:val="18"/>
    </w:rPr>
  </w:style>
  <w:style w:type="paragraph" w:styleId="TOC6">
    <w:name w:val="toc 6"/>
    <w:basedOn w:val="Normal"/>
    <w:next w:val="Normal"/>
    <w:pPr>
      <w:tabs>
        <w:tab w:val="clear" w:pos="720"/>
        <w:tab w:val="right" w:pos="9216" w:leader="dot"/>
      </w:tabs>
      <w:ind w:hanging="0" w:start="1000" w:end="0"/>
    </w:pPr>
    <w:rPr>
      <w:sz w:val="18"/>
    </w:rPr>
  </w:style>
  <w:style w:type="paragraph" w:styleId="TOC7">
    <w:name w:val="toc 7"/>
    <w:basedOn w:val="Normal"/>
    <w:next w:val="Normal"/>
    <w:pPr>
      <w:tabs>
        <w:tab w:val="clear" w:pos="720"/>
        <w:tab w:val="right" w:pos="9216" w:leader="dot"/>
      </w:tabs>
      <w:ind w:hanging="0" w:start="1200" w:end="0"/>
    </w:pPr>
    <w:rPr>
      <w:sz w:val="18"/>
    </w:rPr>
  </w:style>
  <w:style w:type="paragraph" w:styleId="TOC8">
    <w:name w:val="toc 8"/>
    <w:basedOn w:val="Normal"/>
    <w:next w:val="Normal"/>
    <w:pPr>
      <w:tabs>
        <w:tab w:val="clear" w:pos="720"/>
        <w:tab w:val="right" w:pos="9216" w:leader="dot"/>
      </w:tabs>
      <w:ind w:hanging="0" w:start="1400" w:end="0"/>
    </w:pPr>
    <w:rPr>
      <w:sz w:val="18"/>
    </w:rPr>
  </w:style>
  <w:style w:type="paragraph" w:styleId="TOC9">
    <w:name w:val="toc 9"/>
    <w:basedOn w:val="Normal"/>
    <w:next w:val="Normal"/>
    <w:pPr>
      <w:tabs>
        <w:tab w:val="clear" w:pos="720"/>
        <w:tab w:val="right" w:pos="9216" w:leader="dot"/>
      </w:tabs>
      <w:ind w:hanging="0" w:start="1600" w:end="0"/>
    </w:pPr>
    <w:rPr>
      <w:sz w:val="18"/>
    </w:rPr>
  </w:style>
  <w:style w:type="paragraph" w:styleId="WW-BodyText21">
    <w:name w:val="WW-Body Text 21"/>
    <w:basedOn w:val="Normal"/>
    <w:qFormat/>
    <w:pPr>
      <w:ind w:hanging="2160" w:start="2160" w:end="0"/>
    </w:pPr>
    <w:rPr>
      <w:sz w:val="24"/>
    </w:rPr>
  </w:style>
  <w:style w:type="paragraph" w:styleId="BodyText3">
    <w:name w:val="Body Text 3"/>
    <w:basedOn w:val="Normal"/>
    <w:qFormat/>
    <w:pPr>
      <w:jc w:val="both"/>
    </w:pPr>
    <w:rPr/>
  </w:style>
  <w:style w:type="paragraph" w:styleId="WW-BodyText22">
    <w:name w:val="WW-Body Text 22"/>
    <w:basedOn w:val="Normal"/>
    <w:qFormat/>
    <w:pPr>
      <w:ind w:firstLine="720" w:start="0" w:end="0"/>
      <w:jc w:val="both"/>
    </w:pPr>
    <w:rPr>
      <w:i/>
      <w:sz w:val="24"/>
    </w:rPr>
  </w:style>
  <w:style w:type="paragraph" w:styleId="WW-BodyText23">
    <w:name w:val="WW-Body Text 23"/>
    <w:basedOn w:val="Normal"/>
    <w:qFormat/>
    <w:pPr>
      <w:ind w:firstLine="720" w:start="0" w:end="0"/>
      <w:jc w:val="both"/>
    </w:pPr>
    <w:rPr>
      <w:sz w:val="24"/>
    </w:rPr>
  </w:style>
  <w:style w:type="paragraph" w:styleId="WW-BodyText24">
    <w:name w:val="WW-Body Text 24"/>
    <w:basedOn w:val="Normal"/>
    <w:qFormat/>
    <w:pPr>
      <w:ind w:firstLine="720" w:start="0" w:end="0"/>
      <w:jc w:val="both"/>
    </w:pPr>
    <w:rPr>
      <w:sz w:val="24"/>
    </w:rPr>
  </w:style>
  <w:style w:type="paragraph" w:styleId="Article1aL1">
    <w:name w:val="Article1a_L1"/>
    <w:basedOn w:val="Normal"/>
    <w:next w:val="Article1aL2"/>
    <w:qFormat/>
    <w:pPr>
      <w:keepNext w:val="true"/>
      <w:keepLines/>
      <w:numPr>
        <w:ilvl w:val="0"/>
        <w:numId w:val="6"/>
      </w:numPr>
      <w:suppressAutoHyphens w:val="true"/>
      <w:spacing w:before="0" w:after="240"/>
      <w:jc w:val="center"/>
      <w:outlineLvl w:val="0"/>
    </w:pPr>
    <w:rPr>
      <w:sz w:val="24"/>
      <w:lang w:val="en-US"/>
    </w:rPr>
  </w:style>
  <w:style w:type="paragraph" w:styleId="Article1aL2">
    <w:name w:val="Article1a_L2"/>
    <w:basedOn w:val="Article1aL1"/>
    <w:next w:val="BodyText"/>
    <w:qFormat/>
    <w:pPr>
      <w:keepNext w:val="false"/>
      <w:keepLines w:val="false"/>
      <w:numPr>
        <w:ilvl w:val="0"/>
        <w:numId w:val="6"/>
      </w:numPr>
      <w:jc w:val="start"/>
      <w:outlineLvl w:val="1"/>
    </w:pPr>
    <w:rPr/>
  </w:style>
  <w:style w:type="paragraph" w:styleId="Article1aL3">
    <w:name w:val="Article1a_L3"/>
    <w:basedOn w:val="Article1aL2"/>
    <w:next w:val="BodyText"/>
    <w:qFormat/>
    <w:pPr>
      <w:numPr>
        <w:ilvl w:val="0"/>
        <w:numId w:val="6"/>
      </w:numPr>
      <w:ind w:hanging="0" w:start="0" w:end="720"/>
      <w:outlineLvl w:val="2"/>
    </w:pPr>
    <w:rPr/>
  </w:style>
  <w:style w:type="paragraph" w:styleId="Article1aL4">
    <w:name w:val="Article1a_L4"/>
    <w:basedOn w:val="Article1aL3"/>
    <w:next w:val="BodyText"/>
    <w:qFormat/>
    <w:pPr>
      <w:numPr>
        <w:ilvl w:val="0"/>
        <w:numId w:val="6"/>
      </w:numPr>
      <w:outlineLvl w:val="3"/>
    </w:pPr>
    <w:rPr/>
  </w:style>
  <w:style w:type="paragraph" w:styleId="Article1aL5">
    <w:name w:val="Article1a_L5"/>
    <w:basedOn w:val="Article1aL4"/>
    <w:next w:val="BodyText"/>
    <w:qFormat/>
    <w:pPr>
      <w:numPr>
        <w:ilvl w:val="0"/>
        <w:numId w:val="6"/>
      </w:numPr>
      <w:outlineLvl w:val="4"/>
    </w:pPr>
    <w:rPr/>
  </w:style>
  <w:style w:type="paragraph" w:styleId="Article1aL6">
    <w:name w:val="Article1a_L6"/>
    <w:basedOn w:val="Article1aL5"/>
    <w:next w:val="BodyText"/>
    <w:qFormat/>
    <w:pPr>
      <w:numPr>
        <w:ilvl w:val="0"/>
        <w:numId w:val="6"/>
      </w:numPr>
      <w:outlineLvl w:val="5"/>
    </w:pPr>
    <w:rPr/>
  </w:style>
  <w:style w:type="paragraph" w:styleId="Article1aL7">
    <w:name w:val="Article1a_L7"/>
    <w:basedOn w:val="Article1aL6"/>
    <w:next w:val="BodyText"/>
    <w:qFormat/>
    <w:pPr>
      <w:numPr>
        <w:ilvl w:val="0"/>
        <w:numId w:val="6"/>
      </w:numPr>
      <w:outlineLvl w:val="6"/>
    </w:pPr>
    <w:rPr/>
  </w:style>
  <w:style w:type="paragraph" w:styleId="Article1aL8">
    <w:name w:val="Article1a_L8"/>
    <w:basedOn w:val="Article1aL7"/>
    <w:next w:val="BodyText"/>
    <w:qFormat/>
    <w:pPr>
      <w:numPr>
        <w:ilvl w:val="0"/>
        <w:numId w:val="6"/>
      </w:numPr>
      <w:outlineLvl w:val="7"/>
    </w:pPr>
    <w:rPr/>
  </w:style>
  <w:style w:type="paragraph" w:styleId="Article1aL9">
    <w:name w:val="Article1a_L9"/>
    <w:basedOn w:val="Article1aL8"/>
    <w:next w:val="BodyText"/>
    <w:qFormat/>
    <w:pPr>
      <w:numPr>
        <w:ilvl w:val="0"/>
        <w:numId w:val="6"/>
      </w:numPr>
      <w:outlineLvl w:val="8"/>
    </w:pPr>
    <w:rPr/>
  </w:style>
  <w:style w:type="paragraph" w:styleId="Indent">
    <w:name w:val="Indent"/>
    <w:basedOn w:val="List"/>
    <w:qFormat/>
    <w:pPr>
      <w:spacing w:before="0" w:after="240"/>
      <w:ind w:hanging="2160" w:start="2160" w:end="0"/>
      <w:jc w:val="both"/>
    </w:pPr>
    <w:rPr>
      <w:sz w:val="24"/>
      <w:lang w:val="en-US"/>
    </w:rPr>
  </w:style>
  <w:style w:type="paragraph" w:styleId="BodyTextFirstIndent">
    <w:name w:val="Body Text First Indent"/>
    <w:basedOn w:val="Normal"/>
    <w:qFormat/>
    <w:pPr>
      <w:spacing w:before="0" w:after="240"/>
      <w:ind w:firstLine="720" w:start="0" w:end="0"/>
      <w:jc w:val="both"/>
    </w:pPr>
    <w:rPr>
      <w:sz w:val="24"/>
      <w:lang w:val="en-US"/>
    </w:rPr>
  </w:style>
  <w:style w:type="paragraph" w:styleId="blockwline">
    <w:name w:val="blockwline"/>
    <w:basedOn w:val="Normal"/>
    <w:qFormat/>
    <w:pPr>
      <w:tabs>
        <w:tab w:val="clear" w:pos="720"/>
        <w:tab w:val="right" w:pos="9360" w:leader="none"/>
      </w:tabs>
      <w:spacing w:before="0" w:after="120"/>
    </w:pPr>
    <w:rPr>
      <w:sz w:val="24"/>
      <w:lang w:val="en-US"/>
    </w:rPr>
  </w:style>
  <w:style w:type="paragraph" w:styleId="blockindentwline">
    <w:name w:val="blockindentwline"/>
    <w:basedOn w:val="Normal"/>
    <w:qFormat/>
    <w:pPr>
      <w:tabs>
        <w:tab w:val="clear" w:pos="720"/>
        <w:tab w:val="right" w:pos="9360" w:leader="none"/>
      </w:tabs>
      <w:spacing w:before="0" w:after="120"/>
      <w:ind w:hanging="0" w:start="720" w:end="0"/>
    </w:pPr>
    <w:rPr>
      <w:sz w:val="24"/>
      <w:lang w:val="en-US"/>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lang w:val="en-US"/>
    </w:rPr>
  </w:style>
  <w:style w:type="paragraph" w:styleId="Justified">
    <w:name w:val="Justified"/>
    <w:basedOn w:val="Normal"/>
    <w:next w:val="Heading2"/>
    <w:qFormat/>
    <w:pPr>
      <w:spacing w:before="0" w:after="120"/>
    </w:pPr>
    <w:rPr>
      <w:sz w:val="24"/>
      <w:szCs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2000-10-24T20:17:00Z</dcterms:created>
  <dc:creator>Wagstaff Law Firm</dc:creator>
  <dc:description/>
  <dc:language>en-CA</dc:language>
  <cp:lastModifiedBy>dportz</cp:lastModifiedBy>
  <cp:lastPrinted>2000-10-24T16:47:00Z</cp:lastPrinted>
  <dcterms:modified xsi:type="dcterms:W3CDTF">2000-10-24T20:17:00Z</dcterms:modified>
  <cp:revision>2</cp:revision>
  <dc:subject/>
  <dc:title>"CPT" shall have the meaning as set forth in Section 4(a)</dc:title>
</cp:coreProperties>
</file>