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18" w:type="dxa"/>
        <w:tblLayout w:type="fixed"/>
        <w:tblCellMar>
          <w:top w:w="0" w:type="dxa"/>
          <w:start w:w="108" w:type="dxa"/>
          <w:bottom w:w="0" w:type="dxa"/>
          <w:end w:w="108" w:type="dxa"/>
        </w:tblCellMar>
      </w:tblPr>
      <w:tblGrid>
        <w:gridCol w:w="1890"/>
        <w:gridCol w:w="7650"/>
      </w:tblGrid>
      <w:tr>
        <w:trPr/>
        <w:tc>
          <w:tcPr>
            <w:tcW w:w="1890" w:type="dxa"/>
            <w:tcBorders/>
          </w:tcPr>
          <w:p>
            <w:pPr>
              <w:pStyle w:val="FootnoteText"/>
              <w:spacing w:before="20" w:after="0"/>
              <w:rPr/>
            </w:pPr>
            <w:r>
              <w:rPr/>
              <w:drawing>
                <wp:inline distT="0" distB="0" distL="0" distR="0">
                  <wp:extent cx="837565" cy="831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37565" cy="831850"/>
                          </a:xfrm>
                          <a:prstGeom prst="rect">
                            <a:avLst/>
                          </a:prstGeom>
                          <a:noFill/>
                        </pic:spPr>
                      </pic:pic>
                    </a:graphicData>
                  </a:graphic>
                </wp:inline>
              </w:drawing>
            </w:r>
          </w:p>
        </w:tc>
        <w:tc>
          <w:tcPr>
            <w:tcW w:w="7650" w:type="dxa"/>
            <w:tcBorders/>
          </w:tcPr>
          <w:p>
            <w:pPr>
              <w:pStyle w:val="Normal"/>
              <w:snapToGrid w:val="false"/>
              <w:rPr>
                <w:b/>
                <w:sz w:val="28"/>
              </w:rPr>
            </w:pPr>
            <w:r>
              <w:rPr>
                <w:b/>
                <w:sz w:val="28"/>
              </w:rPr>
            </w:r>
          </w:p>
          <w:p>
            <w:pPr>
              <w:pStyle w:val="Normal"/>
              <w:rPr>
                <w:b/>
                <w:sz w:val="28"/>
              </w:rPr>
            </w:pPr>
            <w:r>
              <w:rPr>
                <w:b/>
                <w:sz w:val="28"/>
              </w:rPr>
              <w:t xml:space="preserve">        </w:t>
            </w:r>
            <w:r>
              <w:rPr>
                <w:b/>
                <w:sz w:val="28"/>
              </w:rPr>
              <w:t>INTEROFFICE MEMORANDUM</w:t>
            </w:r>
          </w:p>
          <w:p>
            <w:pPr>
              <w:pStyle w:val="Normal"/>
              <w:rPr>
                <w:b/>
                <w:sz w:val="36"/>
              </w:rPr>
            </w:pPr>
            <w:r>
              <w:rPr>
                <w:b/>
                <w:sz w:val="36"/>
              </w:rPr>
            </w:r>
          </w:p>
          <w:p>
            <w:pPr>
              <w:pStyle w:val="Normal"/>
              <w:rPr>
                <w:b/>
                <w:sz w:val="36"/>
              </w:rPr>
            </w:pPr>
            <w:r>
              <w:rPr>
                <w:b/>
                <w:sz w:val="36"/>
              </w:rPr>
            </w:r>
          </w:p>
        </w:tc>
      </w:tr>
    </w:tbl>
    <w:p>
      <w:pPr>
        <w:pStyle w:val="Normal"/>
        <w:pBdr>
          <w:top w:val="double" w:sz="12" w:space="1" w:color="000000"/>
        </w:pBdr>
        <w:spacing w:before="120" w:after="0"/>
        <w:jc w:val="center"/>
        <w:rPr>
          <w:b/>
          <w:sz w:val="28"/>
        </w:rPr>
      </w:pPr>
      <w:r>
        <w:rPr>
          <w:b/>
          <w:sz w:val="28"/>
        </w:rPr>
        <w:t>PRIVILEGED AND CONFIDENTIAL</w:t>
      </w:r>
    </w:p>
    <w:p>
      <w:pPr>
        <w:pStyle w:val="Normal"/>
        <w:pBdr>
          <w:top w:val="double" w:sz="12" w:space="1" w:color="000000"/>
        </w:pBdr>
        <w:jc w:val="center"/>
        <w:rPr>
          <w:b/>
          <w:sz w:val="28"/>
        </w:rPr>
      </w:pPr>
      <w:r>
        <w:rPr>
          <w:b/>
          <w:sz w:val="28"/>
        </w:rPr>
      </w:r>
    </w:p>
    <w:tbl>
      <w:tblPr>
        <w:tblW w:w="9738" w:type="dxa"/>
        <w:jc w:val="start"/>
        <w:tblInd w:w="0" w:type="dxa"/>
        <w:tblLayout w:type="fixed"/>
        <w:tblCellMar>
          <w:top w:w="0" w:type="dxa"/>
          <w:start w:w="108" w:type="dxa"/>
          <w:bottom w:w="0" w:type="dxa"/>
          <w:end w:w="108" w:type="dxa"/>
        </w:tblCellMar>
      </w:tblPr>
      <w:tblGrid>
        <w:gridCol w:w="1728"/>
        <w:gridCol w:w="4770"/>
        <w:gridCol w:w="1440"/>
        <w:gridCol w:w="1800"/>
      </w:tblGrid>
      <w:tr>
        <w:trPr/>
        <w:tc>
          <w:tcPr>
            <w:tcW w:w="1728" w:type="dxa"/>
            <w:tcBorders/>
          </w:tcPr>
          <w:p>
            <w:pPr>
              <w:pStyle w:val="Normal"/>
              <w:spacing w:before="0" w:after="120"/>
              <w:jc w:val="both"/>
              <w:rPr>
                <w:b/>
              </w:rPr>
            </w:pPr>
            <w:r>
              <w:rPr>
                <w:b/>
              </w:rPr>
              <w:t>TO:</w:t>
            </w:r>
          </w:p>
        </w:tc>
        <w:tc>
          <w:tcPr>
            <w:tcW w:w="4770" w:type="dxa"/>
            <w:tcBorders/>
          </w:tcPr>
          <w:p>
            <w:pPr>
              <w:pStyle w:val="Normal"/>
              <w:jc w:val="both"/>
              <w:rPr/>
            </w:pPr>
            <w:r>
              <w:rPr/>
              <w:t>Mark Haedicke</w:t>
            </w:r>
          </w:p>
        </w:tc>
        <w:tc>
          <w:tcPr>
            <w:tcW w:w="1440" w:type="dxa"/>
            <w:tcBorders/>
          </w:tcPr>
          <w:p>
            <w:pPr>
              <w:pStyle w:val="Normal"/>
              <w:spacing w:before="0" w:after="120"/>
              <w:jc w:val="both"/>
              <w:rPr>
                <w:b/>
              </w:rPr>
            </w:pPr>
            <w:r>
              <w:rPr>
                <w:b/>
              </w:rPr>
              <w:t>DATE:</w:t>
            </w:r>
          </w:p>
        </w:tc>
        <w:tc>
          <w:tcPr>
            <w:tcW w:w="1800" w:type="dxa"/>
            <w:tcBorders/>
          </w:tcPr>
          <w:p>
            <w:pPr>
              <w:pStyle w:val="Normal"/>
              <w:spacing w:before="0" w:after="120"/>
              <w:jc w:val="both"/>
              <w:rPr/>
            </w:pPr>
            <w:r>
              <w:rPr/>
              <w:t>March 26, 2001</w:t>
            </w:r>
          </w:p>
        </w:tc>
      </w:tr>
      <w:tr>
        <w:trPr/>
        <w:tc>
          <w:tcPr>
            <w:tcW w:w="1728" w:type="dxa"/>
            <w:tcBorders/>
          </w:tcPr>
          <w:p>
            <w:pPr>
              <w:pStyle w:val="Normal"/>
              <w:spacing w:before="120" w:after="240"/>
              <w:jc w:val="both"/>
              <w:rPr>
                <w:b/>
              </w:rPr>
            </w:pPr>
            <w:r>
              <w:rPr>
                <w:b/>
              </w:rPr>
              <w:t>FROM:</w:t>
            </w:r>
          </w:p>
        </w:tc>
        <w:tc>
          <w:tcPr>
            <w:tcW w:w="4770" w:type="dxa"/>
            <w:tcBorders/>
          </w:tcPr>
          <w:p>
            <w:pPr>
              <w:pStyle w:val="Normal"/>
              <w:spacing w:before="120" w:after="0"/>
              <w:jc w:val="both"/>
              <w:rPr/>
            </w:pPr>
            <w:r>
              <w:rPr/>
              <w:t>Stuart R. Zisman</w:t>
            </w:r>
          </w:p>
          <w:p>
            <w:pPr>
              <w:pStyle w:val="Normal"/>
              <w:spacing w:before="0" w:after="120"/>
              <w:jc w:val="both"/>
              <w:rPr/>
            </w:pPr>
            <w:r>
              <w:rPr/>
              <w:t>Elizabeth Sager</w:t>
            </w:r>
          </w:p>
        </w:tc>
        <w:tc>
          <w:tcPr>
            <w:tcW w:w="1440" w:type="dxa"/>
            <w:tcBorders/>
          </w:tcPr>
          <w:p>
            <w:pPr>
              <w:pStyle w:val="Normal"/>
              <w:spacing w:before="120" w:after="240"/>
              <w:jc w:val="both"/>
              <w:rPr>
                <w:b/>
              </w:rPr>
            </w:pPr>
            <w:r>
              <w:rPr>
                <w:b/>
              </w:rPr>
              <w:t>DEPT:</w:t>
            </w:r>
          </w:p>
        </w:tc>
        <w:tc>
          <w:tcPr>
            <w:tcW w:w="1800" w:type="dxa"/>
            <w:tcBorders/>
          </w:tcPr>
          <w:p>
            <w:pPr>
              <w:pStyle w:val="Normal"/>
              <w:spacing w:before="120" w:after="240"/>
              <w:jc w:val="both"/>
              <w:rPr/>
            </w:pPr>
            <w:r>
              <w:rPr/>
              <w:t>ENA – Legal</w:t>
            </w:r>
          </w:p>
        </w:tc>
      </w:tr>
      <w:tr>
        <w:trPr/>
        <w:tc>
          <w:tcPr>
            <w:tcW w:w="1728" w:type="dxa"/>
            <w:tcBorders/>
          </w:tcPr>
          <w:p>
            <w:pPr>
              <w:pStyle w:val="Normal"/>
              <w:spacing w:before="0" w:after="120"/>
              <w:jc w:val="both"/>
              <w:rPr>
                <w:b/>
              </w:rPr>
            </w:pPr>
            <w:r>
              <w:rPr>
                <w:b/>
              </w:rPr>
              <w:t>SUBJECT:</w:t>
            </w:r>
          </w:p>
        </w:tc>
        <w:tc>
          <w:tcPr>
            <w:tcW w:w="8010" w:type="dxa"/>
            <w:gridSpan w:val="3"/>
            <w:tcBorders/>
          </w:tcPr>
          <w:p>
            <w:pPr>
              <w:pStyle w:val="Normal"/>
              <w:jc w:val="both"/>
              <w:rPr/>
            </w:pPr>
            <w:r>
              <w:rPr/>
              <w:t>Proposed Energy Management Relationship between Frontera Generation Limited Partnership (“Frontera”) and Enron Power Marketing, Inc. (“EPMI”)</w:t>
            </w:r>
          </w:p>
        </w:tc>
      </w:tr>
    </w:tbl>
    <w:p>
      <w:pPr>
        <w:pStyle w:val="Normal"/>
        <w:pBdr>
          <w:bottom w:val="double" w:sz="12" w:space="0" w:color="000000"/>
        </w:pBdr>
        <w:rPr>
          <w:sz w:val="12"/>
        </w:rPr>
      </w:pPr>
      <w:r>
        <w:rPr>
          <w:sz w:val="12"/>
        </w:rPr>
      </w:r>
    </w:p>
    <w:p>
      <w:pPr>
        <w:pStyle w:val="Normal"/>
        <w:rPr>
          <w:sz w:val="12"/>
        </w:rPr>
      </w:pPr>
      <w:r>
        <w:rPr>
          <w:sz w:val="12"/>
        </w:rPr>
      </w:r>
    </w:p>
    <w:p>
      <w:pPr>
        <w:pStyle w:val="Heading1"/>
        <w:ind w:hanging="0" w:start="0"/>
        <w:rPr>
          <w:u w:val="none"/>
        </w:rPr>
      </w:pPr>
      <w:r>
        <w:rPr>
          <w:u w:val="none"/>
        </w:rPr>
        <w:t>ATTORNEY-CLIENT PRIVILEGE – DO NOT PRODUCE</w:t>
      </w:r>
    </w:p>
    <w:p>
      <w:pPr>
        <w:pStyle w:val="Normal"/>
        <w:jc w:val="both"/>
        <w:rPr>
          <w:u w:val="single"/>
        </w:rPr>
      </w:pPr>
      <w:r>
        <w:rPr>
          <w:u w:val="single"/>
        </w:rPr>
        <w:tab/>
        <w:tab/>
        <w:tab/>
        <w:tab/>
        <w:tab/>
        <w:tab/>
        <w:tab/>
        <w:tab/>
        <w:tab/>
        <w:tab/>
        <w:tab/>
        <w:tab/>
        <w:tab/>
      </w:r>
    </w:p>
    <w:p>
      <w:pPr>
        <w:pStyle w:val="Normal"/>
        <w:jc w:val="both"/>
        <w:rPr>
          <w:u w:val="single"/>
        </w:rPr>
      </w:pPr>
      <w:r>
        <w:rPr>
          <w:u w:val="single"/>
        </w:rPr>
      </w:r>
    </w:p>
    <w:p>
      <w:pPr>
        <w:pStyle w:val="Normal"/>
        <w:rPr/>
      </w:pPr>
      <w:r>
        <w:rPr/>
        <w:t>I.</w:t>
        <w:tab/>
      </w:r>
      <w:r>
        <w:rPr>
          <w:i/>
        </w:rPr>
        <w:t>Transaction Overview</w:t>
      </w:r>
    </w:p>
    <w:p>
      <w:pPr>
        <w:pStyle w:val="Normal"/>
        <w:rPr>
          <w:i/>
          <w:i/>
        </w:rPr>
      </w:pPr>
      <w:r>
        <w:rPr>
          <w:i/>
        </w:rPr>
      </w:r>
    </w:p>
    <w:p>
      <w:pPr>
        <w:pStyle w:val="Normal"/>
        <w:rPr/>
      </w:pPr>
      <w:r>
        <w:rPr/>
        <w:tab/>
        <w:t>EPMI intends to sign an Energy Management Services Agreement (“EMSA”) with Frontera pursuant to which EPMI will agree to market the available energy, capacity and ancillary services (“Available Capacity”) from Frontera’s 480 MW natural gas fired generation facility located in Hidalgo County, Texas (“Facility”).  In addition, EPMI will be obligated to: (i) procure fuel as Frontera’s agent; (ii) provide scheduling services in connection with all fuel procurement and energy sales, (iii) provide certain other back office support including the payment (on behalf of Frontera) of many of the costs associated with delivery of power and (iv) procure the transmission needed in order to make sales of Available Capacity.  In performing these services, EPMI is expected to use “Prudent Marketing Practices” and the same skill, expertise and judgment that EPMI employs on its own behalf.</w:t>
      </w:r>
    </w:p>
    <w:p>
      <w:pPr>
        <w:pStyle w:val="Normal"/>
        <w:rPr/>
      </w:pPr>
      <w:r>
        <w:rPr/>
      </w:r>
    </w:p>
    <w:p>
      <w:pPr>
        <w:pStyle w:val="Normal"/>
        <w:ind w:firstLine="720" w:end="0"/>
        <w:rPr/>
      </w:pPr>
      <w:r>
        <w:rPr/>
        <w:t>In consideration for the foregoing services, EPMI will be paid $50,000.00 per year plus an incentive fee equal to the sum of (i) five percent (5%) of “net profits” from sales of Available Capacity to the extent that they exceed $30,000,000.00 and are less than $40,000,000.00 and (ii) ten percent (10%) of “net profits” from sales of Available Capacity to the extent that they exceed $40,000,000.00.</w:t>
      </w:r>
      <w:r>
        <w:br w:type="page"/>
      </w:r>
    </w:p>
    <w:p>
      <w:pPr>
        <w:pStyle w:val="Normal"/>
        <w:numPr>
          <w:ilvl w:val="0"/>
          <w:numId w:val="2"/>
        </w:numPr>
        <w:rPr>
          <w:i/>
          <w:i/>
        </w:rPr>
      </w:pPr>
      <w:r>
        <w:rPr>
          <w:i/>
        </w:rPr>
        <w:t>Significant Legal Risks/Considerations</w:t>
      </w:r>
    </w:p>
    <w:p>
      <w:pPr>
        <w:pStyle w:val="Normal"/>
        <w:rPr>
          <w:i/>
          <w:i/>
        </w:rPr>
      </w:pPr>
      <w:r>
        <w:rPr>
          <w:i/>
        </w:rPr>
      </w:r>
    </w:p>
    <w:p>
      <w:pPr>
        <w:pStyle w:val="Normal"/>
        <w:ind w:firstLine="720" w:end="0"/>
        <w:rPr/>
      </w:pPr>
      <w:r>
        <w:rPr/>
        <w:t>A.</w:t>
        <w:tab/>
      </w:r>
      <w:r>
        <w:rPr>
          <w:bCs/>
          <w:i/>
          <w:iCs/>
        </w:rPr>
        <w:t>Breach of Fiduciary Duty/Self Dealing/Corporate Opportunities</w:t>
      </w:r>
      <w:r>
        <w:rPr>
          <w:i/>
        </w:rPr>
        <w:t xml:space="preserve"> – </w:t>
      </w:r>
      <w:r>
        <w:rPr>
          <w:b/>
          <w:u w:val="single"/>
        </w:rPr>
        <w:t>Legal Risk Rating = 4</w:t>
      </w:r>
    </w:p>
    <w:p>
      <w:pPr>
        <w:pStyle w:val="Header"/>
        <w:tabs>
          <w:tab w:val="clear" w:pos="4320"/>
          <w:tab w:val="clear" w:pos="8640"/>
        </w:tabs>
        <w:rPr/>
      </w:pPr>
      <w:r>
        <w:rPr/>
      </w:r>
    </w:p>
    <w:p>
      <w:pPr>
        <w:pStyle w:val="Header"/>
        <w:tabs>
          <w:tab w:val="clear" w:pos="4320"/>
          <w:tab w:val="clear" w:pos="8640"/>
        </w:tabs>
        <w:ind w:firstLine="720" w:end="0"/>
        <w:rPr/>
      </w:pPr>
      <w:r>
        <w:rPr/>
        <w:t>Because Frontera is looking to EPMI to provide its “market expertise” in selling power from, and buying fuel for, the Facility, there is considerable risk that Frontera will, at some point, become disappointed with the profitability of the Facility and question whether EPMI has adequately performed its obligations.  EPMI will always be subject to second-guessing by Frontera and may also be subject to a variety of legal claims (including breach of fiduciary duty, self dealing, failure to provide opportunities) in the event that EPMI acts differently in its trading operations on behalf of Frontera than in its trading operations for its own book.  The EMSA contemplates the unrealistic expectation that EMPI will sell power and buy fuel for a counterparty in the same manner that it does so for its own account.  Absent a compelling commercial justification and specific legal language designed to prevent claims by a counterparty, the risks associated with a transaction of this nature are unlikely to exceed the potential rewards.</w:t>
      </w:r>
    </w:p>
    <w:p>
      <w:pPr>
        <w:pStyle w:val="Header"/>
        <w:tabs>
          <w:tab w:val="clear" w:pos="4320"/>
          <w:tab w:val="clear" w:pos="8640"/>
        </w:tabs>
        <w:ind w:firstLine="720" w:end="0"/>
        <w:rPr/>
      </w:pPr>
      <w:r>
        <w:rPr/>
      </w:r>
    </w:p>
    <w:p>
      <w:pPr>
        <w:pStyle w:val="Header"/>
        <w:tabs>
          <w:tab w:val="clear" w:pos="4320"/>
          <w:tab w:val="clear" w:pos="8640"/>
        </w:tabs>
        <w:ind w:firstLine="720" w:end="0"/>
        <w:rPr/>
      </w:pPr>
      <w:r>
        <w:rPr/>
        <w:t>In connection with the foregoing risks comes the risk that, in connection with any dispute between EPMI and Frontera, EPMI may be required to divulge a great deal of information about its own transactions done in ERCOT.  In any lawsuit, Frontera will likely allege that EPMI: (1) capitalized on all of the best deals for its own account and only provided Frontera with the less lucrative opportunities, (2) failed to provide Frontera with the right to share in all ERCOT transactions, (3) affected the power market in ways that negatively impacted Frontera or the Facility and/or (4) breached its fiduciary duty (or some other implied duty of fair dealing).  The risk of these claims is further exacerbated by the fact that there does not appear to be (in this transaction) a strong economic incentive to perform in the manner desired by our counterparty.</w:t>
      </w:r>
    </w:p>
    <w:p>
      <w:pPr>
        <w:pStyle w:val="Header"/>
        <w:tabs>
          <w:tab w:val="clear" w:pos="4320"/>
          <w:tab w:val="clear" w:pos="8640"/>
        </w:tabs>
        <w:ind w:firstLine="720" w:end="0"/>
        <w:rPr/>
      </w:pPr>
      <w:r>
        <w:rPr/>
      </w:r>
    </w:p>
    <w:p>
      <w:pPr>
        <w:pStyle w:val="Header"/>
        <w:tabs>
          <w:tab w:val="clear" w:pos="4320"/>
          <w:tab w:val="clear" w:pos="8640"/>
        </w:tabs>
        <w:ind w:firstLine="720" w:end="0"/>
        <w:rPr/>
      </w:pPr>
      <w:r>
        <w:rPr/>
        <w:t>From a legal perspective, we have attempted to mitigate the potential risk by inserting various provisions into the EMSA that waive all potential duties or other implied obligations and further limit Frontera’s potential recourse against EPMI.  Frontera has generally been amenable to most of our proposed language in this regard but has rejected certain provisions that expressly reject the notion that Frontera is relying on our judgment to make trading decisions (in fact, they stated, they are relying on EPMI to provide them with market insight and to make the Facility more profitable).  Regardless of what the language ultimately says (no matter how self-serving), there is some question as to its enforceability.  As a general principal, judges and arbitrators are loathe to enforce provisions if they result in a perceived inequity.</w:t>
      </w:r>
      <w:r>
        <w:br w:type="page"/>
      </w:r>
    </w:p>
    <w:p>
      <w:pPr>
        <w:pStyle w:val="Header"/>
        <w:tabs>
          <w:tab w:val="clear" w:pos="4320"/>
          <w:tab w:val="clear" w:pos="8640"/>
        </w:tabs>
        <w:rPr/>
      </w:pPr>
      <w:r>
        <w:rPr/>
      </w:r>
    </w:p>
    <w:p>
      <w:pPr>
        <w:pStyle w:val="Normal"/>
        <w:ind w:hanging="720" w:start="1440" w:end="0"/>
        <w:rPr/>
      </w:pPr>
      <w:r>
        <w:rPr/>
        <w:t>B.</w:t>
        <w:tab/>
      </w:r>
      <w:r>
        <w:rPr>
          <w:i/>
          <w:iCs/>
        </w:rPr>
        <w:t>Lack of Parity on Back to Back Power Contracts</w:t>
      </w:r>
      <w:r>
        <w:rPr>
          <w:i/>
        </w:rPr>
        <w:t xml:space="preserve">  </w:t>
      </w:r>
      <w:r>
        <w:rPr>
          <w:b/>
          <w:u w:val="single"/>
        </w:rPr>
        <w:t xml:space="preserve">Legal Risk Rating = 2.5 </w:t>
      </w:r>
    </w:p>
    <w:p>
      <w:pPr>
        <w:pStyle w:val="Header"/>
        <w:tabs>
          <w:tab w:val="clear" w:pos="4320"/>
          <w:tab w:val="clear" w:pos="8640"/>
        </w:tabs>
        <w:rPr/>
      </w:pPr>
      <w:r>
        <w:rPr/>
      </w:r>
    </w:p>
    <w:p>
      <w:pPr>
        <w:pStyle w:val="Header"/>
        <w:tabs>
          <w:tab w:val="clear" w:pos="4320"/>
          <w:tab w:val="clear" w:pos="8640"/>
        </w:tabs>
        <w:rPr/>
      </w:pPr>
      <w:r>
        <w:rPr/>
        <w:tab/>
        <w:t>As part of EPMI’s obligations under the EMSA, it is envisioned that EPMI will enter into back-to-back power sales transactions in order to sell Available Capacity from the Facility.  This will enable Frontera to access EPMI’s existing relationships with numerous power purchasers (currently Frontera does not have master enabling agreements in place with any potential counterparties).  Under the EMSA, EPMI will assume all credit risk associated with the counterparty to the back-to-back transaction.  In addition to counterparty credit risk, EPMI runs the potential risk that the terms of the transaction entered into between EPMI and its counterparty will differ from the terms contained in the transaction between Frontera and EPMI.  While it is not clear what impact any such disparity might have, it is clear that such a mismatch may result in liability for EPMI.</w:t>
      </w:r>
    </w:p>
    <w:sectPr>
      <w:footerReference w:type="default" r:id="rId3"/>
      <w:footerReference w:type="first" r:id="rId4"/>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/mnt/main-storage/datasets/enron-docs/doc/Frontera_Memo.doc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2"/>
      </w:rPr>
    </w:pPr>
    <w:r>
      <w:rPr>
        <w:sz w:val="12"/>
      </w:rPr>
    </w:r>
  </w:p>
  <w:p>
    <w:pPr>
      <w:pStyle w:val="Footer"/>
      <w:rPr>
        <w:sz w:val="16"/>
      </w:rPr>
    </w:pPr>
    <w:r>
      <w:rPr>
        <w:sz w:val="12"/>
      </w:rPr>
      <w:fldChar w:fldCharType="begin"/>
    </w:r>
    <w:r>
      <w:rPr>
        <w:sz w:val="12"/>
      </w:rPr>
      <w:instrText xml:space="preserve"> FILENAME \p </w:instrText>
    </w:r>
    <w:r>
      <w:rPr>
        <w:sz w:val="12"/>
      </w:rPr>
      <w:fldChar w:fldCharType="separate"/>
    </w:r>
    <w:r>
      <w:rPr>
        <w:sz w:val="12"/>
      </w:rPr>
      <w:t>/mnt/main-storage/datasets/enron-docs/doc/Frontera_Memo.doc</w:t>
    </w:r>
    <w:r>
      <w:rPr>
        <w:sz w:val="12"/>
      </w:rPr>
      <w:fldChar w:fldCharType="end"/>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i w:val="false"/>
      </w:rPr>
    </w:lvl>
  </w:abstractNum>
  <w:num w:numId="1">
    <w:abstractNumId w:val="1"/>
  </w:num>
  <w:num w:numId="2">
    <w:abstractNumId w:val="2"/>
  </w:num>
</w:numbering>
</file>

<file path=word/settings.xml><?xml version="1.0" encoding="utf-8"?>
<w:settings xmlns:w="http://schemas.openxmlformats.org/wordprocessingml/2006/main">
  <w:zoom w:percent="93"/>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u w:val="single"/>
    </w:rPr>
  </w:style>
  <w:style w:type="paragraph" w:styleId="Heading2">
    <w:name w:val="heading 2"/>
    <w:basedOn w:val="Normal"/>
    <w:next w:val="Normal"/>
    <w:qFormat/>
    <w:pPr>
      <w:keepNext w:val="true"/>
      <w:numPr>
        <w:ilvl w:val="1"/>
        <w:numId w:val="1"/>
      </w:numPr>
      <w:jc w:val="both"/>
      <w:outlineLvl w:val="1"/>
    </w:pPr>
    <w:rPr>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i w:val="fals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left" w:pos="720" w:leader="none"/>
      </w:tabs>
      <w:ind w:hanging="1440" w:start="1440" w:end="0"/>
      <w:jc w:val="both"/>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2001-03-12T13:37:00Z</dcterms:created>
  <dc:creator>ECT</dc:creator>
  <dc:description/>
  <dc:language>en-CA</dc:language>
  <cp:lastModifiedBy>szisman</cp:lastModifiedBy>
  <cp:lastPrinted>2001-03-26T10:07:00Z</cp:lastPrinted>
  <dcterms:modified xsi:type="dcterms:W3CDTF">2001-03-26T13:37:00Z</dcterms:modified>
  <cp:revision>11</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