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u w:val="none"/>
        </w:rPr>
      </w:pPr>
      <w:r>
        <w:rPr>
          <w:sz w:val="28"/>
          <w:u w:val="none"/>
        </w:rPr>
        <w:t>---DRAFT---</w:t>
      </w:r>
    </w:p>
    <w:p>
      <w:pPr>
        <w:pStyle w:val="Heading"/>
        <w:rPr>
          <w:sz w:val="28"/>
          <w:u w:val="none"/>
        </w:rPr>
      </w:pPr>
      <w:r>
        <w:rPr>
          <w:sz w:val="28"/>
          <w:u w:val="none"/>
        </w:rPr>
        <w:t>ATTACHMENT 3</w:t>
      </w:r>
    </w:p>
    <w:p>
      <w:pPr>
        <w:pStyle w:val="Heading"/>
        <w:rPr>
          <w:sz w:val="28"/>
          <w:u w:val="none"/>
        </w:rPr>
      </w:pPr>
      <w:r>
        <w:rPr>
          <w:sz w:val="28"/>
          <w:u w:val="none"/>
        </w:rPr>
      </w:r>
    </w:p>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 xml:space="preserve">dated </w:t>
      </w:r>
    </w:p>
    <w:p>
      <w:pPr>
        <w:pStyle w:val="Heading2"/>
        <w:ind w:hanging="0" w:start="0"/>
        <w:rPr>
          <w:b w:val="false"/>
          <w:sz w:val="20"/>
        </w:rPr>
      </w:pPr>
      <w:r>
        <w:rPr>
          <w:b w:val="false"/>
          <w:sz w:val="20"/>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pPr>
      <w:r>
        <w:rPr>
          <w:sz w:val="20"/>
        </w:rPr>
        <w:t>2.</w:t>
        <w:tab/>
      </w:r>
      <w:r>
        <w:rPr>
          <w:sz w:val="20"/>
          <w:u w:val="single"/>
        </w:rPr>
        <w:t>The following provisions shall be added as Section 3.3</w:t>
      </w:r>
      <w:r>
        <w:rPr>
          <w:sz w:val="20"/>
        </w:rPr>
        <w:t>:</w:t>
      </w:r>
    </w:p>
    <w:p>
      <w:pPr>
        <w:pStyle w:val="Normal"/>
        <w:overflowPunct w:val="true"/>
        <w:ind w:end="720"/>
        <w:jc w:val="both"/>
        <w:textAlignment w:val="auto"/>
        <w:rPr>
          <w:sz w:val="20"/>
        </w:rPr>
      </w:pPr>
      <w:r>
        <w:rPr>
          <w:sz w:val="20"/>
        </w:rPr>
      </w:r>
    </w:p>
    <w:p>
      <w:pPr>
        <w:pStyle w:val="Normal"/>
        <w:tabs>
          <w:tab w:val="clear" w:pos="720"/>
          <w:tab w:val="left" w:pos="1440" w:leader="none"/>
        </w:tabs>
        <w:overflowPunct w:val="true"/>
        <w:ind w:hanging="1440" w:start="2160" w:end="720"/>
        <w:jc w:val="both"/>
        <w:textAlignment w:val="auto"/>
        <w:rPr/>
      </w:pPr>
      <w:r>
        <w:rPr>
          <w:sz w:val="20"/>
        </w:rPr>
        <w:t>3.3.</w:t>
        <w:tab/>
        <w:t>(i)</w:t>
        <w:tab/>
      </w:r>
      <w:r>
        <w:rPr>
          <w:color w:val="000000"/>
          <w:sz w:val="20"/>
        </w:rPr>
        <w:t>Notwithstanding anything to the contrary in this Contract (including, without limitation, anything in Section 11 of this Contract), in the event (a) Seller is unable to sell and deliver the Contract Quantity as a result of an event of Force Majeure which affects Seller, and (b) the Contract Price is a fixed price, Seller shall pay Buyer for each MMBtu of gas not delivered as provided in Section 3.2 above.</w:t>
      </w:r>
    </w:p>
    <w:p>
      <w:pPr>
        <w:pStyle w:val="Normal"/>
        <w:overflowPunct w:val="true"/>
        <w:ind w:end="720"/>
        <w:jc w:val="both"/>
        <w:textAlignment w:val="auto"/>
        <w:rPr>
          <w:color w:val="000000"/>
          <w:sz w:val="20"/>
        </w:rPr>
      </w:pPr>
      <w:r>
        <w:rPr>
          <w:color w:val="000000"/>
          <w:sz w:val="20"/>
        </w:rPr>
      </w:r>
    </w:p>
    <w:p>
      <w:pPr>
        <w:pStyle w:val="Normal"/>
        <w:tabs>
          <w:tab w:val="clear" w:pos="720"/>
          <w:tab w:val="left" w:pos="1440" w:leader="none"/>
        </w:tabs>
        <w:overflowPunct w:val="true"/>
        <w:ind w:hanging="1440" w:start="2160" w:end="720"/>
        <w:jc w:val="both"/>
        <w:textAlignment w:val="auto"/>
        <w:rPr/>
      </w:pPr>
      <w:r>
        <w:rPr>
          <w:sz w:val="20"/>
        </w:rPr>
        <w:tab/>
        <w:t>(ii)</w:t>
        <w:tab/>
        <w:t xml:space="preserve">Notwithstanding anything to the contrary in this Contract (including, without limitation, anything in Section 11 of this Contract), in the event (a) Buyer is unable to purchase and receive the Contract Quantity as a result of </w:t>
      </w:r>
      <w:r>
        <w:rPr>
          <w:color w:val="000000"/>
          <w:sz w:val="20"/>
        </w:rPr>
        <w:t>an</w:t>
      </w:r>
      <w:r>
        <w:rPr>
          <w:sz w:val="20"/>
        </w:rPr>
        <w:t xml:space="preserve"> event of Force Majeure which affects Buyer, and (b) the Contract Price is a fixed price, Buyer shall pay Seller for each MMBtu of gas not purchased and received as provided in Section 3.2 above.</w:t>
      </w:r>
    </w:p>
    <w:p>
      <w:pPr>
        <w:pStyle w:val="Normal"/>
        <w:rPr>
          <w:sz w:val="20"/>
        </w:rPr>
      </w:pPr>
      <w:r>
        <w:rPr>
          <w:sz w:val="20"/>
        </w:rPr>
      </w:r>
    </w:p>
    <w:p>
      <w:pPr>
        <w:pStyle w:val="BlockText"/>
        <w:ind w:start="0" w:end="0"/>
        <w:rPr>
          <w:rFonts w:ascii="Times New Roman" w:hAnsi="Times New Roman" w:cs="Times New Roman"/>
          <w:sz w:val="20"/>
        </w:rPr>
      </w:pPr>
      <w:r>
        <w:rPr>
          <w:sz w:val="20"/>
        </w:rPr>
        <w:t>3.</w:t>
        <w:tab/>
      </w:r>
      <w:r>
        <w:rPr>
          <w:rFonts w:cs="Times New Roman" w:ascii="Times New Roman" w:hAnsi="Times New Roman"/>
          <w:sz w:val="20"/>
          <w:u w:val="single"/>
        </w:rPr>
        <w:t>The following text shall replace Section 4.</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spacing w:before="144" w:after="144"/>
        <w:jc w:val="both"/>
        <w:rPr>
          <w:b/>
          <w:spacing w:val="-4"/>
          <w:sz w:val="20"/>
        </w:rPr>
      </w:pPr>
      <w:r>
        <w:rPr>
          <w:b/>
          <w:spacing w:val="-4"/>
          <w:sz w:val="20"/>
        </w:rPr>
        <w:t>SECTION 4 - TRANSPORTATION, NOMINATIONS AND IMBALANCES</w:t>
      </w:r>
    </w:p>
    <w:p>
      <w:pPr>
        <w:pStyle w:val="BodyText"/>
        <w:tabs>
          <w:tab w:val="left" w:pos="720" w:leader="none"/>
        </w:tabs>
        <w:spacing w:lineRule="auto" w:line="240" w:before="0" w:after="120"/>
        <w:rPr>
          <w:rFonts w:ascii="Times New Roman" w:hAnsi="Times New Roman" w:cs="Times New Roman"/>
          <w:sz w:val="20"/>
        </w:rPr>
      </w:pPr>
      <w:r>
        <w:rPr>
          <w:rFonts w:cs="Times New Roman" w:ascii="Times New Roman" w:hAnsi="Times New Roman"/>
          <w:sz w:val="20"/>
        </w:rPr>
        <w:t>4.1</w:t>
        <w:tab/>
        <w:t>Seller shall have the sole responsibility for transporting the Gas to the Delivery Point(s) based on Buyer’s selection of a transportation option in the Transaction Confirmation and for delivering such Gas at a pressure sufficient to effect such delivery but not to exceed the maximum operating pressure of the Receiving Transporter. Seller shall provide all balancing services which include, but are not limited to, the scheduling of gas on a monthly and daily basis in accordance with the requirements of all Transporter(s) involved in the Transaction and balancing Buyer’s actual usage with the scheduled volumes on a monthly and daily basis in accordance with the requirements of all Transporter(s) involved in the Transaction.</w:t>
      </w:r>
    </w:p>
    <w:p>
      <w:pPr>
        <w:pStyle w:val="Normal"/>
        <w:spacing w:before="0" w:after="120"/>
        <w:jc w:val="both"/>
        <w:rPr>
          <w:spacing w:val="-4"/>
          <w:sz w:val="20"/>
        </w:rPr>
      </w:pPr>
      <w:r>
        <w:rPr>
          <w:spacing w:val="-4"/>
          <w:sz w:val="20"/>
        </w:rPr>
        <w:t>4.2</w:t>
        <w:tab/>
        <w:t xml:space="preserve">The parties shall coordinate their Gas nomination and scheduling activities, giving sufficient time to meet the deadlines of the affected Transporter(s). Each party shall give the other party timely prior operational notice, sufficient to meet the requirements of all Transporter(s) involved in the Transaction, of the quantities of Gas to be delivered and purchased each Day. Such operational notice may be made by any mutually agreeable means, including phone, fax and email. Should either party become aware that actual deliveries at the Delivery Point(s) are greater or lesser than the Scheduled Gas, such party shall promptly notify the other party.  </w:t>
      </w:r>
    </w:p>
    <w:p>
      <w:pPr>
        <w:pStyle w:val="BodyText"/>
        <w:tabs>
          <w:tab w:val="clear" w:pos="720"/>
          <w:tab w:val="left" w:pos="-1440" w:leader="none"/>
          <w:tab w:val="left" w:pos="-720" w:leader="none"/>
          <w:tab w:val="left" w:pos="450" w:leader="none"/>
          <w:tab w:val="left" w:pos="810" w:leader="none"/>
          <w:tab w:val="left" w:pos="990" w:leader="none"/>
          <w:tab w:val="left" w:pos="675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spacing w:lineRule="auto" w:line="240" w:before="0" w:after="100"/>
        <w:rPr>
          <w:rFonts w:ascii="Times New Roman" w:hAnsi="Times New Roman" w:cs="Times New Roman"/>
          <w:sz w:val="20"/>
        </w:rPr>
      </w:pPr>
      <w:r>
        <w:rPr>
          <w:rFonts w:cs="Times New Roman" w:ascii="Times New Roman" w:hAnsi="Times New Roman"/>
          <w:sz w:val="20"/>
        </w:rPr>
        <w:t>4.3</w:t>
        <w:tab/>
        <w:tab/>
        <w:t>The parties shall use commercially reasonable efforts to avoid imposition of any Imbalance Charges. Either party will notify the other party of potential Imbalance Charges that may be assessed to the notified party.  To the extent practical, such notification will be provided within a timeframe that allows the notified party the opportunity to take corrective action that may avoid or minimize Imbalance Charges.  Such corrective action is the sole responsibility of the notified party.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BodyText"/>
        <w:spacing w:lineRule="auto" w:line="240" w:before="0" w:after="120"/>
        <w:rPr>
          <w:rFonts w:ascii="Times New Roman" w:hAnsi="Times New Roman" w:cs="Times New Roman"/>
          <w:sz w:val="20"/>
        </w:rPr>
      </w:pPr>
      <w:r>
        <w:rPr>
          <w:rFonts w:cs="Times New Roman" w:ascii="Times New Roman" w:hAnsi="Times New Roman"/>
          <w:sz w:val="20"/>
        </w:rPr>
      </w:r>
    </w:p>
    <w:p>
      <w:pPr>
        <w:pStyle w:val="BodyText"/>
        <w:numPr>
          <w:ilvl w:val="1"/>
          <w:numId w:val="2"/>
        </w:numPr>
        <w:spacing w:lineRule="auto" w:line="240" w:before="0" w:after="120"/>
        <w:rPr>
          <w:rFonts w:ascii="Times New Roman" w:hAnsi="Times New Roman" w:cs="Times New Roman"/>
          <w:sz w:val="20"/>
        </w:rPr>
      </w:pPr>
      <w:r>
        <w:rPr>
          <w:rFonts w:cs="Times New Roman" w:ascii="Times New Roman" w:hAnsi="Times New Roman"/>
          <w:sz w:val="20"/>
        </w:rPr>
        <w:t>During any period when a Transporter institutes parameters for balancing usage and deliveries for less than a full calendar month including, but not limited to, operational flow order (OFO), curtailment or entitlement, Seller shall communicate with Buyer to establish a daily nomination.  Should Buyer’s usage vary from the nomination or should Buyer fail to adjust usage as directed by Seller and a Transporter imbalance penalty results, Buyer shall be responsible for the imbalance penalty.</w:t>
      </w:r>
    </w:p>
    <w:p>
      <w:pPr>
        <w:pStyle w:val="Normal"/>
        <w:rPr>
          <w:rFonts w:ascii="Times New Roman" w:hAnsi="Times New Roman" w:cs="Times New Roman"/>
          <w:sz w:val="20"/>
        </w:rPr>
      </w:pPr>
      <w:r>
        <w:rPr>
          <w:rFonts w:cs="Times New Roman"/>
          <w:sz w:val="20"/>
        </w:rPr>
      </w:r>
    </w:p>
    <w:p>
      <w:pPr>
        <w:pStyle w:val="Normal"/>
        <w:rPr>
          <w:sz w:val="20"/>
        </w:rPr>
      </w:pPr>
      <w:r>
        <w:rPr>
          <w:sz w:val="20"/>
        </w:rPr>
      </w:r>
    </w:p>
    <w:p>
      <w:pPr>
        <w:pStyle w:val="Heading1"/>
        <w:ind w:hanging="0" w:start="0"/>
        <w:rPr/>
      </w:pPr>
      <w:r>
        <w:rPr>
          <w:rFonts w:cs="Times New Roman" w:ascii="Times New Roman" w:hAnsi="Times New Roman"/>
          <w:sz w:val="20"/>
          <w:u w:val="none"/>
        </w:rPr>
        <w:t>4.</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5.</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r>
    </w:p>
    <w:p>
      <w:pPr>
        <w:pStyle w:val="BodyText2"/>
        <w:jc w:val="both"/>
        <w:rPr/>
      </w:pPr>
      <w:r>
        <w:rPr>
          <w:rFonts w:cs="Times New Roman" w:ascii="Times New Roman" w:hAnsi="Times New Roman"/>
          <w:sz w:val="20"/>
        </w:rPr>
        <w:t>6.</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s>
        <w:spacing w:before="0" w:after="0"/>
        <w:ind w:start="720" w:end="720"/>
        <w:jc w:val="both"/>
        <w:rPr/>
      </w:pPr>
      <w:r>
        <w:rPr>
          <w:kern w:val="0"/>
        </w:rPr>
        <w:t xml:space="preserve">10.1 When reasonable grounds for insecurity of payment or title to the Gas arise,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therefore;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Normal"/>
        <w:tabs>
          <w:tab w:val="clear" w:pos="720"/>
          <w:tab w:val="left" w:pos="754"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7.</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sz w:val="20"/>
        </w:rPr>
      </w:pPr>
      <w:r>
        <w:rPr>
          <w:sz w:val="20"/>
        </w:rPr>
        <w:tab/>
        <w:t xml:space="preserve">10.3 If an Early Termination Date has been declared or deemed to have been declared, as the case may be, Requesting Party shall have the right to liquidate any or 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 xml:space="preserve">(b) discounting each amount then due under clause 10.3(a) above to present value in a commercially reasonable manner as at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8.</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financial and other consultants and advisors;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pPr>
      <w:r>
        <w:rPr>
          <w:sz w:val="20"/>
        </w:rPr>
        <w:t>9.</w:t>
        <w:tab/>
        <w:t>Notwithstanding anything to the contrary set forth in this Base Contract, the term of this Base Contract shall, subject to the provisions hereof for earlier termination, commence on the 1</w:t>
      </w:r>
      <w:r>
        <w:rPr>
          <w:sz w:val="20"/>
          <w:vertAlign w:val="superscript"/>
        </w:rPr>
        <w:t>st</w:t>
      </w:r>
      <w:r>
        <w:rPr>
          <w:sz w:val="20"/>
        </w:rPr>
        <w:t xml:space="preserve"> day of December 2001, and continue through the 31</w:t>
      </w:r>
      <w:r>
        <w:rPr>
          <w:sz w:val="20"/>
          <w:vertAlign w:val="superscript"/>
        </w:rPr>
        <w:t>st</w:t>
      </w:r>
      <w:r>
        <w:rPr>
          <w:sz w:val="20"/>
        </w:rPr>
        <w:t xml:space="preserve"> day of October 2003.</w:t>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rFonts w:ascii="Arial" w:hAnsi="Arial" w:cs="Arial"/>
      </w:rPr>
    </w:lvl>
    <w:lvl w:ilvl="1">
      <w:start w:val="5"/>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u w:val="single"/>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Arial" w:hAnsi="Arial" w:cs="Arial"/>
    </w:rPr>
  </w:style>
  <w:style w:type="character" w:styleId="WW8Num7z1">
    <w:name w:val="WW8Num7z1"/>
    <w:qFormat/>
    <w:rPr/>
  </w:style>
  <w:style w:type="character" w:styleId="WW8Num8z0">
    <w:name w:val="WW8Num8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overflowPunct w:val="true"/>
      <w:autoSpaceDE w:val="true"/>
      <w:spacing w:lineRule="atLeast" w:line="240"/>
      <w:jc w:val="both"/>
      <w:textAlignment w:val="auto"/>
    </w:pPr>
    <w:rPr>
      <w:rFonts w:ascii="Arial" w:hAnsi="Arial" w:cs="Arial"/>
      <w:color w:val="000000"/>
      <w:spacing w:val="-4"/>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2001-11-13T15:03:00Z</dcterms:created>
  <dc:creator>Dixon</dc:creator>
  <dc:description/>
  <dc:language>en-CA</dc:language>
  <cp:lastModifiedBy>kward</cp:lastModifiedBy>
  <cp:lastPrinted>2001-11-13T11:32:00Z</cp:lastPrinted>
  <dcterms:modified xsi:type="dcterms:W3CDTF">2001-11-13T15:03:00Z</dcterms:modified>
  <cp:revision>2</cp:revision>
  <dc:subject/>
  <dc:title>Special Exceptions to GISB</dc:title>
</cp:coreProperties>
</file>