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pPr>
      <w:r>
        <w:rPr/>
        <w:t>DealBench L.L.C., a Delaware limited liability company (“</w:t>
      </w:r>
      <w:r>
        <w:rPr>
          <w:u w:val="single"/>
        </w:rPr>
        <w:t>DealBench</w:t>
      </w:r>
      <w:r>
        <w:rPr/>
        <w:t xml:space="preserve">”), owns and operates </w:t>
      </w:r>
      <w:r>
        <w:rPr>
          <w:i/>
        </w:rPr>
        <w:t xml:space="preserve">DealBench™, </w:t>
      </w:r>
      <w:r>
        <w:rPr/>
        <w:t>a proprietary electronic commerce or Internet site through which various business services may be offered, including, without limitation, an online dataroom for due diligence (“</w:t>
      </w:r>
      <w:r>
        <w:rPr>
          <w:u w:val="single"/>
        </w:rPr>
        <w:t>Dataroom</w:t>
      </w:r>
      <w:r>
        <w:rPr/>
        <w:t>”).  Freshfields Bruckhaus Deringer is an international law firm with attorneys in Europe, Asia and the Americas (“</w:t>
      </w:r>
      <w:r>
        <w:rPr>
          <w:u w:val="single"/>
        </w:rPr>
        <w:t>Freshfields</w:t>
      </w:r>
      <w:r>
        <w:rPr/>
        <w:t xml:space="preserve">”). </w:t>
      </w:r>
    </w:p>
    <w:p>
      <w:pPr>
        <w:pStyle w:val="Normal"/>
        <w:jc w:val="both"/>
        <w:rPr/>
      </w:pPr>
      <w:r>
        <w:rPr/>
      </w:r>
    </w:p>
    <w:p>
      <w:pPr>
        <w:pStyle w:val="Normal"/>
        <w:jc w:val="both"/>
        <w:rPr/>
      </w:pPr>
      <w:r>
        <w:rPr/>
        <w:t>DealBench and Freshfields are interested in establishing a business relationship pursuant to which Freshfields would consult with DealBench for 100 hours regarding the Dataroom product and use Freshfields’ best commercial efforts to refer business to DealBench during the Term (defined below).  In consideration for these services:</w:t>
      </w:r>
    </w:p>
    <w:p>
      <w:pPr>
        <w:pStyle w:val="Normal"/>
        <w:jc w:val="both"/>
        <w:rPr/>
      </w:pPr>
      <w:r>
        <w:rPr/>
      </w:r>
    </w:p>
    <w:p>
      <w:pPr>
        <w:pStyle w:val="Normal"/>
        <w:numPr>
          <w:ilvl w:val="0"/>
          <w:numId w:val="1"/>
        </w:numPr>
        <w:jc w:val="both"/>
        <w:rPr/>
      </w:pPr>
      <w:r>
        <w:rPr/>
        <w:t>DealBench would pay to Freshfields 10% of all nonrefundable site license fees paid to DealBench during the 27-month period beginning when the Term begins (the “</w:t>
      </w:r>
      <w:r>
        <w:rPr>
          <w:u w:val="single"/>
        </w:rPr>
        <w:t>Payment Period</w:t>
      </w:r>
      <w:r>
        <w:rPr/>
        <w:t xml:space="preserve">”) by customers referred to DealBench by Freshfields during the Term.  Such payment would be made quarterly during the Payment Period, beginning on the last business day of the first three months thereof and continuing on the last business day of each succeeding three months of the Payment Period. </w:t>
      </w:r>
    </w:p>
    <w:p>
      <w:pPr>
        <w:pStyle w:val="Normal"/>
        <w:jc w:val="both"/>
        <w:rPr/>
      </w:pPr>
      <w:r>
        <w:rPr/>
      </w:r>
    </w:p>
    <w:p>
      <w:pPr>
        <w:pStyle w:val="Normal"/>
        <w:numPr>
          <w:ilvl w:val="0"/>
          <w:numId w:val="1"/>
        </w:numPr>
        <w:jc w:val="both"/>
        <w:rPr/>
      </w:pPr>
      <w:r>
        <w:rPr/>
        <w:t>In addition, during the Term, DealBench would share an exclusive association with Freshfields concerning the development of the Dataroom product in Europe and Asia.  This association would include mention of (1) this Freshfields/DealBench development relationship (i) in DealBench’s press release announcing launch of the Dataroom product (the “</w:t>
      </w:r>
      <w:r>
        <w:rPr>
          <w:u w:val="single"/>
        </w:rPr>
        <w:t>Press Release</w:t>
      </w:r>
      <w:r>
        <w:rPr/>
        <w:t xml:space="preserve">”) and (ii) on the Dataroom homepage within the </w:t>
      </w:r>
      <w:r>
        <w:rPr>
          <w:i/>
        </w:rPr>
        <w:t xml:space="preserve">DealBench™ </w:t>
      </w:r>
      <w:r>
        <w:rPr/>
        <w:t xml:space="preserve">site, and (2) the </w:t>
      </w:r>
      <w:r>
        <w:rPr>
          <w:i/>
        </w:rPr>
        <w:t>DealBench™</w:t>
      </w:r>
      <w:r>
        <w:rPr/>
        <w:t xml:space="preserve"> site and link on Freshfields’ Internet homepage.  Although DealBench and Freshfields would mutually agree on the content and manner of these various references, it is anticipated that they would refer to Freshfields’ involvement in developing the Dataroom product in Europe and Asia, and its extensive experience in international mergers and acquisitions.  No agency, joint venture, partnership or fiduciary relationship would be deemed to exist or arise as a result of such an association between DealBench and Freshfields.  Freshfields understands that DealBench may market and license the Dataroom product to anyone, including, without limitation, other law firms or their clients, anywhere in the world.  Freshfields also understands that DealBench may form other associations or relationships with other law or other firms regarding the </w:t>
      </w:r>
      <w:r>
        <w:rPr>
          <w:i/>
        </w:rPr>
        <w:t xml:space="preserve">DealBench™ </w:t>
      </w:r>
      <w:r>
        <w:rPr/>
        <w:t xml:space="preserve">site (i) for all purposes outside Europe and Asia, and (ii) for purposes other than development of the Dataroom product anywhere in the world.  </w:t>
      </w:r>
    </w:p>
    <w:p>
      <w:pPr>
        <w:pStyle w:val="Normal"/>
        <w:jc w:val="both"/>
        <w:rPr/>
      </w:pPr>
      <w:r>
        <w:rPr/>
      </w:r>
    </w:p>
    <w:p>
      <w:pPr>
        <w:pStyle w:val="Normal"/>
        <w:jc w:val="both"/>
        <w:rPr/>
      </w:pPr>
      <w:r>
        <w:rPr/>
        <w:t>“</w:t>
      </w:r>
      <w:r>
        <w:rPr>
          <w:u w:val="single"/>
        </w:rPr>
        <w:t>Term</w:t>
      </w:r>
      <w:r>
        <w:rPr/>
        <w:t>” means the 24-month period beginning on the earlier of (i) the date on which DealBench and Freshfields execute and deliver a definitive agreement covering this proposed business relationship, (ii) the date the Press Release is released, or (iii) the date on which a Dataroom is first licensed for use by a person which is not owned or controlled by Enron Corp.</w:t>
      </w:r>
    </w:p>
    <w:p>
      <w:pPr>
        <w:pStyle w:val="Normal"/>
        <w:jc w:val="both"/>
        <w:rPr/>
      </w:pPr>
      <w:r>
        <w:rPr/>
      </w:r>
    </w:p>
    <w:p>
      <w:pPr>
        <w:pStyle w:val="Normal"/>
        <w:jc w:val="both"/>
        <w:rPr/>
      </w:pPr>
      <w:r>
        <w:rPr/>
        <w:t>Please advise if the foregoing sets forth a basis upon which we can prepare a definitive agreement covering the proposed business relationship.  Any such relationship is expressly conditioned upon the prior approval of legal management of Enron Corp. and the entry into a definitive agreement.  This is not an agreement.</w:t>
      </w:r>
    </w:p>
    <w:sectPr>
      <w:type w:val="nextPage"/>
      <w:pgSz w:w="12240" w:h="15840"/>
      <w:pgMar w:left="1440" w:right="1440" w:gutter="0" w:header="0" w:top="1440" w:footer="0" w:bottom="10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2001-01-08T22:38:00Z</dcterms:created>
  <dc:creator>Ndobin</dc:creator>
  <dc:description/>
  <dc:language>en-CA</dc:language>
  <cp:lastModifiedBy>ndobin</cp:lastModifiedBy>
  <dcterms:modified xsi:type="dcterms:W3CDTF">2001-01-08T22:57:00Z</dcterms:modified>
  <cp:revision>4</cp:revision>
  <dc:subject/>
  <dc:title>DealBench L</dc:title>
</cp:coreProperties>
</file>