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btitle"/>
        <w:ind w:start="5040" w:end="0"/>
        <w:jc w:val="end"/>
        <w:rPr/>
      </w:pPr>
      <w:r>
        <w:object w:dxaOrig="2806" w:dyaOrig="2881">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0pt;margin-top:-7.2pt;width:84.2pt;height:86.4pt;mso-wrap-distance-left:9.05pt;mso-wrap-distance-right:9.05pt;mso-position-horizontal-relative:text;mso-position-vertical-relative:text" filled="f" o:ole="">
            <v:imagedata r:id="rId3" o:title=""/>
            <w10:wrap type="tight"/>
          </v:shape>
          <o:OLEObject Type="Embed" ProgID="" ShapeID="ole_rId2" DrawAspect="Content" ObjectID="_1936817606" r:id="rId2"/>
        </w:object>
      </w:r>
      <w:r>
        <w:rPr>
          <w:rFonts w:eastAsia="Garamond" w:cs="Garamond" w:ascii="Garamond" w:hAnsi="Garamond"/>
          <w:emboss/>
          <w:color w:val="000080"/>
          <w:sz w:val="48"/>
        </w:rPr>
        <w:t xml:space="preserve">                               </w:t>
      </w:r>
      <w:r>
        <w:rPr>
          <w:rFonts w:cs="Garamond" w:ascii="Garamond" w:hAnsi="Garamond"/>
          <w:color w:val="000080"/>
          <w:sz w:val="40"/>
        </w:rPr>
        <w:t>Enron Global Markets</w:t>
      </w:r>
    </w:p>
    <w:p>
      <w:pPr>
        <w:pStyle w:val="Subtitle"/>
        <w:ind w:start="5040" w:end="0"/>
        <w:jc w:val="end"/>
        <w:rPr>
          <w:rFonts w:ascii="Garamond" w:hAnsi="Garamond" w:cs="Garamond"/>
          <w:color w:val="000080"/>
          <w:sz w:val="40"/>
        </w:rPr>
      </w:pPr>
      <w:r>
        <w:rPr>
          <w:rFonts w:cs="Garamond" w:ascii="Garamond" w:hAnsi="Garamond"/>
          <w:color w:val="000080"/>
          <w:sz w:val="40"/>
        </w:rPr>
        <w:t>Competitive Analysis</w:t>
      </w:r>
    </w:p>
    <w:p>
      <w:pPr>
        <w:pStyle w:val="Subtitle"/>
        <w:jc w:val="start"/>
        <w:rPr>
          <w:rFonts w:ascii="Garamond" w:hAnsi="Garamond" w:cs="Garamond"/>
          <w:color w:val="000080"/>
          <w:sz w:val="24"/>
        </w:rPr>
      </w:pPr>
      <w:r>
        <w:rPr>
          <w:rFonts w:cs="Garamond" w:ascii="Garamond" w:hAnsi="Garamond"/>
          <w:color w:val="000080"/>
          <w:sz w:val="24"/>
        </w:rPr>
      </w:r>
    </w:p>
    <w:p>
      <w:pPr>
        <w:pStyle w:val="BodyText2"/>
        <w:tabs>
          <w:tab w:val="clear" w:pos="720"/>
          <w:tab w:val="left" w:pos="0" w:leader="none"/>
        </w:tabs>
        <w:rPr>
          <w:rFonts w:ascii="Garamond" w:hAnsi="Garamond" w:cs="Garamond"/>
          <w:b/>
          <w:smallCaps/>
          <w:color w:val="000080"/>
          <w:sz w:val="28"/>
        </w:rPr>
      </w:pPr>
      <w:r>
        <w:rPr>
          <w:rFonts w:cs="Garamond" w:ascii="Garamond" w:hAnsi="Garamond"/>
          <w:b/>
          <w:smallCaps/>
          <w:color w:val="000080"/>
          <w:sz w:val="28"/>
        </w:rPr>
      </w:r>
    </w:p>
    <w:p>
      <w:pPr>
        <w:pStyle w:val="BodyText2"/>
        <w:tabs>
          <w:tab w:val="clear" w:pos="720"/>
          <w:tab w:val="left" w:pos="0" w:leader="none"/>
        </w:tabs>
        <w:rPr>
          <w:b/>
          <w:smallCaps/>
          <w:color w:val="000080"/>
          <w:sz w:val="32"/>
        </w:rPr>
      </w:pPr>
      <w:r>
        <w:rPr>
          <w:b/>
          <w:smallCaps/>
          <w:color w:val="000080"/>
          <w:sz w:val="32"/>
        </w:rPr>
      </w:r>
    </w:p>
    <w:p>
      <w:pPr>
        <w:pStyle w:val="BodyText2"/>
        <w:jc w:val="center"/>
        <w:rPr>
          <w:b/>
          <w:smallCaps/>
          <w:color w:val="000080"/>
          <w:sz w:val="48"/>
        </w:rPr>
      </w:pPr>
      <w:r>
        <w:rPr>
          <w:b/>
          <w:smallCaps/>
          <w:color w:val="000080"/>
          <w:sz w:val="48"/>
        </w:rPr>
        <w:t>Impact Analysis Report</w:t>
      </w:r>
    </w:p>
    <w:p>
      <w:pPr>
        <w:pStyle w:val="BodyText2"/>
        <w:jc w:val="center"/>
        <w:rPr>
          <w:b/>
          <w:sz w:val="28"/>
        </w:rPr>
      </w:pPr>
      <w:r>
        <w:rPr>
          <w:b/>
          <w:smallCaps/>
          <w:color w:val="000080"/>
          <w:sz w:val="28"/>
        </w:rPr>
        <w:t xml:space="preserve">Domestic Freight Markets </w:t>
      </w:r>
    </w:p>
    <w:p>
      <w:pPr>
        <w:pStyle w:val="BodyText2"/>
        <w:pBdr>
          <w:bottom w:val="single" w:sz="18" w:space="1" w:color="000000"/>
        </w:pBdr>
        <w:tabs>
          <w:tab w:val="left" w:pos="720" w:leader="none"/>
        </w:tabs>
        <w:jc w:val="center"/>
        <w:rPr>
          <w:b/>
          <w:bCs/>
          <w:color w:val="000080"/>
          <w:sz w:val="24"/>
        </w:rPr>
      </w:pPr>
      <w:r>
        <w:rPr>
          <w:b/>
          <w:bCs/>
          <w:color w:val="000080"/>
          <w:sz w:val="24"/>
        </w:rPr>
      </w:r>
    </w:p>
    <w:p>
      <w:pPr>
        <w:pStyle w:val="BodyText2"/>
        <w:tabs>
          <w:tab w:val="left" w:pos="720" w:leader="none"/>
        </w:tabs>
        <w:jc w:val="center"/>
        <w:rPr>
          <w:b/>
          <w:bCs/>
          <w:color w:val="000080"/>
          <w:sz w:val="32"/>
        </w:rPr>
      </w:pPr>
      <w:r>
        <w:rPr>
          <w:b/>
          <w:bCs/>
          <w:color w:val="000080"/>
          <w:sz w:val="32"/>
        </w:rPr>
      </w:r>
    </w:p>
    <w:p>
      <w:pPr>
        <w:pStyle w:val="NormalWeb"/>
        <w:spacing w:before="0" w:after="0"/>
        <w:jc w:val="center"/>
        <w:rPr>
          <w:b/>
          <w:bCs/>
          <w:color w:val="000080"/>
          <w:sz w:val="32"/>
        </w:rPr>
      </w:pPr>
      <w:r>
        <w:rPr>
          <w:b/>
          <w:bCs/>
          <w:color w:val="000080"/>
          <w:sz w:val="32"/>
        </w:rPr>
        <w:t>Executive Summary</w:t>
      </w:r>
    </w:p>
    <w:p>
      <w:pPr>
        <w:pStyle w:val="NormalWeb"/>
        <w:spacing w:before="0" w:after="0"/>
        <w:jc w:val="both"/>
        <w:rPr>
          <w:b/>
          <w:bCs/>
          <w:color w:val="000080"/>
          <w:sz w:val="32"/>
        </w:rPr>
      </w:pPr>
      <w:r>
        <w:rPr>
          <w:b/>
          <w:bCs/>
          <w:color w:val="000080"/>
          <w:sz w:val="32"/>
        </w:rPr>
      </w:r>
    </w:p>
    <w:p>
      <w:pPr>
        <w:pStyle w:val="NormalWeb"/>
        <w:spacing w:before="0" w:after="0"/>
        <w:jc w:val="both"/>
        <w:rPr/>
      </w:pPr>
      <w:r>
        <w:rPr>
          <w:sz w:val="22"/>
        </w:rPr>
        <w:t>The mid-term outlook for the freight and rail industry remains weak.  The Sept. 11 attacks only hastened already declining economic performance, which shrunk by 0.4 percent for Q301—the first quarterly drop since Q193.  Although housing construction and consumer expectations seem strong and continue to enjoy slight boosts due to patriotic sentiment and attractive financing deals, industrial production continued to slide for the 12</w:t>
      </w:r>
      <w:r>
        <w:rPr>
          <w:sz w:val="22"/>
          <w:vertAlign w:val="superscript"/>
        </w:rPr>
        <w:t>th</w:t>
      </w:r>
      <w:r>
        <w:rPr>
          <w:sz w:val="22"/>
        </w:rPr>
        <w:t xml:space="preserve"> month in a row.  Operating capacity sank to 75.5 percent in September 2001, the lowest level since June 1983, as companies scaled back production in the face of slumping consumer demand.    </w:t>
      </w:r>
    </w:p>
    <w:p>
      <w:pPr>
        <w:pStyle w:val="NormalWeb"/>
        <w:spacing w:before="0" w:after="0"/>
        <w:jc w:val="both"/>
        <w:rPr>
          <w:sz w:val="22"/>
        </w:rPr>
      </w:pPr>
      <w:r>
        <w:rPr>
          <w:sz w:val="22"/>
        </w:rPr>
      </w:r>
    </w:p>
    <w:p>
      <w:pPr>
        <w:pStyle w:val="NormalWeb"/>
        <w:spacing w:before="0" w:after="0"/>
        <w:jc w:val="both"/>
        <w:rPr/>
      </w:pPr>
      <w:r>
        <w:rPr>
          <w:sz w:val="22"/>
        </w:rPr>
        <w:t xml:space="preserve">Losses from disruptions and business interruptions continue to beset the freight and rail industry, despite subsequent reopening of cross-border traffic amid heightened security.  Weakening demand from manufacturing and retail sectors has undercut volumes in trucking and rail.  Coal traffic gains are lower than year to date rates, after experiencing a temporary surge over </w:t>
      </w:r>
      <w:r>
        <w:rPr>
          <w:color w:val="333399"/>
          <w:sz w:val="22"/>
        </w:rPr>
        <w:t>the</w:t>
      </w:r>
      <w:r>
        <w:rPr>
          <w:sz w:val="22"/>
        </w:rPr>
        <w:t xml:space="preserve"> summer.  Automobile and parts shipments are more significantly down.  </w:t>
      </w:r>
      <w:r>
        <w:rPr>
          <w:b/>
          <w:bCs/>
          <w:color w:val="000080"/>
          <w:sz w:val="22"/>
        </w:rPr>
        <w:t>A slowdown in volumes includes less hauling in autos, chemicals and coal.  A weaker economy means consumers will consume less coal, which signifies smaller transportation loads on the railroads.</w:t>
      </w:r>
    </w:p>
    <w:p>
      <w:pPr>
        <w:pStyle w:val="NormalWeb"/>
        <w:spacing w:before="0" w:after="0"/>
        <w:jc w:val="both"/>
        <w:rPr>
          <w:b/>
          <w:bCs/>
          <w:color w:val="0000FF"/>
          <w:sz w:val="22"/>
        </w:rPr>
      </w:pPr>
      <w:r>
        <w:rPr>
          <w:b/>
          <w:bCs/>
          <w:color w:val="0000FF"/>
          <w:sz w:val="22"/>
        </w:rPr>
      </w:r>
    </w:p>
    <w:p>
      <w:pPr>
        <w:pStyle w:val="NormalWeb"/>
        <w:spacing w:before="0" w:after="0"/>
        <w:jc w:val="both"/>
        <w:rPr/>
      </w:pPr>
      <w:r>
        <w:rPr>
          <w:b/>
          <w:bCs/>
          <w:color w:val="333399"/>
          <w:sz w:val="22"/>
        </w:rPr>
        <w:t>Pre-holiday shipping rush is not promising so far</w:t>
      </w:r>
      <w:r>
        <w:rPr>
          <w:sz w:val="22"/>
        </w:rPr>
        <w:t>.  Though the peak shipping season typically begins in late August and continues through to the beginning of December, analysts believe that growing weakness in consumer demand may make it virtually nonexistent this year.</w:t>
      </w:r>
    </w:p>
    <w:p>
      <w:pPr>
        <w:pStyle w:val="NormalWeb"/>
        <w:spacing w:before="0" w:after="0"/>
        <w:jc w:val="both"/>
        <w:rPr>
          <w:sz w:val="22"/>
        </w:rPr>
      </w:pPr>
      <w:r>
        <w:rPr>
          <w:sz w:val="22"/>
        </w:rPr>
      </w:r>
    </w:p>
    <w:p>
      <w:pPr>
        <w:pStyle w:val="NormalWeb"/>
        <w:spacing w:before="0" w:after="0"/>
        <w:jc w:val="both"/>
        <w:rPr>
          <w:b/>
          <w:bCs/>
          <w:color w:val="000080"/>
          <w:sz w:val="22"/>
        </w:rPr>
      </w:pPr>
      <w:r>
        <w:rPr>
          <w:sz w:val="22"/>
        </w:rPr>
        <w:t>Mitigating factors may soften the various negatives to some degree.  Rail and road carriers are benefiting from a move by shippers to “just in case” inventory supply, in reaction to resulting shortages and associated disruptions in transportation and supply chains.  Some analysts expect the decline in the freight environment to be moderate over the next two quarters.  Ground freight companies are also picking up cargo diverted from airplanes, but volumes seem too small to make much of a difference.</w:t>
      </w:r>
    </w:p>
    <w:p>
      <w:pPr>
        <w:pStyle w:val="NormalWeb"/>
        <w:spacing w:before="0" w:after="0"/>
        <w:jc w:val="both"/>
        <w:rPr>
          <w:b/>
          <w:bCs/>
          <w:color w:val="000080"/>
          <w:sz w:val="22"/>
        </w:rPr>
      </w:pPr>
      <w:r>
        <w:rPr>
          <w:b/>
          <w:bCs/>
          <w:color w:val="000080"/>
          <w:sz w:val="22"/>
        </w:rPr>
      </w:r>
    </w:p>
    <w:p>
      <w:pPr>
        <w:pStyle w:val="Heading1"/>
        <w:numPr>
          <w:ilvl w:val="0"/>
          <w:numId w:val="0"/>
        </w:numPr>
        <w:tabs>
          <w:tab w:val="clear" w:pos="720"/>
          <w:tab w:val="left" w:pos="1770" w:leader="none"/>
        </w:tabs>
        <w:ind w:hanging="0" w:start="0"/>
        <w:rPr>
          <w:color w:val="000080"/>
        </w:rPr>
      </w:pPr>
      <w:r>
        <w:rPr>
          <w:color w:val="000080"/>
        </w:rPr>
        <w:t>Trucking Impact</w:t>
      </w:r>
    </w:p>
    <w:p>
      <w:pPr>
        <w:pStyle w:val="Normal"/>
        <w:rPr>
          <w:color w:val="000080"/>
        </w:rPr>
      </w:pPr>
      <w:r>
        <w:rPr>
          <w:color w:val="000080"/>
        </w:rPr>
      </w:r>
    </w:p>
    <w:p>
      <w:pPr>
        <w:pStyle w:val="Normal"/>
        <w:rPr>
          <w:b/>
          <w:bCs/>
          <w:color w:val="000080"/>
          <w:sz w:val="24"/>
        </w:rPr>
      </w:pPr>
      <w:r>
        <w:rPr>
          <w:b/>
          <w:bCs/>
          <w:color w:val="000080"/>
          <w:sz w:val="24"/>
        </w:rPr>
        <w:t>Capital expenditures</w:t>
      </w:r>
    </w:p>
    <w:p>
      <w:pPr>
        <w:pStyle w:val="Normal"/>
        <w:jc w:val="both"/>
        <w:rPr>
          <w:b/>
          <w:bCs/>
          <w:sz w:val="22"/>
        </w:rPr>
      </w:pPr>
      <w:r>
        <w:rPr>
          <w:sz w:val="22"/>
        </w:rPr>
        <w:t xml:space="preserve">Analysts expect that weakened demand will dictate discipline in capital expenditures.  For example, pricing for Ryder remains weak.  Ryder’s revenues declined 7 percent year over year and Ryder’s overall pretax margin deteriorated about 45 bp versus Q3 2000.  </w:t>
      </w:r>
      <w:r>
        <w:rPr>
          <w:b/>
          <w:bCs/>
          <w:sz w:val="22"/>
        </w:rPr>
        <w:t>ABN Amro reports that 3</w:t>
      </w:r>
      <w:r>
        <w:rPr>
          <w:b/>
          <w:bCs/>
          <w:sz w:val="22"/>
          <w:vertAlign w:val="superscript"/>
        </w:rPr>
        <w:t>rd</w:t>
      </w:r>
      <w:r>
        <w:rPr>
          <w:b/>
          <w:bCs/>
          <w:sz w:val="22"/>
        </w:rPr>
        <w:t xml:space="preserve"> quarter revenues at the company’s flagship carrier, Yellow Freight System fell 11% to $636 million</w:t>
      </w:r>
      <w:r>
        <w:rPr>
          <w:sz w:val="22"/>
        </w:rPr>
        <w:t xml:space="preserve">.  A Goldman Sachs analyst noted that Yellow is expecting about $100 million in reduced capital expenditures and is concentrating mostly on cost cutting efforts.    </w:t>
      </w:r>
    </w:p>
    <w:p>
      <w:pPr>
        <w:pStyle w:val="Normal"/>
        <w:jc w:val="both"/>
        <w:rPr>
          <w:b/>
          <w:bCs/>
          <w:sz w:val="22"/>
        </w:rPr>
      </w:pPr>
      <w:r>
        <w:rPr>
          <w:b/>
          <w:bCs/>
          <w:sz w:val="22"/>
        </w:rPr>
      </w:r>
    </w:p>
    <w:p>
      <w:pPr>
        <w:pStyle w:val="Normal"/>
        <w:jc w:val="both"/>
        <w:rPr/>
      </w:pPr>
      <w:r>
        <w:rPr>
          <w:b/>
          <w:bCs/>
          <w:sz w:val="22"/>
        </w:rPr>
        <w:t>Ryder may generate cash for a few quarters but may probably issue more bonds next year--at least for refinancing purposes.</w:t>
      </w:r>
      <w:r>
        <w:rPr>
          <w:sz w:val="22"/>
        </w:rPr>
        <w:t xml:space="preserve"> The company recently indicated that they anticipate 2002 capital expenditures to be flat or below projected 2001 capital expenditures of $675-690 million. </w:t>
      </w:r>
    </w:p>
    <w:p>
      <w:pPr>
        <w:pStyle w:val="Normal"/>
        <w:jc w:val="both"/>
        <w:rPr>
          <w:sz w:val="22"/>
        </w:rPr>
      </w:pPr>
      <w:r>
        <w:rPr>
          <w:sz w:val="22"/>
        </w:rPr>
      </w:r>
    </w:p>
    <w:p>
      <w:pPr>
        <w:pStyle w:val="Heading2"/>
        <w:numPr>
          <w:ilvl w:val="0"/>
          <w:numId w:val="0"/>
        </w:numPr>
        <w:ind w:hanging="0" w:start="0"/>
        <w:rPr>
          <w:b/>
          <w:bCs/>
          <w:color w:val="000080"/>
        </w:rPr>
      </w:pPr>
      <w:r>
        <w:rPr>
          <w:b/>
          <w:bCs/>
          <w:color w:val="000080"/>
        </w:rPr>
        <w:t>Asset and workforce management</w:t>
      </w:r>
    </w:p>
    <w:p>
      <w:pPr>
        <w:pStyle w:val="Normal"/>
        <w:jc w:val="both"/>
        <w:rPr>
          <w:sz w:val="22"/>
        </w:rPr>
      </w:pPr>
      <w:r>
        <w:rPr>
          <w:sz w:val="22"/>
        </w:rPr>
        <w:t xml:space="preserve">Ryder has already announced plans to eliminate as many as 700 jobs or 2 percent of its workforce and scale back on growth plans to adjust to slowing economies.  Costs for that strategy in the quarter included $27 million to write off software assets, $16 million to shut Ryder’s Systemcare home-delivery service and as much as $11 million to close U.S. sites.  The company indicated that it had realized $61 million in cost savings through Q3 2001 year to date and projects realized savings of $91 million for the full year 2001 and $75 million in 2002. </w:t>
      </w:r>
    </w:p>
    <w:p>
      <w:pPr>
        <w:pStyle w:val="Normal"/>
        <w:jc w:val="both"/>
        <w:rPr>
          <w:sz w:val="22"/>
        </w:rPr>
      </w:pPr>
      <w:r>
        <w:rPr>
          <w:sz w:val="22"/>
        </w:rPr>
      </w:r>
    </w:p>
    <w:p>
      <w:pPr>
        <w:pStyle w:val="Normal"/>
        <w:jc w:val="both"/>
        <w:rPr>
          <w:sz w:val="22"/>
        </w:rPr>
      </w:pPr>
      <w:r>
        <w:rPr>
          <w:sz w:val="22"/>
        </w:rPr>
        <w:t>Analysts appear skeptical about Ryder’s ability to generate further cost savings.  Part of the problem may be that Ryder appears to historically have a perception problem on Wall Street as a company that doesn’t always do what it says.   The company’s $91 million of expense reductions positively impacted 2001 earnings, $38 million of which have come from personnel reductions.  The remaining $53 million in savings are derived from the elimination of unprofitable accounts, CPI adjustments that were built into contracts, and more stringent pricing discipline.  Over time, analysts believe that incremental savings from process changes (fleet standardization, purchasing activity standardization) will increase, while incremental savings from structural changes (layoffs and facility rationalizations) will decline.  Ryder’s high level of fixed assets tends to respond more positively to revenue generation than to operating expense reduction.  Given Ryder’s six quarter long trend of revenue deceleration across all business units, analysts believe that operating expense reductions are only a band-aid for a larger revenue issue.</w:t>
      </w:r>
    </w:p>
    <w:p>
      <w:pPr>
        <w:pStyle w:val="Normal"/>
        <w:jc w:val="both"/>
        <w:rPr>
          <w:sz w:val="22"/>
        </w:rPr>
      </w:pPr>
      <w:r>
        <w:rPr>
          <w:sz w:val="22"/>
        </w:rPr>
      </w:r>
    </w:p>
    <w:p>
      <w:pPr>
        <w:pStyle w:val="Normal"/>
        <w:jc w:val="both"/>
        <w:rPr/>
      </w:pPr>
      <w:r>
        <w:rPr>
          <w:sz w:val="22"/>
        </w:rPr>
        <w:t xml:space="preserve">Weakened demand has also negatively impacted other trucking firms.  Poor market conditions caused </w:t>
      </w:r>
      <w:r>
        <w:rPr>
          <w:b/>
          <w:bCs/>
          <w:sz w:val="22"/>
        </w:rPr>
        <w:t>Schneider National</w:t>
      </w:r>
      <w:r>
        <w:rPr>
          <w:sz w:val="22"/>
        </w:rPr>
        <w:t xml:space="preserve"> to drop its plans to spin off its logistics subsidiary, Schneider Logistics Inc.  Bear Stearns recently reported that </w:t>
      </w:r>
      <w:r>
        <w:rPr>
          <w:b/>
          <w:bCs/>
          <w:sz w:val="22"/>
        </w:rPr>
        <w:t>Consolidated Freightways</w:t>
      </w:r>
      <w:r>
        <w:rPr>
          <w:sz w:val="22"/>
        </w:rPr>
        <w:t xml:space="preserve"> might go bankrupt.  The entire less than truckload (LTL) marketplace would benefit from consolidation if the company were to shut down. However, there is a long way between bankruptcy and shutting down operations and the entire process could take years to unfold.</w:t>
      </w:r>
      <w:r>
        <w:rPr>
          <w:b/>
          <w:bCs/>
          <w:sz w:val="22"/>
        </w:rPr>
        <w:t xml:space="preserve">  </w:t>
      </w:r>
      <w:r>
        <w:rPr>
          <w:sz w:val="22"/>
        </w:rPr>
        <w:t>Yellow’s planned separation of its regional carrier group has been delayed.  Analysts believe that Yellow will wait until financial markets become more stable as potential buyers of the regional carrier group have been hard to find.</w:t>
      </w:r>
    </w:p>
    <w:p>
      <w:pPr>
        <w:pStyle w:val="Normal"/>
        <w:jc w:val="both"/>
        <w:rPr>
          <w:sz w:val="22"/>
        </w:rPr>
      </w:pPr>
      <w:r>
        <w:rPr>
          <w:sz w:val="22"/>
        </w:rPr>
      </w:r>
    </w:p>
    <w:p>
      <w:pPr>
        <w:pStyle w:val="Normal"/>
        <w:jc w:val="both"/>
        <w:rPr/>
      </w:pPr>
      <w:r>
        <w:rPr>
          <w:b/>
          <w:bCs/>
          <w:sz w:val="22"/>
        </w:rPr>
        <w:t>Freightliner</w:t>
      </w:r>
      <w:r>
        <w:rPr>
          <w:sz w:val="22"/>
        </w:rPr>
        <w:t xml:space="preserve"> parent DaimlerChrysler recently announced a restructuring plan that calls for a 47 percent reduction in its overall work force and projected cost savings of $850 million by 2004. The company also is taking a one-time charge of $330 million in the current quarter to pay for all this</w:t>
      </w:r>
      <w:r>
        <w:rPr>
          <w:rFonts w:cs="Helvetica" w:ascii="Helvetica" w:hAnsi="Helvetica"/>
          <w:sz w:val="22"/>
        </w:rPr>
        <w:t xml:space="preserve">.  </w:t>
      </w:r>
      <w:r>
        <w:rPr>
          <w:sz w:val="22"/>
        </w:rPr>
        <w:t>Cuts include material cost savings of $370 million, production cost savings of $120 million, overhead reduction of $170 million and improvements to its business model of $190 million in the long-awaited plan to revive Freightliner, which is projected to bleed in excess of $1 billion in losses this year.  Even with the cost cuts, Freightliner says it will only break even toward the end of 2002 and expects sustainable returns above the cost of capital in 2004 and thereafter.</w:t>
      </w:r>
    </w:p>
    <w:p>
      <w:pPr>
        <w:pStyle w:val="Normal"/>
        <w:jc w:val="both"/>
        <w:rPr>
          <w:sz w:val="22"/>
        </w:rPr>
      </w:pPr>
      <w:r>
        <w:rPr>
          <w:sz w:val="22"/>
        </w:rPr>
      </w:r>
    </w:p>
    <w:p>
      <w:pPr>
        <w:pStyle w:val="Normal"/>
        <w:jc w:val="both"/>
        <w:rPr>
          <w:sz w:val="22"/>
        </w:rPr>
      </w:pPr>
      <w:r>
        <w:rPr>
          <w:sz w:val="22"/>
        </w:rPr>
        <w:t>These moves come in the wake of the precipitous drop in new Class 8 sales, ending nearly a decade run of boom sales. Class 8 sales this year will be about 150,000 units, or about half what the record sales were in North America just two years ago. Industry capacity is close to 400,000 units a year before these latest cuts and plant closings.</w:t>
      </w:r>
    </w:p>
    <w:p>
      <w:pPr>
        <w:pStyle w:val="Normal"/>
        <w:rPr>
          <w:b/>
          <w:bCs/>
          <w:sz w:val="28"/>
        </w:rPr>
      </w:pPr>
      <w:r>
        <w:rPr>
          <w:b/>
          <w:bCs/>
          <w:sz w:val="28"/>
        </w:rPr>
      </w:r>
    </w:p>
    <w:p>
      <w:pPr>
        <w:pStyle w:val="Normal"/>
        <w:rPr>
          <w:b/>
          <w:bCs/>
          <w:color w:val="000080"/>
          <w:sz w:val="24"/>
        </w:rPr>
      </w:pPr>
      <w:r>
        <w:rPr>
          <w:b/>
          <w:bCs/>
          <w:color w:val="000080"/>
          <w:sz w:val="24"/>
        </w:rPr>
        <w:t>Contract price movements</w:t>
      </w:r>
    </w:p>
    <w:p>
      <w:pPr>
        <w:pStyle w:val="Normal"/>
        <w:jc w:val="both"/>
        <w:rPr/>
      </w:pPr>
      <w:r>
        <w:rPr>
          <w:sz w:val="22"/>
        </w:rPr>
        <w:t>Analysts believe that</w:t>
      </w:r>
      <w:r>
        <w:rPr>
          <w:b/>
          <w:bCs/>
          <w:sz w:val="22"/>
        </w:rPr>
        <w:t xml:space="preserve"> </w:t>
      </w:r>
      <w:r>
        <w:rPr>
          <w:sz w:val="22"/>
        </w:rPr>
        <w:t>prices have for the most part remained stable.  Trucking companies are normally hard pressed to institute price increases and with weak volumes, downward pressure on prices are more likely to occur.</w:t>
      </w:r>
    </w:p>
    <w:p>
      <w:pPr>
        <w:pStyle w:val="Normal"/>
        <w:rPr>
          <w:b/>
          <w:bCs/>
          <w:sz w:val="22"/>
        </w:rPr>
      </w:pPr>
      <w:r>
        <w:rPr>
          <w:b/>
          <w:bCs/>
          <w:sz w:val="22"/>
        </w:rPr>
      </w:r>
    </w:p>
    <w:p>
      <w:pPr>
        <w:pStyle w:val="Normal"/>
        <w:jc w:val="both"/>
        <w:rPr/>
      </w:pPr>
      <w:r>
        <w:rPr>
          <w:sz w:val="22"/>
        </w:rPr>
        <w:t xml:space="preserve">Decreases in volumes have been due to the weak economy and not to rails taking business away from trucks.  Most trucking companies, such as Yellow, have less exposure to attempts by the rails to take business.  Long distance carriers, such </w:t>
      </w:r>
      <w:r>
        <w:rPr>
          <w:b/>
          <w:bCs/>
          <w:sz w:val="22"/>
        </w:rPr>
        <w:t>JB Hunt</w:t>
      </w:r>
      <w:r>
        <w:rPr>
          <w:sz w:val="22"/>
        </w:rPr>
        <w:t xml:space="preserve"> and </w:t>
      </w:r>
      <w:r>
        <w:rPr>
          <w:b/>
          <w:bCs/>
          <w:sz w:val="22"/>
        </w:rPr>
        <w:t>Swift Transportation</w:t>
      </w:r>
      <w:r>
        <w:rPr>
          <w:sz w:val="22"/>
        </w:rPr>
        <w:t xml:space="preserve">, would be more affected.  In any event, analyst do not report  market share shifting from one mode of transportation to another. </w:t>
      </w:r>
    </w:p>
    <w:p>
      <w:pPr>
        <w:pStyle w:val="Normal"/>
        <w:jc w:val="both"/>
        <w:rPr>
          <w:sz w:val="22"/>
        </w:rPr>
      </w:pPr>
      <w:r>
        <w:rPr>
          <w:sz w:val="22"/>
        </w:rPr>
      </w:r>
    </w:p>
    <w:p>
      <w:pPr>
        <w:pStyle w:val="NormalWeb"/>
        <w:spacing w:before="0" w:after="0"/>
        <w:jc w:val="both"/>
        <w:rPr>
          <w:b/>
          <w:bCs/>
          <w:color w:val="000080"/>
        </w:rPr>
      </w:pPr>
      <w:r>
        <w:rPr>
          <w:b/>
          <w:bCs/>
          <w:color w:val="000080"/>
        </w:rPr>
        <w:t>Hazardous materials restrictions</w:t>
      </w:r>
    </w:p>
    <w:p>
      <w:pPr>
        <w:pStyle w:val="Normal"/>
        <w:jc w:val="both"/>
        <w:rPr>
          <w:sz w:val="22"/>
        </w:rPr>
      </w:pPr>
      <w:r>
        <w:rPr>
          <w:sz w:val="22"/>
        </w:rPr>
        <w:t xml:space="preserve">After the Justice Department confirmed that nine people arrested in connection with the Sept. 11 attacks had fraudulently obtained permits to transport hazardous materials, the freight markets industry moved swiftly to cooperate with increased security plans to closely monitor all cross-border traffic.  Individual companies have also adopted their own security defenses, which include increased security training to truck and rail drivers, satellite-tracking systems to pinpoint exact truck locations and advanced sensor systems to detect whether or not a cargo container has been opened prior to inspection.  The associated extra costs and delays could doom some small freight-moving companies, which were already struggling prior to Sept. 11 to remain in business amid the weakening economy.  While most operators will try to pass along any new costs to customers, getting them to pay could be tough since the slowdown has left the industry with excess capacity and dwindling leverage.  With a slower economy, it isn't as pressing for some companies to ship commodities at more expensive rates via air cargo. </w:t>
      </w:r>
    </w:p>
    <w:p>
      <w:pPr>
        <w:pStyle w:val="NormalWeb"/>
        <w:spacing w:before="0" w:after="0"/>
        <w:jc w:val="both"/>
        <w:rPr>
          <w:sz w:val="22"/>
        </w:rPr>
      </w:pPr>
      <w:r>
        <w:rPr>
          <w:sz w:val="22"/>
        </w:rPr>
      </w:r>
    </w:p>
    <w:p>
      <w:pPr>
        <w:pStyle w:val="NormalWeb"/>
        <w:spacing w:before="0" w:after="0"/>
        <w:jc w:val="both"/>
        <w:rPr>
          <w:sz w:val="22"/>
        </w:rPr>
      </w:pPr>
      <w:r>
        <w:rPr>
          <w:sz w:val="22"/>
        </w:rPr>
        <w:t>Despite the obvious need to prevent the possibility of terrorists and bombs entering the country on board any one of the thousands of trucks and railcars crossing border and interstate traffic daily, Wall Street was justifiably worried by the restrictions shortly after they went into effect.  The thinking was that the restrictions might affect greater than 1 percent of the rail industry's business, but the Association of American Railroads, an industry trade group, confirmed that the impact was actually far less.</w:t>
      </w:r>
    </w:p>
    <w:p>
      <w:pPr>
        <w:pStyle w:val="Normal"/>
        <w:rPr>
          <w:sz w:val="22"/>
        </w:rPr>
      </w:pPr>
      <w:r>
        <w:rPr>
          <w:sz w:val="22"/>
        </w:rPr>
        <w:t xml:space="preserve">  </w:t>
      </w:r>
    </w:p>
    <w:p>
      <w:pPr>
        <w:pStyle w:val="Normal"/>
        <w:jc w:val="both"/>
        <w:rPr/>
      </w:pPr>
      <w:r>
        <w:rPr>
          <w:b/>
          <w:bCs/>
          <w:sz w:val="22"/>
        </w:rPr>
        <w:t>As it turns out, analysts now believe that the total cost of extra security measures could add $20 billion, or 2 percent, to the country’s yearly freight transportation and logistics bill of $1 trillion.</w:t>
      </w:r>
      <w:r>
        <w:rPr>
          <w:sz w:val="22"/>
        </w:rPr>
        <w:t xml:space="preserve">  Even then, there are still vulnerable points in the system: Trains carrying potentially dangerous chemical cargoes travel through major cities.  Truck drivers hauling similar loads stop to sleep at rest areas that offer little or no protection.  The truck and auto rental markets offers potential vehicles for bomb attacks, typically with few questions asked of customers—as witnessed by the rental trucks that were used to blow up the World Trade Center in 1993 and the federal building in Oklahoma City in 1995. </w:t>
      </w:r>
    </w:p>
    <w:p>
      <w:pPr>
        <w:pStyle w:val="Normal"/>
        <w:jc w:val="both"/>
        <w:rPr>
          <w:b/>
          <w:bCs/>
          <w:sz w:val="22"/>
        </w:rPr>
      </w:pPr>
      <w:r>
        <w:rPr>
          <w:b/>
          <w:bCs/>
          <w:sz w:val="22"/>
        </w:rPr>
      </w:r>
    </w:p>
    <w:p>
      <w:pPr>
        <w:pStyle w:val="Normal"/>
        <w:rPr>
          <w:b/>
          <w:bCs/>
          <w:sz w:val="22"/>
        </w:rPr>
      </w:pPr>
      <w:r>
        <w:rPr>
          <w:b/>
          <w:bCs/>
          <w:sz w:val="22"/>
        </w:rPr>
      </w:r>
    </w:p>
    <w:p>
      <w:pPr>
        <w:pStyle w:val="NormalWeb"/>
        <w:spacing w:before="0" w:after="0"/>
        <w:jc w:val="center"/>
        <w:rPr>
          <w:b/>
          <w:bCs/>
          <w:color w:val="000080"/>
          <w:sz w:val="32"/>
        </w:rPr>
      </w:pPr>
      <w:r>
        <w:rPr>
          <w:b/>
          <w:bCs/>
          <w:color w:val="000080"/>
          <w:sz w:val="32"/>
        </w:rPr>
        <w:t>Rail and Intermodal Impact</w:t>
      </w:r>
    </w:p>
    <w:p>
      <w:pPr>
        <w:pStyle w:val="NormalWeb"/>
        <w:spacing w:before="0" w:after="0"/>
        <w:jc w:val="center"/>
        <w:rPr>
          <w:b/>
          <w:bCs/>
          <w:color w:val="000080"/>
          <w:sz w:val="32"/>
        </w:rPr>
      </w:pPr>
      <w:r>
        <w:rPr>
          <w:b/>
          <w:bCs/>
          <w:color w:val="000080"/>
          <w:sz w:val="32"/>
        </w:rPr>
      </w:r>
    </w:p>
    <w:p>
      <w:pPr>
        <w:pStyle w:val="NormalWeb"/>
        <w:spacing w:before="0" w:after="0"/>
        <w:jc w:val="both"/>
        <w:rPr>
          <w:b/>
          <w:bCs/>
          <w:color w:val="000080"/>
        </w:rPr>
      </w:pPr>
      <w:r>
        <w:rPr>
          <w:b/>
          <w:bCs/>
          <w:color w:val="000080"/>
        </w:rPr>
        <w:t>Economic conditions</w:t>
      </w:r>
    </w:p>
    <w:p>
      <w:pPr>
        <w:pStyle w:val="NormalWeb"/>
        <w:spacing w:before="0" w:after="0"/>
        <w:jc w:val="both"/>
        <w:rPr>
          <w:sz w:val="22"/>
        </w:rPr>
      </w:pPr>
      <w:r>
        <w:rPr>
          <w:sz w:val="22"/>
        </w:rPr>
        <w:t>Third quarter earnings at the major railroads exceeded expectations with volume weakness offset by rate increases and cost reductions.  On the back of the past six months, many railroad companies are performing better now than at any time in the last five years.</w:t>
      </w:r>
    </w:p>
    <w:p>
      <w:pPr>
        <w:pStyle w:val="NormalWeb"/>
        <w:spacing w:before="0" w:after="0"/>
        <w:jc w:val="both"/>
        <w:rPr>
          <w:sz w:val="22"/>
        </w:rPr>
      </w:pPr>
      <w:r>
        <w:rPr>
          <w:sz w:val="22"/>
        </w:rPr>
      </w:r>
    </w:p>
    <w:p>
      <w:pPr>
        <w:pStyle w:val="NormalWeb"/>
        <w:spacing w:before="0" w:after="0"/>
        <w:jc w:val="both"/>
        <w:rPr>
          <w:sz w:val="22"/>
        </w:rPr>
      </w:pPr>
      <w:r>
        <w:rPr>
          <w:sz w:val="22"/>
        </w:rPr>
        <w:t xml:space="preserve">However, economic conditions and general commodity weakness have lowered carload volumes by 1.5 percent as of early October.  Among the big four US rails, Q301 auto volume was down 4-10 percent, while metals, chemicals and forest products were flat to down 3 percent.  Intermodal revenues were down 1-5 percent.  Coal revenue growth slowed to between 1-15 percent, reflecting projected greater volume declines over the next 6-12 months.  </w:t>
      </w:r>
    </w:p>
    <w:p>
      <w:pPr>
        <w:pStyle w:val="NormalWeb"/>
        <w:spacing w:before="0" w:after="0"/>
        <w:jc w:val="both"/>
        <w:rPr>
          <w:sz w:val="22"/>
        </w:rPr>
      </w:pPr>
      <w:r>
        <w:rPr>
          <w:sz w:val="22"/>
        </w:rPr>
      </w:r>
    </w:p>
    <w:p>
      <w:pPr>
        <w:pStyle w:val="NormalWeb"/>
        <w:spacing w:before="0" w:after="0"/>
        <w:jc w:val="both"/>
        <w:rPr>
          <w:sz w:val="22"/>
        </w:rPr>
      </w:pPr>
      <w:r>
        <w:rPr>
          <w:sz w:val="22"/>
        </w:rPr>
        <w:t xml:space="preserve">For the most recent quarter, Burlington Northern and CSX reported lower net income, though CSX made enough efficiency gains to post increases in operating earnings.  CSX freight volumes were down 2.6 percent versus a year ago.  </w:t>
      </w:r>
    </w:p>
    <w:p>
      <w:pPr>
        <w:pStyle w:val="NormalWeb"/>
        <w:spacing w:before="0" w:after="0"/>
        <w:jc w:val="both"/>
        <w:rPr>
          <w:sz w:val="22"/>
        </w:rPr>
      </w:pPr>
      <w:r>
        <w:rPr>
          <w:sz w:val="22"/>
        </w:rPr>
      </w:r>
    </w:p>
    <w:p>
      <w:pPr>
        <w:pStyle w:val="NormalWeb"/>
        <w:spacing w:before="0" w:after="0"/>
        <w:jc w:val="both"/>
        <w:rPr>
          <w:b/>
          <w:bCs/>
          <w:color w:val="000080"/>
        </w:rPr>
      </w:pPr>
      <w:r>
        <w:rPr>
          <w:b/>
          <w:bCs/>
          <w:color w:val="000080"/>
        </w:rPr>
        <w:t>Contract price increases</w:t>
      </w:r>
    </w:p>
    <w:p>
      <w:pPr>
        <w:pStyle w:val="Normal"/>
        <w:jc w:val="both"/>
        <w:rPr>
          <w:sz w:val="22"/>
        </w:rPr>
      </w:pPr>
      <w:r>
        <w:rPr>
          <w:sz w:val="22"/>
        </w:rPr>
        <w:t xml:space="preserve">Burlington Northern and the rest of the major railroads have been putting through price increases. CSX reported $100 million in price increases for 2000, expects $135 million in price increases in 2001 and forecasts $135+ million of new pricing improvements for 2002.  Since trucks are generally 20-30 percent more expensive for customers to ship freight, railroads already have a cost advantage—the key is for them to provide quality service.  If shippers are convinced that rail service is satisfactory, rails can push through small 2-3 percent price increases and shippers will still view rails as a better alternative from a cost standpoint than trucks.  Thus, rails have been able to increase their yields to somewhat offset the prevailing traffic weakness. </w:t>
      </w:r>
    </w:p>
    <w:p>
      <w:pPr>
        <w:pStyle w:val="NormalWeb"/>
        <w:spacing w:before="0" w:after="0"/>
        <w:jc w:val="both"/>
        <w:rPr>
          <w:sz w:val="22"/>
        </w:rPr>
      </w:pPr>
      <w:r>
        <w:rPr>
          <w:sz w:val="22"/>
        </w:rPr>
      </w:r>
    </w:p>
    <w:p>
      <w:pPr>
        <w:pStyle w:val="Normal"/>
        <w:jc w:val="both"/>
        <w:rPr>
          <w:sz w:val="22"/>
        </w:rPr>
      </w:pPr>
      <w:r>
        <w:rPr>
          <w:sz w:val="22"/>
        </w:rPr>
        <w:t>Analysts note that while such contracts are confidential, railroads appear to be fairly successful at retaining and attracting customers while still raising rates.  Rails have been able to push through price increases and that the most important factor is reliability.  Cooperation between rails such as CSX and Union Pacific, which are running direct transit lines together, helps to increase the likelihood of on-time shipping.</w:t>
      </w:r>
    </w:p>
    <w:p>
      <w:pPr>
        <w:pStyle w:val="NormalWeb"/>
        <w:spacing w:before="0" w:after="0"/>
        <w:jc w:val="both"/>
        <w:rPr>
          <w:sz w:val="22"/>
        </w:rPr>
      </w:pPr>
      <w:r>
        <w:rPr>
          <w:sz w:val="22"/>
        </w:rPr>
      </w:r>
    </w:p>
    <w:p>
      <w:pPr>
        <w:pStyle w:val="NormalWeb"/>
        <w:spacing w:before="0" w:after="0"/>
        <w:jc w:val="both"/>
        <w:rPr>
          <w:sz w:val="22"/>
        </w:rPr>
      </w:pPr>
      <w:r>
        <w:rPr>
          <w:sz w:val="22"/>
        </w:rPr>
        <w:t xml:space="preserve">Union Pacific rose slightly on productivity gains and strong coal shipments.  The nation’s largest hauler of chemicals and one of the largest intermodal carriers saw revenues from hauling coal increasing 4 percent as electric utilities replenished coal stockpiles.  Revenue from hauling industrial products, including lumber and construction materials, rose 3 percent.  Other commodities did poorly: automotive was down 10 percent, chemicals down 55 percent, and intermodal was down 1 percent.  </w:t>
      </w:r>
    </w:p>
    <w:p>
      <w:pPr>
        <w:pStyle w:val="NormalWeb"/>
        <w:spacing w:before="0" w:after="0"/>
        <w:jc w:val="both"/>
        <w:rPr>
          <w:sz w:val="22"/>
        </w:rPr>
      </w:pPr>
      <w:r>
        <w:rPr>
          <w:sz w:val="22"/>
        </w:rPr>
      </w:r>
    </w:p>
    <w:p>
      <w:pPr>
        <w:pStyle w:val="NormalWeb"/>
        <w:spacing w:before="0" w:after="0"/>
        <w:jc w:val="both"/>
        <w:rPr>
          <w:sz w:val="22"/>
        </w:rPr>
      </w:pPr>
      <w:r>
        <w:rPr>
          <w:sz w:val="22"/>
        </w:rPr>
        <w:t xml:space="preserve">Union Pacific’s finished vehicle business—which also includes delivery of all DaimlerChrysler AG's vehicles in the West, a seven-year contract that it took from Burlington Northern last year—could total about $1.2 billion this year.  The company also snagged from Burlington Northern a shipping contract to move five tons of coal from Wyoming's energy-rich Powder River Basin.  While others may argue that Union Pacific lowballed the offer because they aren’t making much money on it in terms of margins, the company had more direct routes for the major gateways and especially into Mexico.  Therefore, Union Pacific had an advantage in competing for these contracts. </w:t>
      </w:r>
    </w:p>
    <w:p>
      <w:pPr>
        <w:pStyle w:val="Heading3"/>
        <w:numPr>
          <w:ilvl w:val="0"/>
          <w:numId w:val="0"/>
        </w:numPr>
        <w:ind w:hanging="0" w:start="0"/>
        <w:rPr>
          <w:b w:val="false"/>
          <w:sz w:val="22"/>
        </w:rPr>
      </w:pPr>
      <w:r>
        <w:rPr>
          <w:b w:val="false"/>
          <w:sz w:val="22"/>
        </w:rPr>
      </w:r>
    </w:p>
    <w:p>
      <w:pPr>
        <w:pStyle w:val="Heading3"/>
        <w:numPr>
          <w:ilvl w:val="0"/>
          <w:numId w:val="0"/>
        </w:numPr>
        <w:ind w:hanging="0" w:start="0"/>
        <w:rPr>
          <w:color w:val="000080"/>
        </w:rPr>
      </w:pPr>
      <w:r>
        <w:rPr>
          <w:color w:val="000080"/>
        </w:rPr>
        <w:t>Capital expenses and bond issuances</w:t>
      </w:r>
    </w:p>
    <w:p>
      <w:pPr>
        <w:pStyle w:val="Normal"/>
        <w:jc w:val="both"/>
        <w:rPr>
          <w:sz w:val="22"/>
        </w:rPr>
      </w:pPr>
      <w:r>
        <w:rPr>
          <w:sz w:val="22"/>
        </w:rPr>
        <w:t xml:space="preserve">Analysts expect continued discipline in terms of capital expenditure programs in 2002.  Bank of America recently forecast lower new bond issuance volumes in 2002 versus 2001 as a result of reduced merger and acquisition activity and increased cash flow.  The report explains that railroads remain focused on cost containment and more capital expenditure discipline, which leads to less outside financing. </w:t>
      </w:r>
    </w:p>
    <w:p>
      <w:pPr>
        <w:pStyle w:val="Normal"/>
        <w:jc w:val="both"/>
        <w:rPr>
          <w:sz w:val="22"/>
        </w:rPr>
      </w:pPr>
      <w:r>
        <w:rPr>
          <w:sz w:val="22"/>
        </w:rPr>
      </w:r>
    </w:p>
    <w:p>
      <w:pPr>
        <w:pStyle w:val="Normal"/>
        <w:jc w:val="both"/>
        <w:rPr>
          <w:sz w:val="22"/>
        </w:rPr>
      </w:pPr>
      <w:r>
        <w:rPr>
          <w:sz w:val="22"/>
        </w:rPr>
        <w:t xml:space="preserve">CSX reports full year capital expenditures at around $950 million, with 2002 estimates in the same range.  Burlington Northern recently reduced capital expenses by $100 million to $1.6 billion in 2001 and declared $358 million of free cash flow after dividends for the first nine months of 2001. The railroad mostly deployed excess cash through share repurchases. </w:t>
      </w:r>
    </w:p>
    <w:p>
      <w:pPr>
        <w:pStyle w:val="Normal"/>
        <w:jc w:val="both"/>
        <w:rPr>
          <w:sz w:val="22"/>
        </w:rPr>
      </w:pPr>
      <w:r>
        <w:rPr>
          <w:sz w:val="22"/>
        </w:rPr>
      </w:r>
    </w:p>
    <w:p>
      <w:pPr>
        <w:pStyle w:val="Normal"/>
        <w:rPr>
          <w:sz w:val="22"/>
        </w:rPr>
      </w:pPr>
      <w:r>
        <w:rPr>
          <w:sz w:val="22"/>
        </w:rPr>
        <w:t>Analysts note that Burlington has a good amount of cash and might eventually deploy it to purchase a smaller railroad such as Kansas City Southern, although such an acquisition isn’t imminent.  Burlington’s debt to capital ratio is pretty much where they want.  They could issue bonds but they may not need to—they may refinance some fixed income instruments.  At present, there is no urgency for them to do anything major to their capital structure and will continue to repurchase shares.</w:t>
      </w:r>
    </w:p>
    <w:p>
      <w:pPr>
        <w:pStyle w:val="Normal"/>
        <w:rPr>
          <w:sz w:val="22"/>
        </w:rPr>
      </w:pPr>
      <w:r>
        <w:rPr>
          <w:sz w:val="22"/>
        </w:rPr>
      </w:r>
    </w:p>
    <w:p>
      <w:pPr>
        <w:pStyle w:val="Heading2"/>
        <w:numPr>
          <w:ilvl w:val="0"/>
          <w:numId w:val="0"/>
        </w:numPr>
        <w:ind w:hanging="0" w:start="0"/>
        <w:rPr>
          <w:b/>
          <w:bCs/>
          <w:color w:val="000080"/>
        </w:rPr>
      </w:pPr>
      <w:r>
        <w:rPr>
          <w:b/>
          <w:bCs/>
          <w:color w:val="000080"/>
        </w:rPr>
        <w:t>Asset and workforce management</w:t>
      </w:r>
    </w:p>
    <w:p>
      <w:pPr>
        <w:pStyle w:val="Normal"/>
        <w:jc w:val="both"/>
        <w:rPr>
          <w:sz w:val="22"/>
        </w:rPr>
      </w:pPr>
      <w:r>
        <w:rPr>
          <w:sz w:val="22"/>
        </w:rPr>
        <w:t xml:space="preserve">Railroads are focusing heavily on workforce reductions, since headcount represents anywhere from 25-40 percent of total operating expenses.  According to Banc of America, the industry’s focus on cost containment and more disciplined capital spending allowed for an average operating income improvement of nearly 1 percent, despite a weak top line.  CSX has been the most successful in cutting costs and putting through price increases while Burlington Northern has been the least successful in those two areas. </w:t>
      </w:r>
    </w:p>
    <w:p>
      <w:pPr>
        <w:pStyle w:val="Normal"/>
        <w:jc w:val="both"/>
        <w:rPr>
          <w:sz w:val="22"/>
        </w:rPr>
      </w:pPr>
      <w:r>
        <w:rPr>
          <w:sz w:val="22"/>
        </w:rPr>
      </w:r>
    </w:p>
    <w:p>
      <w:pPr>
        <w:pStyle w:val="Normal"/>
        <w:rPr>
          <w:sz w:val="22"/>
        </w:rPr>
      </w:pPr>
      <w:r>
        <w:rPr>
          <w:sz w:val="22"/>
        </w:rPr>
        <w:t>Burlington is taking a special Q4 2001 charge relating to workforce reductions.  They have recently reported lowering expenses partly by reducing non-union supervisory as well as clerical positions.</w:t>
      </w:r>
    </w:p>
    <w:p>
      <w:pPr>
        <w:pStyle w:val="Normal"/>
        <w:rPr>
          <w:sz w:val="22"/>
        </w:rPr>
      </w:pPr>
      <w:r>
        <w:rPr>
          <w:sz w:val="22"/>
        </w:rPr>
      </w:r>
    </w:p>
    <w:p>
      <w:pPr>
        <w:pStyle w:val="Normal"/>
        <w:rPr>
          <w:b/>
          <w:bCs/>
          <w:color w:val="000080"/>
          <w:sz w:val="24"/>
        </w:rPr>
      </w:pPr>
      <w:r>
        <w:rPr>
          <w:b/>
          <w:bCs/>
          <w:color w:val="000080"/>
          <w:sz w:val="24"/>
        </w:rPr>
        <w:t>Security costs</w:t>
      </w:r>
    </w:p>
    <w:p>
      <w:pPr>
        <w:pStyle w:val="Normal"/>
        <w:jc w:val="both"/>
        <w:rPr/>
      </w:pPr>
      <w:r>
        <w:rPr>
          <w:sz w:val="22"/>
        </w:rPr>
        <w:t>Industry consensus appears to be that increased security requirements should not have a material impact on earnings.  For example, CSX estimates $4 million in annualized costs for heightened security compliance measures.</w:t>
      </w:r>
      <w:r>
        <w:rPr>
          <w:b/>
          <w:bCs/>
          <w:sz w:val="22"/>
        </w:rPr>
        <w:t xml:space="preserve">  </w:t>
      </w:r>
    </w:p>
    <w:p>
      <w:pPr>
        <w:pStyle w:val="Normal"/>
        <w:jc w:val="both"/>
        <w:rPr>
          <w:b/>
          <w:bCs/>
          <w:sz w:val="22"/>
        </w:rPr>
      </w:pPr>
      <w:r>
        <w:rPr>
          <w:b/>
          <w:bCs/>
          <w:sz w:val="22"/>
        </w:rPr>
      </w:r>
    </w:p>
    <w:p>
      <w:pPr>
        <w:pStyle w:val="Normal"/>
        <w:rPr/>
      </w:pPr>
      <w:r>
        <w:rPr>
          <w:sz w:val="22"/>
        </w:rPr>
        <w:t>Analysts also believe that</w:t>
      </w:r>
      <w:r>
        <w:rPr>
          <w:b/>
          <w:bCs/>
          <w:sz w:val="22"/>
        </w:rPr>
        <w:t xml:space="preserve"> </w:t>
      </w:r>
      <w:r>
        <w:rPr>
          <w:sz w:val="22"/>
        </w:rPr>
        <w:t>increased security requirements are not a big concern.  Border traffic, especially between Canada and the U.S., has been relatively smooth following the attacks.  However, rails have been understandably secretive about their security measures.  If rails were targeted for an attack, security costs would significantly escalate.</w:t>
      </w:r>
    </w:p>
    <w:p>
      <w:pPr>
        <w:pStyle w:val="Normal"/>
        <w:rPr>
          <w:sz w:val="22"/>
        </w:rPr>
      </w:pPr>
      <w:r>
        <w:rPr>
          <w:sz w:val="22"/>
        </w:rPr>
      </w:r>
    </w:p>
    <w:p>
      <w:pPr>
        <w:pStyle w:val="NormalWeb"/>
        <w:spacing w:before="0" w:after="0"/>
        <w:jc w:val="both"/>
        <w:rPr>
          <w:b/>
          <w:bCs/>
          <w:color w:val="000080"/>
        </w:rPr>
      </w:pPr>
      <w:r>
        <w:rPr>
          <w:b/>
          <w:bCs/>
          <w:color w:val="000080"/>
        </w:rPr>
        <w:t>Fuel supply concerns</w:t>
      </w:r>
    </w:p>
    <w:p>
      <w:pPr>
        <w:pStyle w:val="NormalWeb"/>
        <w:spacing w:before="0" w:after="0"/>
        <w:jc w:val="both"/>
        <w:rPr>
          <w:sz w:val="22"/>
        </w:rPr>
      </w:pPr>
      <w:r>
        <w:rPr>
          <w:sz w:val="22"/>
        </w:rPr>
        <w:t>The major rail operators burn, on average, in excess of 1.3 billion gallons of diesel fuel annually for its locomotives and trucks, making them the biggest consumer of fuel oil in North America.  A one-cent swing in fuel prices equates to $13 million—which is one reason the rail industry is sharply concerned about present military involvements in the Middle East, especially those that can potentially disrupt the much-needed oil supply.</w:t>
      </w:r>
    </w:p>
    <w:p>
      <w:pPr>
        <w:pStyle w:val="Normal"/>
        <w:rPr>
          <w:b/>
          <w:bCs/>
          <w:sz w:val="22"/>
        </w:rPr>
      </w:pPr>
      <w:r>
        <w:rPr>
          <w:b/>
          <w:bCs/>
          <w:sz w:val="22"/>
        </w:rPr>
      </w:r>
    </w:p>
    <w:sectPr>
      <w:headerReference w:type="default" r:id="rId4"/>
      <w:footerReference w:type="default" r:id="rId5"/>
      <w:type w:val="nextPage"/>
      <w:pgSz w:w="12240" w:h="15840"/>
      <w:pgMar w:left="1440" w:right="1440" w:gutter="0" w:header="432" w:top="1440" w:footer="432"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Wingdings">
    <w:charset w:val="02"/>
    <w:family w:val="auto"/>
    <w:pitch w:val="variable"/>
  </w:font>
  <w:font w:name="Courier New">
    <w:charset w:val="00" w:characterSet="windows-1252"/>
    <w:family w:val="modern"/>
    <w:pitch w:val="default"/>
  </w:font>
  <w:font w:name="Tahoma">
    <w:charset w:val="00" w:characterSet="windows-1252"/>
    <w:family w:val="swiss"/>
    <w:pitch w:val="variable"/>
  </w:font>
  <w:font w:name="Verdana">
    <w:charset w:val="00" w:characterSet="windows-1252"/>
    <w:family w:val="swiss"/>
    <w:pitch w:val="variable"/>
  </w:font>
  <w:font w:name="Arial Unicode MS">
    <w:charset w:val="80"/>
    <w:family w:val="swiss"/>
    <w:pitch w:val="variable"/>
  </w:font>
  <w:font w:name="Helvetica">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fldChar w:fldCharType="begin"/>
    </w:r>
    <w:r>
      <w:rPr/>
      <w:instrText xml:space="preserve"> DATE \@"dddd', 'MMMM\ dd', 'yyyy" </w:instrText>
    </w:r>
    <w:r>
      <w:rPr/>
      <w:fldChar w:fldCharType="separate"/>
    </w:r>
    <w:r>
      <w:rPr/>
      <w:t>Sunday, September 28, 2025</w:t>
    </w:r>
    <w:r>
      <w:rPr/>
      <w:fldChar w:fldCharType="end"/>
    </w:r>
    <w:r>
      <mc:AlternateContent>
        <mc:Choice Requires="wps">
          <w:drawing>
            <wp:anchor behindDoc="0" distT="0" distB="0" distL="0" distR="0" simplePos="0" locked="0" layoutInCell="0" allowOverlap="1" relativeHeight="6">
              <wp:simplePos x="0" y="0"/>
              <wp:positionH relativeFrom="margin">
                <wp:align>right</wp:align>
              </wp:positionH>
              <wp:positionV relativeFrom="paragraph">
                <wp:posOffset>635</wp:posOffset>
              </wp:positionV>
              <wp:extent cx="64135" cy="146685"/>
              <wp:effectExtent l="0" t="0" r="0" b="0"/>
              <wp:wrapSquare wrapText="bothSides"/>
              <wp:docPr id="1"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62.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p>
    <w:pPr>
      <w:pStyle w:val="Footer"/>
      <w:ind w:end="36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color w:val="FF0000"/>
        <w:sz w:val="28"/>
      </w:rPr>
    </w:pPr>
    <w:r>
      <w:rPr>
        <w:b/>
        <w:color w:val="FF0000"/>
        <w:sz w:val="28"/>
      </w:rPr>
      <w:t>Confidential</w:t>
    </w:r>
  </w:p>
  <w:p>
    <w:pPr>
      <w:pStyle w:val="Header"/>
      <w:jc w:val="center"/>
      <w:rPr>
        <w:color w:val="FF0000"/>
        <w:sz w:val="28"/>
      </w:rPr>
    </w:pPr>
    <w:r>
      <w:rPr>
        <w:color w:val="FF0000"/>
        <w:sz w:val="28"/>
      </w:rPr>
      <w:t>No Further Dissemination</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360"/>
        </w:tabs>
        <w:ind w:start="0" w:hanging="0"/>
      </w:pPr>
    </w:lvl>
    <w:lvl w:ilvl="1">
      <w:start w:val="1"/>
      <w:pStyle w:val="Heading2"/>
      <w:numFmt w:val="upperLetter"/>
      <w:lvlText w:val="%2."/>
      <w:lvlJc w:val="start"/>
      <w:pPr>
        <w:tabs>
          <w:tab w:val="num" w:pos="1080"/>
        </w:tabs>
        <w:ind w:start="720" w:hanging="0"/>
      </w:pPr>
    </w:lvl>
    <w:lvl w:ilvl="2">
      <w:start w:val="1"/>
      <w:pStyle w:val="Heading3"/>
      <w:numFmt w:val="decimal"/>
      <w:lvlText w:val="%3."/>
      <w:lvlJc w:val="start"/>
      <w:pPr>
        <w:tabs>
          <w:tab w:val="num" w:pos="1800"/>
        </w:tabs>
        <w:ind w:start="1440" w:hanging="0"/>
      </w:pPr>
    </w:lvl>
    <w:lvl w:ilvl="3">
      <w:start w:val="1"/>
      <w:pStyle w:val="Heading4"/>
      <w:numFmt w:val="lowerLetter"/>
      <w:lvlText w:val="%4)"/>
      <w:lvlJc w:val="start"/>
      <w:pPr>
        <w:tabs>
          <w:tab w:val="num" w:pos="2520"/>
        </w:tabs>
        <w:ind w:start="2160" w:hanging="0"/>
      </w:pPr>
    </w:lvl>
    <w:lvl w:ilvl="4">
      <w:start w:val="1"/>
      <w:pStyle w:val="Heading5"/>
      <w:numFmt w:val="decimal"/>
      <w:lvlText w:val="(%5)"/>
      <w:lvlJc w:val="start"/>
      <w:pPr>
        <w:tabs>
          <w:tab w:val="num" w:pos="3240"/>
        </w:tabs>
        <w:ind w:start="2880" w:hanging="0"/>
      </w:pPr>
    </w:lvl>
    <w:lvl w:ilvl="5">
      <w:start w:val="1"/>
      <w:pStyle w:val="Heading6"/>
      <w:numFmt w:val="lowerLetter"/>
      <w:lvlText w:val="(%6)"/>
      <w:lvlJc w:val="start"/>
      <w:pPr>
        <w:tabs>
          <w:tab w:val="num" w:pos="3960"/>
        </w:tabs>
        <w:ind w:start="3600" w:hanging="0"/>
      </w:pPr>
    </w:lvl>
    <w:lvl w:ilvl="6">
      <w:start w:val="1"/>
      <w:pStyle w:val="Heading7"/>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32"/>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outlineLvl w:val="2"/>
    </w:pPr>
    <w:rPr>
      <w:b/>
      <w:sz w:val="24"/>
    </w:rPr>
  </w:style>
  <w:style w:type="paragraph" w:styleId="Heading4">
    <w:name w:val="heading 4"/>
    <w:basedOn w:val="Normal"/>
    <w:next w:val="Normal"/>
    <w:qFormat/>
    <w:pPr>
      <w:keepNext w:val="true"/>
      <w:numPr>
        <w:ilvl w:val="3"/>
        <w:numId w:val="1"/>
      </w:numPr>
      <w:outlineLvl w:val="3"/>
    </w:pPr>
    <w:rPr>
      <w:b/>
      <w:sz w:val="24"/>
      <w:u w:val="single"/>
    </w:rPr>
  </w:style>
  <w:style w:type="paragraph" w:styleId="Heading5">
    <w:name w:val="heading 5"/>
    <w:basedOn w:val="Normal"/>
    <w:next w:val="Normal"/>
    <w:qFormat/>
    <w:pPr>
      <w:keepNext w:val="true"/>
      <w:numPr>
        <w:ilvl w:val="4"/>
        <w:numId w:val="1"/>
      </w:numPr>
      <w:outlineLvl w:val="4"/>
    </w:pPr>
    <w:rPr>
      <w:sz w:val="24"/>
    </w:rPr>
  </w:style>
  <w:style w:type="paragraph" w:styleId="Heading6">
    <w:name w:val="heading 6"/>
    <w:basedOn w:val="Normal"/>
    <w:next w:val="Normal"/>
    <w:qFormat/>
    <w:pPr>
      <w:keepNext w:val="true"/>
      <w:numPr>
        <w:ilvl w:val="5"/>
        <w:numId w:val="1"/>
      </w:numPr>
      <w:outlineLvl w:val="5"/>
    </w:pPr>
    <w:rPr>
      <w:b/>
      <w:i/>
      <w:sz w:val="24"/>
    </w:rPr>
  </w:style>
  <w:style w:type="paragraph" w:styleId="Heading7">
    <w:name w:val="heading 7"/>
    <w:basedOn w:val="Normal"/>
    <w:next w:val="Normal"/>
    <w:qFormat/>
    <w:pPr>
      <w:keepNext w:val="true"/>
      <w:numPr>
        <w:ilvl w:val="6"/>
        <w:numId w:val="1"/>
      </w:numPr>
      <w:outlineLvl w:val="6"/>
    </w:pPr>
    <w:rPr>
      <w:sz w:val="24"/>
      <w:u w:val="single"/>
    </w:rPr>
  </w:style>
  <w:style w:type="paragraph" w:styleId="Heading8">
    <w:name w:val="heading 8"/>
    <w:basedOn w:val="Normal"/>
    <w:next w:val="Normal"/>
    <w:qFormat/>
    <w:pPr>
      <w:keepNext w:val="true"/>
      <w:numPr>
        <w:ilvl w:val="7"/>
        <w:numId w:val="1"/>
      </w:numPr>
      <w:outlineLvl w:val="7"/>
    </w:pPr>
    <w:rPr>
      <w:i/>
      <w:sz w:val="24"/>
    </w:rPr>
  </w:style>
  <w:style w:type="paragraph" w:styleId="Heading9">
    <w:name w:val="heading 9"/>
    <w:basedOn w:val="Normal"/>
    <w:next w:val="Normal"/>
    <w:qFormat/>
    <w:pPr>
      <w:keepNext w:val="true"/>
      <w:numPr>
        <w:ilvl w:val="8"/>
        <w:numId w:val="1"/>
      </w:numPr>
      <w:outlineLvl w:val="8"/>
    </w:pPr>
    <w:rPr>
      <w:rFonts w:ascii="Garamond" w:hAnsi="Garamond" w:cs="Garamond"/>
      <w:sz w:val="24"/>
    </w:rPr>
  </w:style>
  <w:style w:type="character" w:styleId="WW8Num1z0">
    <w:name w:val="WW8Num1z0"/>
    <w:qFormat/>
    <w:rPr/>
  </w:style>
  <w:style w:type="character" w:styleId="WW8Num2z0">
    <w:name w:val="WW8Num2z0"/>
    <w:qFormat/>
    <w:rPr>
      <w:rFonts w:ascii="Wingdings" w:hAnsi="Wingdings" w:cs="Wingdings"/>
      <w:sz w:val="16"/>
    </w:rPr>
  </w:style>
  <w:style w:type="character" w:styleId="WW8Num3z0">
    <w:name w:val="WW8Num3z0"/>
    <w:qFormat/>
    <w:rPr>
      <w:b w:val="false"/>
      <w:i w:val="false"/>
    </w:rPr>
  </w:style>
  <w:style w:type="character" w:styleId="WW8Num4z0">
    <w:name w:val="WW8Num4z0"/>
    <w:qFormat/>
    <w:rPr/>
  </w:style>
  <w:style w:type="character" w:styleId="WW8Num5z0">
    <w:name w:val="WW8Num5z0"/>
    <w:qFormat/>
    <w:rPr/>
  </w:style>
  <w:style w:type="character" w:styleId="WW8Num6z0">
    <w:name w:val="WW8Num6z0"/>
    <w:qFormat/>
    <w:rPr>
      <w:b/>
      <w:i w:val="false"/>
    </w:rPr>
  </w:style>
  <w:style w:type="character" w:styleId="WW8Num7z0">
    <w:name w:val="WW8Num7z0"/>
    <w:qFormat/>
    <w:rPr>
      <w:b/>
      <w:i w:val="false"/>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style>
  <w:style w:type="character" w:styleId="WW8Num11z0">
    <w:name w:val="WW8Num11z0"/>
    <w:qFormat/>
    <w:rPr>
      <w:b w:val="false"/>
      <w:i w:val="false"/>
    </w:rPr>
  </w:style>
  <w:style w:type="character" w:styleId="WW8Num12z0">
    <w:name w:val="WW8Num12z0"/>
    <w:qFormat/>
    <w:rPr>
      <w:rFonts w:ascii="Symbol" w:hAnsi="Symbol" w:cs="Symbol"/>
      <w:spacing w:val="0"/>
      <w:position w:val="0"/>
      <w:sz w:val="20"/>
      <w:sz w:val="20"/>
      <w:vertAlign w:val="baseline"/>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style>
  <w:style w:type="character" w:styleId="WW8Num14z0">
    <w:name w:val="WW8Num14z0"/>
    <w:qFormat/>
    <w:rPr>
      <w:b/>
      <w:i w:val="false"/>
    </w:rPr>
  </w:style>
  <w:style w:type="character" w:styleId="WW8Num15z0">
    <w:name w:val="WW8Num15z0"/>
    <w:qFormat/>
    <w:rPr/>
  </w:style>
  <w:style w:type="character" w:styleId="WW8Num16z0">
    <w:name w:val="WW8Num16z0"/>
    <w:qFormat/>
    <w:rPr/>
  </w:style>
  <w:style w:type="character" w:styleId="WW8Num17z0">
    <w:name w:val="WW8Num17z0"/>
    <w:qFormat/>
    <w:rPr>
      <w:rFonts w:ascii="Symbol" w:hAnsi="Symbol" w:cs="Symbol"/>
    </w:rPr>
  </w:style>
  <w:style w:type="character" w:styleId="WW8Num18z0">
    <w:name w:val="WW8Num18z0"/>
    <w:qFormat/>
    <w:rPr>
      <w:rFonts w:ascii="Wingdings" w:hAnsi="Wingdings" w:cs="Wingdings"/>
      <w:sz w:val="16"/>
    </w:rPr>
  </w:style>
  <w:style w:type="character" w:styleId="WW8Num19z0">
    <w:name w:val="WW8Num19z0"/>
    <w:qFormat/>
    <w:rPr/>
  </w:style>
  <w:style w:type="character" w:styleId="WW8Num20z0">
    <w:name w:val="WW8Num20z0"/>
    <w:qFormat/>
    <w:rPr/>
  </w:style>
  <w:style w:type="character" w:styleId="WW8Num22z0">
    <w:name w:val="WW8Num22z0"/>
    <w:qFormat/>
    <w:rPr>
      <w:b/>
      <w:i w:val="false"/>
    </w:rPr>
  </w:style>
  <w:style w:type="character" w:styleId="WW8Num23z0">
    <w:name w:val="WW8Num23z0"/>
    <w:qFormat/>
    <w:rPr>
      <w:rFonts w:ascii="Symbol" w:hAnsi="Symbol" w:cs="Symbol"/>
      <w:color w:val="auto"/>
    </w:rPr>
  </w:style>
  <w:style w:type="character" w:styleId="WW8Num24z0">
    <w:name w:val="WW8Num24z0"/>
    <w:qFormat/>
    <w:rPr>
      <w:rFonts w:ascii="Symbol" w:hAnsi="Symbol" w:cs="Symbol"/>
      <w:color w:val="auto"/>
      <w:sz w:val="28"/>
    </w:rPr>
  </w:style>
  <w:style w:type="character" w:styleId="WW8Num25z0">
    <w:name w:val="WW8Num25z0"/>
    <w:qFormat/>
    <w:rPr>
      <w:rFonts w:ascii="Symbol" w:hAnsi="Symbol" w:cs="Symbol"/>
    </w:rPr>
  </w:style>
  <w:style w:type="character" w:styleId="WW8Num26z0">
    <w:name w:val="WW8Num26z0"/>
    <w:qFormat/>
    <w:rPr/>
  </w:style>
  <w:style w:type="character" w:styleId="WW8Num27z0">
    <w:name w:val="WW8Num27z0"/>
    <w:qFormat/>
    <w:rPr/>
  </w:style>
  <w:style w:type="character" w:styleId="WW8Num29z0">
    <w:name w:val="WW8Num29z0"/>
    <w:qFormat/>
    <w:rPr>
      <w:b/>
    </w:rPr>
  </w:style>
  <w:style w:type="character" w:styleId="WW8Num30z0">
    <w:name w:val="WW8Num30z0"/>
    <w:qFormat/>
    <w:rPr/>
  </w:style>
  <w:style w:type="character" w:styleId="WW8Num31z0">
    <w:name w:val="WW8Num31z0"/>
    <w:qFormat/>
    <w:rPr>
      <w:b/>
      <w:i w:val="false"/>
    </w:rPr>
  </w:style>
  <w:style w:type="character" w:styleId="WW8Num32z0">
    <w:name w:val="WW8Num32z0"/>
    <w:qFormat/>
    <w:rPr>
      <w:b w:val="false"/>
      <w:i w:val="false"/>
    </w:rPr>
  </w:style>
  <w:style w:type="character" w:styleId="WW8Num33z0">
    <w:name w:val="WW8Num33z0"/>
    <w:qFormat/>
    <w:rPr>
      <w:rFonts w:ascii="Symbol" w:hAnsi="Symbol" w:cs="Symbol"/>
    </w:rPr>
  </w:style>
  <w:style w:type="character" w:styleId="WW8Num34z0">
    <w:name w:val="WW8Num34z0"/>
    <w:qFormat/>
    <w:rPr/>
  </w:style>
  <w:style w:type="character" w:styleId="WW8Num35z0">
    <w:name w:val="WW8Num35z0"/>
    <w:qFormat/>
    <w:rPr>
      <w:rFonts w:ascii="Symbol" w:hAnsi="Symbol" w:cs="Symbol"/>
      <w:color w:val="auto"/>
      <w:sz w:val="20"/>
    </w:rPr>
  </w:style>
  <w:style w:type="character" w:styleId="WW8Num36z0">
    <w:name w:val="WW8Num36z0"/>
    <w:qFormat/>
    <w:rPr>
      <w:b/>
      <w:i w:val="false"/>
    </w:rPr>
  </w:style>
  <w:style w:type="character" w:styleId="WW8Num38z0">
    <w:name w:val="WW8Num38z0"/>
    <w:qFormat/>
    <w:rPr>
      <w:b/>
      <w:i w:val="false"/>
    </w:rPr>
  </w:style>
  <w:style w:type="character" w:styleId="WW8Num40z0">
    <w:name w:val="WW8Num40z0"/>
    <w:qFormat/>
    <w:rPr>
      <w:rFonts w:ascii="Symbol" w:hAnsi="Symbol" w:cs="Symbol"/>
      <w:spacing w:val="0"/>
      <w:position w:val="0"/>
      <w:sz w:val="20"/>
      <w:sz w:val="20"/>
      <w:vertAlign w:val="baseline"/>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0z3">
    <w:name w:val="WW8Num40z3"/>
    <w:qFormat/>
    <w:rPr>
      <w:rFonts w:ascii="Symbol" w:hAnsi="Symbol" w:cs="Symbol"/>
    </w:rPr>
  </w:style>
  <w:style w:type="character" w:styleId="WW8Num41z0">
    <w:name w:val="WW8Num41z0"/>
    <w:qFormat/>
    <w:rPr>
      <w:b/>
    </w:rPr>
  </w:style>
  <w:style w:type="character" w:styleId="WW8Num42z0">
    <w:name w:val="WW8Num42z0"/>
    <w:qFormat/>
    <w:rPr>
      <w:b/>
      <w:i w:val="false"/>
    </w:rPr>
  </w:style>
  <w:style w:type="character" w:styleId="WW8Num43z0">
    <w:name w:val="WW8Num43z0"/>
    <w:qFormat/>
    <w:rPr/>
  </w:style>
  <w:style w:type="character" w:styleId="WW8Num44z0">
    <w:name w:val="WW8Num44z0"/>
    <w:qFormat/>
    <w:rPr/>
  </w:style>
  <w:style w:type="character" w:styleId="WW8Num45z0">
    <w:name w:val="WW8Num45z0"/>
    <w:qFormat/>
    <w:rPr>
      <w:rFonts w:ascii="Symbol" w:hAnsi="Symbol" w:cs="Symbol"/>
    </w:rPr>
  </w:style>
  <w:style w:type="character" w:styleId="WW8Num48z0">
    <w:name w:val="WW8Num48z0"/>
    <w:qFormat/>
    <w:rPr>
      <w:rFonts w:ascii="Symbol" w:hAnsi="Symbol" w:cs="Symbol"/>
      <w:sz w:val="20"/>
    </w:rPr>
  </w:style>
  <w:style w:type="character" w:styleId="WW8Num49z0">
    <w:name w:val="WW8Num49z0"/>
    <w:qFormat/>
    <w:rPr>
      <w:rFonts w:ascii="Symbol" w:hAnsi="Symbol" w:cs="Symbol"/>
    </w:rPr>
  </w:style>
  <w:style w:type="character" w:styleId="WW8Num49z1">
    <w:name w:val="WW8Num49z1"/>
    <w:qFormat/>
    <w:rPr>
      <w:rFonts w:ascii="Courier New" w:hAnsi="Courier New" w:cs="Courier New"/>
    </w:rPr>
  </w:style>
  <w:style w:type="character" w:styleId="WW8Num49z2">
    <w:name w:val="WW8Num49z2"/>
    <w:qFormat/>
    <w:rPr>
      <w:rFonts w:ascii="Wingdings" w:hAnsi="Wingdings" w:cs="Wingdings"/>
    </w:rPr>
  </w:style>
  <w:style w:type="character" w:styleId="WW8Num50z0">
    <w:name w:val="WW8Num50z0"/>
    <w:qFormat/>
    <w:rPr>
      <w:rFonts w:ascii="Symbol" w:hAnsi="Symbol" w:cs="Symbol"/>
    </w:rPr>
  </w:style>
  <w:style w:type="character" w:styleId="WW8Num51z0">
    <w:name w:val="WW8Num51z0"/>
    <w:qFormat/>
    <w:rPr>
      <w:rFonts w:ascii="Symbol" w:hAnsi="Symbol" w:cs="Symbol"/>
      <w:color w:val="auto"/>
    </w:rPr>
  </w:style>
  <w:style w:type="character" w:styleId="WW8Num52z0">
    <w:name w:val="WW8Num52z0"/>
    <w:qFormat/>
    <w:rPr>
      <w:rFonts w:ascii="Symbol" w:hAnsi="Symbol" w:cs="Symbol"/>
      <w:color w:val="auto"/>
      <w:sz w:val="20"/>
    </w:rPr>
  </w:style>
  <w:style w:type="character" w:styleId="WW8Num53z0">
    <w:name w:val="WW8Num53z0"/>
    <w:qFormat/>
    <w:rPr>
      <w:b w:val="false"/>
      <w:i w:val="false"/>
    </w:rPr>
  </w:style>
  <w:style w:type="character" w:styleId="WW8Num54z0">
    <w:name w:val="WW8Num54z0"/>
    <w:qFormat/>
    <w:rPr>
      <w:rFonts w:ascii="Symbol" w:hAnsi="Symbol" w:cs="Symbol"/>
    </w:rPr>
  </w:style>
  <w:style w:type="character" w:styleId="WW8Num55z0">
    <w:name w:val="WW8Num55z0"/>
    <w:qFormat/>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style>
  <w:style w:type="character" w:styleId="WW8Num59z0">
    <w:name w:val="WW8Num59z0"/>
    <w:qFormat/>
    <w:rPr/>
  </w:style>
  <w:style w:type="character" w:styleId="WW8Num60z0">
    <w:name w:val="WW8Num60z0"/>
    <w:qFormat/>
    <w:rPr>
      <w:rFonts w:ascii="Symbol" w:hAnsi="Symbol" w:cs="Symbol"/>
      <w:color w:val="auto"/>
    </w:rPr>
  </w:style>
  <w:style w:type="character" w:styleId="WW8Num61z0">
    <w:name w:val="WW8Num61z0"/>
    <w:qFormat/>
    <w:rPr>
      <w:b w:val="false"/>
      <w:i w:val="false"/>
    </w:rPr>
  </w:style>
  <w:style w:type="character" w:styleId="WW8Num62z0">
    <w:name w:val="WW8Num62z0"/>
    <w:qFormat/>
    <w:rPr>
      <w:b/>
      <w:i w:val="false"/>
    </w:rPr>
  </w:style>
  <w:style w:type="character" w:styleId="WW8Num63z0">
    <w:name w:val="WW8Num63z0"/>
    <w:qFormat/>
    <w:rPr>
      <w:rFonts w:ascii="Symbol" w:hAnsi="Symbol" w:cs="Symbol"/>
      <w:color w:val="auto"/>
      <w:sz w:val="28"/>
    </w:rPr>
  </w:style>
  <w:style w:type="character" w:styleId="WW8Num64z0">
    <w:name w:val="WW8Num64z0"/>
    <w:qFormat/>
    <w:rPr>
      <w:rFonts w:ascii="Symbol" w:hAnsi="Symbol" w:cs="Symbol"/>
      <w:color w:val="FF0000"/>
    </w:rPr>
  </w:style>
  <w:style w:type="character" w:styleId="WW8Num65z0">
    <w:name w:val="WW8Num65z0"/>
    <w:qFormat/>
    <w:rPr>
      <w:rFonts w:ascii="Symbol" w:hAnsi="Symbol" w:cs="Symbol"/>
    </w:rPr>
  </w:style>
  <w:style w:type="character" w:styleId="WW8Num66z0">
    <w:name w:val="WW8Num66z0"/>
    <w:qFormat/>
    <w:rPr>
      <w:rFonts w:ascii="Symbol" w:hAnsi="Symbol" w:cs="Symbol"/>
      <w:color w:val="FF0000"/>
    </w:rPr>
  </w:style>
  <w:style w:type="character" w:styleId="WW8Num68z0">
    <w:name w:val="WW8Num68z0"/>
    <w:qFormat/>
    <w:rPr/>
  </w:style>
  <w:style w:type="character" w:styleId="WW8Num69z0">
    <w:name w:val="WW8Num69z0"/>
    <w:qFormat/>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rFonts w:ascii="Symbol" w:hAnsi="Symbol" w:cs="Symbol"/>
      <w:spacing w:val="0"/>
      <w:position w:val="0"/>
      <w:sz w:val="20"/>
      <w:sz w:val="20"/>
      <w:vertAlign w:val="baseline"/>
    </w:rPr>
  </w:style>
  <w:style w:type="character" w:styleId="WW8Num72z1">
    <w:name w:val="WW8Num72z1"/>
    <w:qFormat/>
    <w:rPr>
      <w:rFonts w:ascii="Courier New" w:hAnsi="Courier New" w:cs="Courier New"/>
    </w:rPr>
  </w:style>
  <w:style w:type="character" w:styleId="WW8Num72z2">
    <w:name w:val="WW8Num72z2"/>
    <w:qFormat/>
    <w:rPr>
      <w:rFonts w:ascii="Wingdings" w:hAnsi="Wingdings" w:cs="Wingdings"/>
    </w:rPr>
  </w:style>
  <w:style w:type="character" w:styleId="WW8Num72z3">
    <w:name w:val="WW8Num72z3"/>
    <w:qFormat/>
    <w:rPr>
      <w:rFonts w:ascii="Symbol" w:hAnsi="Symbol" w:cs="Symbol"/>
    </w:rPr>
  </w:style>
  <w:style w:type="character" w:styleId="WW8Num73z0">
    <w:name w:val="WW8Num73z0"/>
    <w:qFormat/>
    <w:rPr>
      <w:rFonts w:ascii="Symbol" w:hAnsi="Symbol" w:cs="Symbol"/>
    </w:rPr>
  </w:style>
  <w:style w:type="character" w:styleId="WW8Num74z0">
    <w:name w:val="WW8Num74z0"/>
    <w:qFormat/>
    <w:rPr/>
  </w:style>
  <w:style w:type="character" w:styleId="WW8Num75z0">
    <w:name w:val="WW8Num75z0"/>
    <w:qFormat/>
    <w:rPr>
      <w:rFonts w:ascii="Symbol" w:hAnsi="Symbol" w:cs="Symbol"/>
      <w:color w:val="FF0000"/>
    </w:rPr>
  </w:style>
  <w:style w:type="character" w:styleId="WW8Num76z0">
    <w:name w:val="WW8Num76z0"/>
    <w:qFormat/>
    <w:rPr>
      <w:rFonts w:ascii="Symbol" w:hAnsi="Symbol" w:cs="Symbol"/>
    </w:rPr>
  </w:style>
  <w:style w:type="character" w:styleId="WW8Num77z0">
    <w:name w:val="WW8Num77z0"/>
    <w:qFormat/>
    <w:rPr>
      <w:b w:val="false"/>
      <w:i w:val="false"/>
    </w:rPr>
  </w:style>
  <w:style w:type="character" w:styleId="WW8Num78z0">
    <w:name w:val="WW8Num78z0"/>
    <w:qFormat/>
    <w:rPr/>
  </w:style>
  <w:style w:type="character" w:styleId="WW8Num79z0">
    <w:name w:val="WW8Num79z0"/>
    <w:qFormat/>
    <w:rPr>
      <w:b/>
    </w:rPr>
  </w:style>
  <w:style w:type="character" w:styleId="WW8Num80z0">
    <w:name w:val="WW8Num80z0"/>
    <w:qFormat/>
    <w:rPr>
      <w:b/>
      <w:i w:val="false"/>
    </w:rPr>
  </w:style>
  <w:style w:type="character" w:styleId="WW8Num81z0">
    <w:name w:val="WW8Num81z0"/>
    <w:qFormat/>
    <w:rPr/>
  </w:style>
  <w:style w:type="character" w:styleId="WW8Num82z0">
    <w:name w:val="WW8Num82z0"/>
    <w:qFormat/>
    <w:rPr>
      <w:b/>
      <w:i w:val="false"/>
    </w:rPr>
  </w:style>
  <w:style w:type="character" w:styleId="WW8Num83z0">
    <w:name w:val="WW8Num83z0"/>
    <w:qFormat/>
    <w:rPr>
      <w:rFonts w:ascii="Symbol" w:hAnsi="Symbol" w:cs="Symbol"/>
      <w:color w:val="auto"/>
    </w:rPr>
  </w:style>
  <w:style w:type="character" w:styleId="WW8Num84z0">
    <w:name w:val="WW8Num84z0"/>
    <w:qFormat/>
    <w:rPr>
      <w:rFonts w:ascii="Symbol" w:hAnsi="Symbol" w:cs="Symbol"/>
      <w:sz w:val="20"/>
    </w:rPr>
  </w:style>
  <w:style w:type="character" w:styleId="WW8Num85z0">
    <w:name w:val="WW8Num85z0"/>
    <w:qFormat/>
    <w:rPr/>
  </w:style>
  <w:style w:type="character" w:styleId="WW8Num86z0">
    <w:name w:val="WW8Num86z0"/>
    <w:qFormat/>
    <w:rPr>
      <w:rFonts w:ascii="Symbol" w:hAnsi="Symbol" w:cs="Symbol"/>
    </w:rPr>
  </w:style>
  <w:style w:type="character" w:styleId="WW8Num87z0">
    <w:name w:val="WW8Num87z0"/>
    <w:qFormat/>
    <w:rPr>
      <w:rFonts w:ascii="Symbol" w:hAnsi="Symbol" w:cs="Symbol"/>
    </w:rPr>
  </w:style>
  <w:style w:type="character" w:styleId="WW8Num88z0">
    <w:name w:val="WW8Num88z0"/>
    <w:qFormat/>
    <w:rPr>
      <w:b w:val="false"/>
      <w:i w:val="false"/>
    </w:rPr>
  </w:style>
  <w:style w:type="character" w:styleId="WW8Num90z0">
    <w:name w:val="WW8Num90z0"/>
    <w:qFormat/>
    <w:rPr>
      <w:rFonts w:ascii="Symbol" w:hAnsi="Symbol" w:cs="Symbol"/>
    </w:rPr>
  </w:style>
  <w:style w:type="character" w:styleId="WW8Num91z0">
    <w:name w:val="WW8Num91z0"/>
    <w:qFormat/>
    <w:rPr>
      <w:rFonts w:ascii="Symbol" w:hAnsi="Symbol" w:cs="Symbol"/>
      <w:color w:val="auto"/>
    </w:rPr>
  </w:style>
  <w:style w:type="character" w:styleId="WW8Num92z0">
    <w:name w:val="WW8Num92z0"/>
    <w:qFormat/>
    <w:rPr>
      <w:rFonts w:ascii="Symbol" w:hAnsi="Symbol" w:cs="Symbol"/>
      <w:color w:val="FF0000"/>
    </w:rPr>
  </w:style>
  <w:style w:type="character" w:styleId="WW8Num93z0">
    <w:name w:val="WW8Num93z0"/>
    <w:qFormat/>
    <w:rPr>
      <w:rFonts w:ascii="Symbol" w:hAnsi="Symbol" w:cs="Symbol"/>
      <w:spacing w:val="0"/>
      <w:position w:val="0"/>
      <w:sz w:val="20"/>
      <w:sz w:val="20"/>
      <w:vertAlign w:val="baseline"/>
    </w:rPr>
  </w:style>
  <w:style w:type="character" w:styleId="WW8Num93z1">
    <w:name w:val="WW8Num93z1"/>
    <w:qFormat/>
    <w:rPr>
      <w:rFonts w:ascii="Courier New" w:hAnsi="Courier New" w:cs="Courier New"/>
    </w:rPr>
  </w:style>
  <w:style w:type="character" w:styleId="WW8Num93z2">
    <w:name w:val="WW8Num93z2"/>
    <w:qFormat/>
    <w:rPr>
      <w:rFonts w:ascii="Wingdings" w:hAnsi="Wingdings" w:cs="Wingdings"/>
    </w:rPr>
  </w:style>
  <w:style w:type="character" w:styleId="WW8Num93z3">
    <w:name w:val="WW8Num93z3"/>
    <w:qFormat/>
    <w:rPr>
      <w:rFonts w:ascii="Symbol" w:hAnsi="Symbol" w:cs="Symbol"/>
    </w:rPr>
  </w:style>
  <w:style w:type="character" w:styleId="WW8Num94z0">
    <w:name w:val="WW8Num94z0"/>
    <w:qFormat/>
    <w:rPr>
      <w:b/>
      <w:i w:val="false"/>
    </w:rPr>
  </w:style>
  <w:style w:type="character" w:styleId="WW8Num95z0">
    <w:name w:val="WW8Num95z0"/>
    <w:qFormat/>
    <w:rPr/>
  </w:style>
  <w:style w:type="character" w:styleId="WW8Num96z0">
    <w:name w:val="WW8Num96z0"/>
    <w:qFormat/>
    <w:rPr>
      <w:b/>
      <w:i w:val="false"/>
    </w:rPr>
  </w:style>
  <w:style w:type="character" w:styleId="WW8Num97z0">
    <w:name w:val="WW8Num97z0"/>
    <w:qFormat/>
    <w:rPr>
      <w:rFonts w:ascii="Wingdings" w:hAnsi="Wingdings" w:cs="Wingdings"/>
      <w:sz w:val="16"/>
    </w:rPr>
  </w:style>
  <w:style w:type="character" w:styleId="WW8Num98z0">
    <w:name w:val="WW8Num98z0"/>
    <w:qFormat/>
    <w:rPr/>
  </w:style>
  <w:style w:type="character" w:styleId="WW8Num99z0">
    <w:name w:val="WW8Num99z0"/>
    <w:qFormat/>
    <w:rPr/>
  </w:style>
  <w:style w:type="character" w:styleId="WW8Num100z0">
    <w:name w:val="WW8Num100z0"/>
    <w:qFormat/>
    <w:rPr>
      <w:rFonts w:ascii="Symbol" w:hAnsi="Symbol" w:cs="Symbol"/>
    </w:rPr>
  </w:style>
  <w:style w:type="character" w:styleId="WW8Num101z0">
    <w:name w:val="WW8Num101z0"/>
    <w:qFormat/>
    <w:rPr>
      <w:b/>
      <w:i w:val="false"/>
    </w:rPr>
  </w:style>
  <w:style w:type="character" w:styleId="WW8Num102z0">
    <w:name w:val="WW8Num102z0"/>
    <w:qFormat/>
    <w:rPr>
      <w:rFonts w:ascii="Wingdings" w:hAnsi="Wingdings" w:cs="Wingdings"/>
    </w:rPr>
  </w:style>
  <w:style w:type="character" w:styleId="WW8Num104z0">
    <w:name w:val="WW8Num104z0"/>
    <w:qFormat/>
    <w:rPr>
      <w:rFonts w:ascii="Symbol" w:hAnsi="Symbol" w:cs="Symbol"/>
    </w:rPr>
  </w:style>
  <w:style w:type="character" w:styleId="WW8Num104z1">
    <w:name w:val="WW8Num104z1"/>
    <w:qFormat/>
    <w:rPr>
      <w:rFonts w:ascii="Courier New" w:hAnsi="Courier New" w:cs="Courier New"/>
    </w:rPr>
  </w:style>
  <w:style w:type="character" w:styleId="WW8Num104z2">
    <w:name w:val="WW8Num104z2"/>
    <w:qFormat/>
    <w:rPr>
      <w:rFonts w:ascii="Wingdings" w:hAnsi="Wingdings" w:cs="Wingdings"/>
    </w:rPr>
  </w:style>
  <w:style w:type="character" w:styleId="WW8Num105z0">
    <w:name w:val="WW8Num105z0"/>
    <w:qFormat/>
    <w:rPr>
      <w:rFonts w:ascii="Wingdings" w:hAnsi="Wingdings" w:cs="Wingdings"/>
      <w:sz w:val="16"/>
    </w:rPr>
  </w:style>
  <w:style w:type="character" w:styleId="WW8Num106z0">
    <w:name w:val="WW8Num106z0"/>
    <w:qFormat/>
    <w:rPr>
      <w:rFonts w:ascii="Symbol" w:hAnsi="Symbol" w:cs="Symbol"/>
    </w:rPr>
  </w:style>
  <w:style w:type="character" w:styleId="WW8Num107z0">
    <w:name w:val="WW8Num107z0"/>
    <w:qFormat/>
    <w:rPr/>
  </w:style>
  <w:style w:type="character" w:styleId="WW8Num108z0">
    <w:name w:val="WW8Num108z0"/>
    <w:qFormat/>
    <w:rPr/>
  </w:style>
  <w:style w:type="character" w:styleId="WW8Num110z0">
    <w:name w:val="WW8Num110z0"/>
    <w:qFormat/>
    <w:rPr>
      <w:rFonts w:ascii="Symbol" w:hAnsi="Symbol" w:cs="Symbol"/>
    </w:rPr>
  </w:style>
  <w:style w:type="character" w:styleId="WW8Num110z1">
    <w:name w:val="WW8Num110z1"/>
    <w:qFormat/>
    <w:rPr>
      <w:rFonts w:ascii="Courier New" w:hAnsi="Courier New" w:cs="Courier New"/>
    </w:rPr>
  </w:style>
  <w:style w:type="character" w:styleId="WW8Num110z2">
    <w:name w:val="WW8Num110z2"/>
    <w:qFormat/>
    <w:rPr>
      <w:rFonts w:ascii="Wingdings" w:hAnsi="Wingdings" w:cs="Wingdings"/>
    </w:rPr>
  </w:style>
  <w:style w:type="character" w:styleId="WW8Num111z0">
    <w:name w:val="WW8Num111z0"/>
    <w:qFormat/>
    <w:rPr/>
  </w:style>
  <w:style w:type="character" w:styleId="WW8Num112z0">
    <w:name w:val="WW8Num112z0"/>
    <w:qFormat/>
    <w:rPr/>
  </w:style>
  <w:style w:type="character" w:styleId="WW8Num113z0">
    <w:name w:val="WW8Num113z0"/>
    <w:qFormat/>
    <w:rPr/>
  </w:style>
  <w:style w:type="character" w:styleId="WW8Num114z0">
    <w:name w:val="WW8Num114z0"/>
    <w:qFormat/>
    <w:rPr>
      <w:rFonts w:ascii="Symbol" w:hAnsi="Symbol" w:cs="Symbol"/>
    </w:rPr>
  </w:style>
  <w:style w:type="character" w:styleId="WW8Num114z1">
    <w:name w:val="WW8Num114z1"/>
    <w:qFormat/>
    <w:rPr>
      <w:rFonts w:ascii="Courier New" w:hAnsi="Courier New" w:cs="Courier New"/>
    </w:rPr>
  </w:style>
  <w:style w:type="character" w:styleId="WW8Num114z2">
    <w:name w:val="WW8Num114z2"/>
    <w:qFormat/>
    <w:rPr>
      <w:rFonts w:ascii="Wingdings" w:hAnsi="Wingdings" w:cs="Wingdings"/>
    </w:rPr>
  </w:style>
  <w:style w:type="character" w:styleId="WW8Num115z0">
    <w:name w:val="WW8Num115z0"/>
    <w:qFormat/>
    <w:rPr/>
  </w:style>
  <w:style w:type="character" w:styleId="WW8Num116z0">
    <w:name w:val="WW8Num116z0"/>
    <w:qFormat/>
    <w:rPr>
      <w:b w:val="false"/>
      <w:color w:val="auto"/>
    </w:rPr>
  </w:style>
  <w:style w:type="character" w:styleId="WW8Num117z0">
    <w:name w:val="WW8Num117z0"/>
    <w:qFormat/>
    <w:rPr>
      <w:b/>
      <w:i w:val="false"/>
    </w:rPr>
  </w:style>
  <w:style w:type="character" w:styleId="WW8Num118z0">
    <w:name w:val="WW8Num118z0"/>
    <w:qFormat/>
    <w:rPr>
      <w:b w:val="false"/>
      <w:i w:val="false"/>
    </w:rPr>
  </w:style>
  <w:style w:type="character" w:styleId="WW8Num119z0">
    <w:name w:val="WW8Num119z0"/>
    <w:qFormat/>
    <w:rPr>
      <w:rFonts w:ascii="Symbol" w:hAnsi="Symbol" w:cs="Symbol"/>
    </w:rPr>
  </w:style>
  <w:style w:type="character" w:styleId="WW8Num120z0">
    <w:name w:val="WW8Num120z0"/>
    <w:qFormat/>
    <w:rPr/>
  </w:style>
  <w:style w:type="character" w:styleId="WW8Num121z0">
    <w:name w:val="WW8Num121z0"/>
    <w:qFormat/>
    <w:rPr>
      <w:rFonts w:ascii="Symbol" w:hAnsi="Symbol" w:cs="Symbol"/>
      <w:color w:val="auto"/>
    </w:rPr>
  </w:style>
  <w:style w:type="character" w:styleId="WW8Num123z0">
    <w:name w:val="WW8Num123z0"/>
    <w:qFormat/>
    <w:rPr>
      <w:rFonts w:ascii="Symbol" w:hAnsi="Symbol" w:cs="Symbol"/>
    </w:rPr>
  </w:style>
  <w:style w:type="character" w:styleId="WW8Num124z0">
    <w:name w:val="WW8Num124z0"/>
    <w:qFormat/>
    <w:rPr>
      <w:rFonts w:ascii="Symbol" w:hAnsi="Symbol" w:cs="Symbol"/>
    </w:rPr>
  </w:style>
  <w:style w:type="character" w:styleId="WW8Num124z1">
    <w:name w:val="WW8Num124z1"/>
    <w:qFormat/>
    <w:rPr>
      <w:rFonts w:ascii="Courier New" w:hAnsi="Courier New" w:cs="Courier New"/>
    </w:rPr>
  </w:style>
  <w:style w:type="character" w:styleId="WW8Num124z2">
    <w:name w:val="WW8Num124z2"/>
    <w:qFormat/>
    <w:rPr>
      <w:rFonts w:ascii="Wingdings" w:hAnsi="Wingdings" w:cs="Wingdings"/>
    </w:rPr>
  </w:style>
  <w:style w:type="character" w:styleId="WW8Num125z0">
    <w:name w:val="WW8Num125z0"/>
    <w:qFormat/>
    <w:rPr>
      <w:b w:val="false"/>
      <w:i w:val="false"/>
    </w:rPr>
  </w:style>
  <w:style w:type="character" w:styleId="WW8Num126z0">
    <w:name w:val="WW8Num126z0"/>
    <w:qFormat/>
    <w:rPr>
      <w:b/>
      <w:i w:val="false"/>
    </w:rPr>
  </w:style>
  <w:style w:type="character" w:styleId="WW8Num127z0">
    <w:name w:val="WW8Num127z0"/>
    <w:qFormat/>
    <w:rPr>
      <w:b/>
      <w:i w:val="false"/>
    </w:rPr>
  </w:style>
  <w:style w:type="character" w:styleId="WW8Num128z0">
    <w:name w:val="WW8Num128z0"/>
    <w:qFormat/>
    <w:rPr>
      <w:rFonts w:ascii="Symbol" w:hAnsi="Symbol" w:cs="Symbol"/>
      <w:color w:val="auto"/>
    </w:rPr>
  </w:style>
  <w:style w:type="character" w:styleId="WW8Num129z0">
    <w:name w:val="WW8Num129z0"/>
    <w:qFormat/>
    <w:rPr>
      <w:rFonts w:ascii="Symbol" w:hAnsi="Symbol" w:cs="Symbol"/>
    </w:rPr>
  </w:style>
  <w:style w:type="character" w:styleId="WW8Num129z1">
    <w:name w:val="WW8Num129z1"/>
    <w:qFormat/>
    <w:rPr>
      <w:rFonts w:ascii="Courier New" w:hAnsi="Courier New" w:cs="Courier New"/>
    </w:rPr>
  </w:style>
  <w:style w:type="character" w:styleId="WW8Num129z2">
    <w:name w:val="WW8Num129z2"/>
    <w:qFormat/>
    <w:rPr>
      <w:rFonts w:ascii="Wingdings" w:hAnsi="Wingdings" w:cs="Wingdings"/>
    </w:rPr>
  </w:style>
  <w:style w:type="character" w:styleId="WW8Num130z0">
    <w:name w:val="WW8Num130z0"/>
    <w:qFormat/>
    <w:rPr>
      <w:rFonts w:ascii="Symbol" w:hAnsi="Symbol" w:cs="Symbol"/>
      <w:spacing w:val="0"/>
      <w:position w:val="0"/>
      <w:sz w:val="20"/>
      <w:sz w:val="20"/>
      <w:vertAlign w:val="baseline"/>
    </w:rPr>
  </w:style>
  <w:style w:type="character" w:styleId="WW8Num130z1">
    <w:name w:val="WW8Num130z1"/>
    <w:qFormat/>
    <w:rPr>
      <w:rFonts w:ascii="Courier New" w:hAnsi="Courier New" w:cs="Courier New"/>
    </w:rPr>
  </w:style>
  <w:style w:type="character" w:styleId="WW8Num130z2">
    <w:name w:val="WW8Num130z2"/>
    <w:qFormat/>
    <w:rPr>
      <w:rFonts w:ascii="Wingdings" w:hAnsi="Wingdings" w:cs="Wingdings"/>
    </w:rPr>
  </w:style>
  <w:style w:type="character" w:styleId="WW8Num130z3">
    <w:name w:val="WW8Num130z3"/>
    <w:qFormat/>
    <w:rPr>
      <w:rFonts w:ascii="Symbol" w:hAnsi="Symbol" w:cs="Symbol"/>
    </w:rPr>
  </w:style>
  <w:style w:type="character" w:styleId="WW8Num131z0">
    <w:name w:val="WW8Num131z0"/>
    <w:qFormat/>
    <w:rPr>
      <w:rFonts w:ascii="Symbol" w:hAnsi="Symbol" w:cs="Symbol"/>
    </w:rPr>
  </w:style>
  <w:style w:type="character" w:styleId="WW8Num132z0">
    <w:name w:val="WW8Num132z0"/>
    <w:qFormat/>
    <w:rPr>
      <w:rFonts w:ascii="Symbol" w:hAnsi="Symbol" w:cs="Symbol"/>
    </w:rPr>
  </w:style>
  <w:style w:type="character" w:styleId="WW8Num133z0">
    <w:name w:val="WW8Num133z0"/>
    <w:qFormat/>
    <w:rPr/>
  </w:style>
  <w:style w:type="character" w:styleId="WW8Num134z0">
    <w:name w:val="WW8Num134z0"/>
    <w:qFormat/>
    <w:rPr>
      <w:b/>
    </w:rPr>
  </w:style>
  <w:style w:type="character" w:styleId="WW8Num135z0">
    <w:name w:val="WW8Num135z0"/>
    <w:qFormat/>
    <w:rPr>
      <w:rFonts w:ascii="Symbol" w:hAnsi="Symbol" w:cs="Symbol"/>
    </w:rPr>
  </w:style>
  <w:style w:type="character" w:styleId="WW8Num136z0">
    <w:name w:val="WW8Num136z0"/>
    <w:qFormat/>
    <w:rPr>
      <w:rFonts w:ascii="Wingdings" w:hAnsi="Wingdings" w:cs="Wingdings"/>
    </w:rPr>
  </w:style>
  <w:style w:type="character" w:styleId="WW8Num137z0">
    <w:name w:val="WW8Num137z0"/>
    <w:qFormat/>
    <w:rPr/>
  </w:style>
  <w:style w:type="character" w:styleId="WW8Num138z0">
    <w:name w:val="WW8Num138z0"/>
    <w:qFormat/>
    <w:rPr>
      <w:b/>
      <w:i w:val="false"/>
    </w:rPr>
  </w:style>
  <w:style w:type="character" w:styleId="WW8Num139z0">
    <w:name w:val="WW8Num139z0"/>
    <w:qFormat/>
    <w:rPr/>
  </w:style>
  <w:style w:type="character" w:styleId="WW8Num140z0">
    <w:name w:val="WW8Num140z0"/>
    <w:qFormat/>
    <w:rPr>
      <w:rFonts w:ascii="Symbol" w:hAnsi="Symbol" w:cs="Symbol"/>
    </w:rPr>
  </w:style>
  <w:style w:type="character" w:styleId="WW8Num140z1">
    <w:name w:val="WW8Num140z1"/>
    <w:qFormat/>
    <w:rPr>
      <w:rFonts w:ascii="Courier New" w:hAnsi="Courier New" w:cs="Courier New"/>
    </w:rPr>
  </w:style>
  <w:style w:type="character" w:styleId="WW8Num140z2">
    <w:name w:val="WW8Num140z2"/>
    <w:qFormat/>
    <w:rPr>
      <w:rFonts w:ascii="Wingdings" w:hAnsi="Wingdings" w:cs="Wingdings"/>
    </w:rPr>
  </w:style>
  <w:style w:type="character" w:styleId="WW8Num141z0">
    <w:name w:val="WW8Num141z0"/>
    <w:qFormat/>
    <w:rPr>
      <w:rFonts w:ascii="Symbol" w:hAnsi="Symbol" w:cs="Symbol"/>
      <w:color w:val="auto"/>
    </w:rPr>
  </w:style>
  <w:style w:type="character" w:styleId="WW8Num142z0">
    <w:name w:val="WW8Num142z0"/>
    <w:qFormat/>
    <w:rPr>
      <w:rFonts w:ascii="Symbol" w:hAnsi="Symbol" w:cs="Symbol"/>
    </w:rPr>
  </w:style>
  <w:style w:type="character" w:styleId="WW8Num142z1">
    <w:name w:val="WW8Num142z1"/>
    <w:qFormat/>
    <w:rPr>
      <w:rFonts w:ascii="Courier New" w:hAnsi="Courier New" w:cs="Courier New"/>
    </w:rPr>
  </w:style>
  <w:style w:type="character" w:styleId="WW8Num142z2">
    <w:name w:val="WW8Num142z2"/>
    <w:qFormat/>
    <w:rPr>
      <w:rFonts w:ascii="Wingdings" w:hAnsi="Wingdings" w:cs="Wingdings"/>
    </w:rPr>
  </w:style>
  <w:style w:type="character" w:styleId="WW8Num143z0">
    <w:name w:val="WW8Num143z0"/>
    <w:qFormat/>
    <w:rPr/>
  </w:style>
  <w:style w:type="character" w:styleId="WW8Num144z0">
    <w:name w:val="WW8Num144z0"/>
    <w:qFormat/>
    <w:rPr>
      <w:rFonts w:ascii="Symbol" w:hAnsi="Symbol" w:cs="Symbol"/>
    </w:rPr>
  </w:style>
  <w:style w:type="character" w:styleId="WW8Num145z0">
    <w:name w:val="WW8Num145z0"/>
    <w:qFormat/>
    <w:rPr>
      <w:rFonts w:ascii="Symbol" w:hAnsi="Symbol" w:cs="Symbol"/>
      <w:color w:val="auto"/>
      <w:sz w:val="28"/>
    </w:rPr>
  </w:style>
  <w:style w:type="character" w:styleId="WW8Num146z0">
    <w:name w:val="WW8Num146z0"/>
    <w:qFormat/>
    <w:rPr>
      <w:rFonts w:ascii="Wingdings" w:hAnsi="Wingdings" w:cs="Wingdings"/>
      <w:color w:val="FF0000"/>
      <w:sz w:val="16"/>
    </w:rPr>
  </w:style>
  <w:style w:type="character" w:styleId="WW8Num147z0">
    <w:name w:val="WW8Num147z0"/>
    <w:qFormat/>
    <w:rPr>
      <w:rFonts w:ascii="Symbol" w:hAnsi="Symbol" w:cs="Symbol"/>
      <w:color w:val="auto"/>
      <w:sz w:val="28"/>
    </w:rPr>
  </w:style>
  <w:style w:type="character" w:styleId="WW8Num148z0">
    <w:name w:val="WW8Num148z0"/>
    <w:qFormat/>
    <w:rPr>
      <w:rFonts w:ascii="Symbol" w:hAnsi="Symbol" w:cs="Symbol"/>
    </w:rPr>
  </w:style>
  <w:style w:type="character" w:styleId="WW8Num149z0">
    <w:name w:val="WW8Num149z0"/>
    <w:qFormat/>
    <w:rPr>
      <w:b/>
      <w:i w:val="false"/>
    </w:rPr>
  </w:style>
  <w:style w:type="character" w:styleId="WW8Num150z0">
    <w:name w:val="WW8Num150z0"/>
    <w:qFormat/>
    <w:rPr>
      <w:rFonts w:ascii="Wingdings" w:hAnsi="Wingdings" w:cs="Wingdings"/>
      <w:sz w:val="16"/>
    </w:rPr>
  </w:style>
  <w:style w:type="character" w:styleId="WW8Num151z0">
    <w:name w:val="WW8Num151z0"/>
    <w:qFormat/>
    <w:rPr>
      <w:rFonts w:ascii="Symbol" w:hAnsi="Symbol" w:cs="Symbol"/>
    </w:rPr>
  </w:style>
  <w:style w:type="character" w:styleId="WW8Num151z1">
    <w:name w:val="WW8Num151z1"/>
    <w:qFormat/>
    <w:rPr>
      <w:rFonts w:ascii="Courier New" w:hAnsi="Courier New" w:cs="Courier New"/>
    </w:rPr>
  </w:style>
  <w:style w:type="character" w:styleId="WW8Num151z2">
    <w:name w:val="WW8Num151z2"/>
    <w:qFormat/>
    <w:rPr>
      <w:rFonts w:ascii="Wingdings" w:hAnsi="Wingdings" w:cs="Wingdings"/>
    </w:rPr>
  </w:style>
  <w:style w:type="character" w:styleId="WW8Num152z0">
    <w:name w:val="WW8Num152z0"/>
    <w:qFormat/>
    <w:rPr>
      <w:rFonts w:ascii="Symbol" w:hAnsi="Symbol" w:cs="Symbol"/>
    </w:rPr>
  </w:style>
  <w:style w:type="character" w:styleId="WW8Num152z1">
    <w:name w:val="WW8Num152z1"/>
    <w:qFormat/>
    <w:rPr>
      <w:rFonts w:ascii="Courier New" w:hAnsi="Courier New" w:cs="Courier New"/>
    </w:rPr>
  </w:style>
  <w:style w:type="character" w:styleId="WW8Num152z2">
    <w:name w:val="WW8Num152z2"/>
    <w:qFormat/>
    <w:rPr>
      <w:rFonts w:ascii="Wingdings" w:hAnsi="Wingdings" w:cs="Wingdings"/>
    </w:rPr>
  </w:style>
  <w:style w:type="character" w:styleId="WW8Num153z0">
    <w:name w:val="WW8Num153z0"/>
    <w:qFormat/>
    <w:rPr>
      <w:b/>
      <w:i w:val="false"/>
    </w:rPr>
  </w:style>
  <w:style w:type="character" w:styleId="WW8Num154z0">
    <w:name w:val="WW8Num154z0"/>
    <w:qFormat/>
    <w:rPr>
      <w:rFonts w:ascii="Symbol" w:hAnsi="Symbol" w:cs="Symbol"/>
      <w:color w:val="auto"/>
      <w:sz w:val="20"/>
    </w:rPr>
  </w:style>
  <w:style w:type="character" w:styleId="WW8Num155z0">
    <w:name w:val="WW8Num155z0"/>
    <w:qFormat/>
    <w:rPr/>
  </w:style>
  <w:style w:type="character" w:styleId="WW8Num156z0">
    <w:name w:val="WW8Num156z0"/>
    <w:qFormat/>
    <w:rPr>
      <w:b w:val="false"/>
      <w:i w:val="false"/>
    </w:rPr>
  </w:style>
  <w:style w:type="character" w:styleId="WW8Num157z0">
    <w:name w:val="WW8Num157z0"/>
    <w:qFormat/>
    <w:rPr/>
  </w:style>
  <w:style w:type="character" w:styleId="WW8Num158z0">
    <w:name w:val="WW8Num158z0"/>
    <w:qFormat/>
    <w:rPr>
      <w:rFonts w:ascii="Symbol" w:hAnsi="Symbol" w:cs="Symbol"/>
    </w:rPr>
  </w:style>
  <w:style w:type="character" w:styleId="WW8Num158z1">
    <w:name w:val="WW8Num158z1"/>
    <w:qFormat/>
    <w:rPr>
      <w:rFonts w:ascii="Courier New" w:hAnsi="Courier New" w:cs="Courier New"/>
    </w:rPr>
  </w:style>
  <w:style w:type="character" w:styleId="WW8Num158z2">
    <w:name w:val="WW8Num158z2"/>
    <w:qFormat/>
    <w:rPr>
      <w:rFonts w:ascii="Wingdings" w:hAnsi="Wingdings" w:cs="Wingdings"/>
    </w:rPr>
  </w:style>
  <w:style w:type="character" w:styleId="WW8Num159z0">
    <w:name w:val="WW8Num159z0"/>
    <w:qFormat/>
    <w:rPr>
      <w:rFonts w:ascii="Symbol" w:hAnsi="Symbol" w:cs="Symbol"/>
      <w:color w:val="FF0000"/>
    </w:rPr>
  </w:style>
  <w:style w:type="character" w:styleId="WW8Num160z0">
    <w:name w:val="WW8Num160z0"/>
    <w:qFormat/>
    <w:rPr>
      <w:rFonts w:ascii="Symbol" w:hAnsi="Symbol" w:cs="Symbol"/>
      <w:color w:val="auto"/>
      <w:sz w:val="28"/>
    </w:rPr>
  </w:style>
  <w:style w:type="character" w:styleId="WW8Num161z0">
    <w:name w:val="WW8Num161z0"/>
    <w:qFormat/>
    <w:rPr/>
  </w:style>
  <w:style w:type="character" w:styleId="WW8Num162z0">
    <w:name w:val="WW8Num162z0"/>
    <w:qFormat/>
    <w:rPr>
      <w:rFonts w:ascii="Symbol" w:hAnsi="Symbol" w:cs="Symbol"/>
    </w:rPr>
  </w:style>
  <w:style w:type="character" w:styleId="WW8Num162z1">
    <w:name w:val="WW8Num162z1"/>
    <w:qFormat/>
    <w:rPr>
      <w:rFonts w:ascii="Courier New" w:hAnsi="Courier New" w:cs="Courier New"/>
    </w:rPr>
  </w:style>
  <w:style w:type="character" w:styleId="WW8Num162z2">
    <w:name w:val="WW8Num162z2"/>
    <w:qFormat/>
    <w:rPr>
      <w:rFonts w:ascii="Wingdings" w:hAnsi="Wingdings" w:cs="Wingdings"/>
    </w:rPr>
  </w:style>
  <w:style w:type="character" w:styleId="WW8Num163z0">
    <w:name w:val="WW8Num163z0"/>
    <w:qFormat/>
    <w:rPr>
      <w:b/>
      <w:i/>
    </w:rPr>
  </w:style>
  <w:style w:type="character" w:styleId="WW8Num164z0">
    <w:name w:val="WW8Num164z0"/>
    <w:qFormat/>
    <w:rPr>
      <w:rFonts w:ascii="Wingdings" w:hAnsi="Wingdings" w:cs="Wingdings"/>
      <w:sz w:val="16"/>
    </w:rPr>
  </w:style>
  <w:style w:type="character" w:styleId="WW8Num165z0">
    <w:name w:val="WW8Num165z0"/>
    <w:qFormat/>
    <w:rPr>
      <w:b/>
      <w:i w:val="false"/>
    </w:rPr>
  </w:style>
  <w:style w:type="character" w:styleId="WW8Num166z0">
    <w:name w:val="WW8Num166z0"/>
    <w:qFormat/>
    <w:rPr>
      <w:rFonts w:ascii="Symbol" w:hAnsi="Symbol" w:cs="Symbol"/>
    </w:rPr>
  </w:style>
  <w:style w:type="character" w:styleId="WW8Num167z0">
    <w:name w:val="WW8Num167z0"/>
    <w:qFormat/>
    <w:rPr>
      <w:b/>
      <w:i w:val="false"/>
    </w:rPr>
  </w:style>
  <w:style w:type="character" w:styleId="WW8Num168z0">
    <w:name w:val="WW8Num168z0"/>
    <w:qFormat/>
    <w:rPr>
      <w:rFonts w:ascii="Symbol" w:hAnsi="Symbol" w:cs="Symbol"/>
      <w:color w:val="auto"/>
      <w:sz w:val="20"/>
    </w:rPr>
  </w:style>
  <w:style w:type="character" w:styleId="WW8Num169z0">
    <w:name w:val="WW8Num169z0"/>
    <w:qFormat/>
    <w:rPr>
      <w:rFonts w:ascii="Symbol" w:hAnsi="Symbol" w:cs="Symbol"/>
      <w:color w:val="auto"/>
      <w:sz w:val="20"/>
    </w:rPr>
  </w:style>
  <w:style w:type="character" w:styleId="WW8Num170z0">
    <w:name w:val="WW8Num170z0"/>
    <w:qFormat/>
    <w:rPr>
      <w:rFonts w:ascii="Symbol" w:hAnsi="Symbol" w:cs="Symbol"/>
      <w:color w:val="auto"/>
    </w:rPr>
  </w:style>
  <w:style w:type="character" w:styleId="WW8Num171z0">
    <w:name w:val="WW8Num171z0"/>
    <w:qFormat/>
    <w:rPr>
      <w:rFonts w:ascii="Symbol" w:hAnsi="Symbol" w:cs="Symbol"/>
      <w:color w:val="auto"/>
      <w:sz w:val="28"/>
    </w:rPr>
  </w:style>
  <w:style w:type="character" w:styleId="WW8Num172z0">
    <w:name w:val="WW8Num172z0"/>
    <w:qFormat/>
    <w:rPr>
      <w:rFonts w:ascii="Symbol" w:hAnsi="Symbol" w:cs="Symbol"/>
    </w:rPr>
  </w:style>
  <w:style w:type="character" w:styleId="WW8Num172z1">
    <w:name w:val="WW8Num172z1"/>
    <w:qFormat/>
    <w:rPr>
      <w:rFonts w:ascii="Courier New" w:hAnsi="Courier New" w:cs="Courier New"/>
    </w:rPr>
  </w:style>
  <w:style w:type="character" w:styleId="WW8Num172z2">
    <w:name w:val="WW8Num172z2"/>
    <w:qFormat/>
    <w:rPr>
      <w:rFonts w:ascii="Wingdings" w:hAnsi="Wingdings" w:cs="Wingdings"/>
    </w:rPr>
  </w:style>
  <w:style w:type="character" w:styleId="WW8Num173z0">
    <w:name w:val="WW8Num173z0"/>
    <w:qFormat/>
    <w:rPr>
      <w:rFonts w:ascii="Wingdings" w:hAnsi="Wingdings" w:cs="Wingdings"/>
      <w:color w:val="000000"/>
      <w:sz w:val="16"/>
    </w:rPr>
  </w:style>
  <w:style w:type="character" w:styleId="WW8Num174z0">
    <w:name w:val="WW8Num174z0"/>
    <w:qFormat/>
    <w:rPr/>
  </w:style>
  <w:style w:type="character" w:styleId="WW8Num175z0">
    <w:name w:val="WW8Num175z0"/>
    <w:qFormat/>
    <w:rPr>
      <w:rFonts w:ascii="Symbol" w:hAnsi="Symbol" w:cs="Symbol"/>
      <w:color w:val="auto"/>
    </w:rPr>
  </w:style>
  <w:style w:type="character" w:styleId="WW8Num176z0">
    <w:name w:val="WW8Num176z0"/>
    <w:qFormat/>
    <w:rPr/>
  </w:style>
  <w:style w:type="character" w:styleId="WW8Num177z0">
    <w:name w:val="WW8Num177z0"/>
    <w:qFormat/>
    <w:rPr>
      <w:rFonts w:ascii="Symbol" w:hAnsi="Symbol" w:cs="Symbol"/>
      <w:color w:val="auto"/>
    </w:rPr>
  </w:style>
  <w:style w:type="character" w:styleId="WW8Num178z0">
    <w:name w:val="WW8Num178z0"/>
    <w:qFormat/>
    <w:rPr/>
  </w:style>
  <w:style w:type="character" w:styleId="WW8Num179z0">
    <w:name w:val="WW8Num179z0"/>
    <w:qFormat/>
    <w:rPr>
      <w:rFonts w:ascii="Symbol" w:hAnsi="Symbol" w:cs="Symbol"/>
    </w:rPr>
  </w:style>
  <w:style w:type="character" w:styleId="WW8Num180z0">
    <w:name w:val="WW8Num180z0"/>
    <w:qFormat/>
    <w:rPr>
      <w:rFonts w:ascii="Symbol" w:hAnsi="Symbol" w:cs="Symbol"/>
    </w:rPr>
  </w:style>
  <w:style w:type="character" w:styleId="WW8Num181z0">
    <w:name w:val="WW8Num181z0"/>
    <w:qFormat/>
    <w:rPr>
      <w:rFonts w:ascii="Symbol" w:hAnsi="Symbol" w:cs="Symbol"/>
    </w:rPr>
  </w:style>
  <w:style w:type="character" w:styleId="WW8Num183z0">
    <w:name w:val="WW8Num183z0"/>
    <w:qFormat/>
    <w:rPr>
      <w:rFonts w:ascii="Symbol" w:hAnsi="Symbol" w:cs="Symbol"/>
      <w:color w:val="auto"/>
      <w:sz w:val="20"/>
    </w:rPr>
  </w:style>
  <w:style w:type="character" w:styleId="WW8Num184z0">
    <w:name w:val="WW8Num184z0"/>
    <w:qFormat/>
    <w:rPr>
      <w:rFonts w:ascii="Symbol" w:hAnsi="Symbol" w:cs="Symbol"/>
      <w:color w:val="auto"/>
      <w:sz w:val="20"/>
    </w:rPr>
  </w:style>
  <w:style w:type="character" w:styleId="WW8Num185z0">
    <w:name w:val="WW8Num185z0"/>
    <w:qFormat/>
    <w:rPr>
      <w:rFonts w:ascii="Symbol" w:hAnsi="Symbol" w:cs="Symbol"/>
      <w:color w:val="auto"/>
      <w:sz w:val="20"/>
    </w:rPr>
  </w:style>
  <w:style w:type="character" w:styleId="WW8Num186z0">
    <w:name w:val="WW8Num186z0"/>
    <w:qFormat/>
    <w:rPr/>
  </w:style>
  <w:style w:type="character" w:styleId="WW8Num187z0">
    <w:name w:val="WW8Num187z0"/>
    <w:qFormat/>
    <w:rPr/>
  </w:style>
  <w:style w:type="character" w:styleId="WW8Num188z0">
    <w:name w:val="WW8Num188z0"/>
    <w:qFormat/>
    <w:rPr>
      <w:b/>
      <w:i w:val="false"/>
    </w:rPr>
  </w:style>
  <w:style w:type="character" w:styleId="WW8Num189z0">
    <w:name w:val="WW8Num189z0"/>
    <w:qFormat/>
    <w:rPr>
      <w:rFonts w:ascii="Symbol" w:hAnsi="Symbol" w:cs="Symbol"/>
    </w:rPr>
  </w:style>
  <w:style w:type="character" w:styleId="WW8Num190z0">
    <w:name w:val="WW8Num190z0"/>
    <w:qFormat/>
    <w:rPr>
      <w:rFonts w:ascii="Symbol" w:hAnsi="Symbol" w:cs="Symbol"/>
    </w:rPr>
  </w:style>
  <w:style w:type="character" w:styleId="WW8Num191z0">
    <w:name w:val="WW8Num191z0"/>
    <w:qFormat/>
    <w:rPr>
      <w:b/>
      <w:i w:val="false"/>
    </w:rPr>
  </w:style>
  <w:style w:type="character" w:styleId="WW8Num192z0">
    <w:name w:val="WW8Num192z0"/>
    <w:qFormat/>
    <w:rPr>
      <w:rFonts w:ascii="Symbol" w:hAnsi="Symbol" w:cs="Symbol"/>
    </w:rPr>
  </w:style>
  <w:style w:type="character" w:styleId="WW8Num194z0">
    <w:name w:val="WW8Num194z0"/>
    <w:qFormat/>
    <w:rPr>
      <w:b/>
      <w:i w:val="false"/>
    </w:rPr>
  </w:style>
  <w:style w:type="character" w:styleId="WW8Num195z0">
    <w:name w:val="WW8Num195z0"/>
    <w:qFormat/>
    <w:rPr>
      <w:b w:val="false"/>
      <w:i w:val="false"/>
    </w:rPr>
  </w:style>
  <w:style w:type="character" w:styleId="WW8Num196z0">
    <w:name w:val="WW8Num196z0"/>
    <w:qFormat/>
    <w:rPr/>
  </w:style>
  <w:style w:type="character" w:styleId="WW8Num197z0">
    <w:name w:val="WW8Num197z0"/>
    <w:qFormat/>
    <w:rPr>
      <w:rFonts w:ascii="Symbol" w:hAnsi="Symbol" w:cs="Symbol"/>
      <w:sz w:val="20"/>
    </w:rPr>
  </w:style>
  <w:style w:type="character" w:styleId="WW8Num198z0">
    <w:name w:val="WW8Num198z0"/>
    <w:qFormat/>
    <w:rPr>
      <w:rFonts w:ascii="Symbol" w:hAnsi="Symbol" w:cs="Symbol"/>
      <w:color w:val="auto"/>
    </w:rPr>
  </w:style>
  <w:style w:type="character" w:styleId="WW8Num199z0">
    <w:name w:val="WW8Num199z0"/>
    <w:qFormat/>
    <w:rPr/>
  </w:style>
  <w:style w:type="character" w:styleId="WW8Num200z0">
    <w:name w:val="WW8Num200z0"/>
    <w:qFormat/>
    <w:rPr/>
  </w:style>
  <w:style w:type="character" w:styleId="WW8Num202z0">
    <w:name w:val="WW8Num202z0"/>
    <w:qFormat/>
    <w:rPr>
      <w:rFonts w:ascii="Symbol" w:hAnsi="Symbol" w:cs="Symbol"/>
    </w:rPr>
  </w:style>
  <w:style w:type="character" w:styleId="WW8Num202z1">
    <w:name w:val="WW8Num202z1"/>
    <w:qFormat/>
    <w:rPr>
      <w:rFonts w:ascii="Courier New" w:hAnsi="Courier New" w:cs="Courier New"/>
    </w:rPr>
  </w:style>
  <w:style w:type="character" w:styleId="WW8Num202z2">
    <w:name w:val="WW8Num202z2"/>
    <w:qFormat/>
    <w:rPr>
      <w:rFonts w:ascii="Wingdings" w:hAnsi="Wingdings" w:cs="Wingdings"/>
    </w:rPr>
  </w:style>
  <w:style w:type="character" w:styleId="WW8Num203z0">
    <w:name w:val="WW8Num203z0"/>
    <w:qFormat/>
    <w:rPr/>
  </w:style>
  <w:style w:type="character" w:styleId="WW8Num204z0">
    <w:name w:val="WW8Num204z0"/>
    <w:qFormat/>
    <w:rPr>
      <w:rFonts w:ascii="Symbol" w:hAnsi="Symbol" w:cs="Symbol"/>
    </w:rPr>
  </w:style>
  <w:style w:type="character" w:styleId="WW8Num205z0">
    <w:name w:val="WW8Num205z0"/>
    <w:qFormat/>
    <w:rPr/>
  </w:style>
  <w:style w:type="character" w:styleId="WW8Num206z0">
    <w:name w:val="WW8Num206z0"/>
    <w:qFormat/>
    <w:rPr>
      <w:rFonts w:ascii="Symbol" w:hAnsi="Symbol" w:cs="Symbol"/>
    </w:rPr>
  </w:style>
  <w:style w:type="character" w:styleId="WW8Num206z1">
    <w:name w:val="WW8Num206z1"/>
    <w:qFormat/>
    <w:rPr>
      <w:rFonts w:ascii="Courier New" w:hAnsi="Courier New" w:cs="Courier New"/>
    </w:rPr>
  </w:style>
  <w:style w:type="character" w:styleId="WW8Num206z2">
    <w:name w:val="WW8Num206z2"/>
    <w:qFormat/>
    <w:rPr>
      <w:rFonts w:ascii="Wingdings" w:hAnsi="Wingdings" w:cs="Wingdings"/>
    </w:rPr>
  </w:style>
  <w:style w:type="character" w:styleId="WW8Num207z0">
    <w:name w:val="WW8Num207z0"/>
    <w:qFormat/>
    <w:rPr>
      <w:rFonts w:ascii="Symbol" w:hAnsi="Symbol" w:cs="Symbol"/>
    </w:rPr>
  </w:style>
  <w:style w:type="character" w:styleId="WW8Num208z0">
    <w:name w:val="WW8Num208z0"/>
    <w:qFormat/>
    <w:rPr>
      <w:rFonts w:ascii="Symbol" w:hAnsi="Symbol" w:cs="Symbol"/>
      <w:color w:val="FF0000"/>
    </w:rPr>
  </w:style>
  <w:style w:type="character" w:styleId="WW8Num209z0">
    <w:name w:val="WW8Num209z0"/>
    <w:qFormat/>
    <w:rPr>
      <w:rFonts w:ascii="Symbol" w:hAnsi="Symbol" w:cs="Symbol"/>
      <w:sz w:val="20"/>
    </w:rPr>
  </w:style>
  <w:style w:type="character" w:styleId="WW8Num210z0">
    <w:name w:val="WW8Num210z0"/>
    <w:qFormat/>
    <w:rPr>
      <w:rFonts w:ascii="Symbol" w:hAnsi="Symbol" w:cs="Symbol"/>
    </w:rPr>
  </w:style>
  <w:style w:type="character" w:styleId="WW8Num211z0">
    <w:name w:val="WW8Num211z0"/>
    <w:qFormat/>
    <w:rPr>
      <w:b/>
      <w:i w:val="false"/>
    </w:rPr>
  </w:style>
  <w:style w:type="character" w:styleId="WW8Num212z0">
    <w:name w:val="WW8Num212z0"/>
    <w:qFormat/>
    <w:rPr>
      <w:rFonts w:ascii="Symbol" w:hAnsi="Symbol" w:cs="Symbol"/>
      <w:sz w:val="20"/>
    </w:rPr>
  </w:style>
  <w:style w:type="character" w:styleId="WW8Num213z0">
    <w:name w:val="WW8Num213z0"/>
    <w:qFormat/>
    <w:rPr/>
  </w:style>
  <w:style w:type="character" w:styleId="WW8Num214z0">
    <w:name w:val="WW8Num214z0"/>
    <w:qFormat/>
    <w:rPr>
      <w:rFonts w:ascii="Wingdings" w:hAnsi="Wingdings" w:cs="Wingdings"/>
      <w:color w:val="FF0000"/>
      <w:sz w:val="16"/>
    </w:rPr>
  </w:style>
  <w:style w:type="character" w:styleId="WW8Num215z0">
    <w:name w:val="WW8Num215z0"/>
    <w:qFormat/>
    <w:rPr>
      <w:rFonts w:ascii="Symbol" w:hAnsi="Symbol" w:cs="Symbol"/>
      <w:color w:val="auto"/>
      <w:sz w:val="20"/>
    </w:rPr>
  </w:style>
  <w:style w:type="character" w:styleId="WW8Num217z0">
    <w:name w:val="WW8Num217z0"/>
    <w:qFormat/>
    <w:rPr/>
  </w:style>
  <w:style w:type="character" w:styleId="WW8Num218z0">
    <w:name w:val="WW8Num218z0"/>
    <w:qFormat/>
    <w:rPr>
      <w:rFonts w:ascii="Symbol" w:hAnsi="Symbol" w:cs="Symbol"/>
    </w:rPr>
  </w:style>
  <w:style w:type="character" w:styleId="WW8Num219z0">
    <w:name w:val="WW8Num219z0"/>
    <w:qFormat/>
    <w:rPr>
      <w:rFonts w:ascii="Symbol" w:hAnsi="Symbol" w:cs="Symbol"/>
    </w:rPr>
  </w:style>
  <w:style w:type="character" w:styleId="WW8Num220z0">
    <w:name w:val="WW8Num220z0"/>
    <w:qFormat/>
    <w:rPr/>
  </w:style>
  <w:style w:type="character" w:styleId="WW8Num221z0">
    <w:name w:val="WW8Num221z0"/>
    <w:qFormat/>
    <w:rPr>
      <w:b/>
      <w:i w:val="false"/>
    </w:rPr>
  </w:style>
  <w:style w:type="character" w:styleId="WW8Num223z0">
    <w:name w:val="WW8Num223z0"/>
    <w:qFormat/>
    <w:rPr>
      <w:b/>
      <w:i w:val="false"/>
    </w:rPr>
  </w:style>
  <w:style w:type="character" w:styleId="WW8Num224z0">
    <w:name w:val="WW8Num224z0"/>
    <w:qFormat/>
    <w:rPr/>
  </w:style>
  <w:style w:type="character" w:styleId="WW8Num225z0">
    <w:name w:val="WW8Num225z0"/>
    <w:qFormat/>
    <w:rPr/>
  </w:style>
  <w:style w:type="character" w:styleId="WW8Num226z0">
    <w:name w:val="WW8Num226z0"/>
    <w:qFormat/>
    <w:rPr>
      <w:rFonts w:ascii="Symbol" w:hAnsi="Symbol" w:cs="Symbol"/>
      <w:color w:val="auto"/>
    </w:rPr>
  </w:style>
  <w:style w:type="character" w:styleId="WW8Num227z0">
    <w:name w:val="WW8Num227z0"/>
    <w:qFormat/>
    <w:rPr>
      <w:rFonts w:ascii="Symbol" w:hAnsi="Symbol" w:cs="Symbol"/>
    </w:rPr>
  </w:style>
  <w:style w:type="character" w:styleId="WW8Num228z0">
    <w:name w:val="WW8Num228z0"/>
    <w:qFormat/>
    <w:rPr>
      <w:rFonts w:ascii="Symbol" w:hAnsi="Symbol" w:cs="Symbol"/>
    </w:rPr>
  </w:style>
  <w:style w:type="character" w:styleId="WW8Num229z0">
    <w:name w:val="WW8Num229z0"/>
    <w:qFormat/>
    <w:rPr>
      <w:rFonts w:ascii="Symbol" w:hAnsi="Symbol" w:cs="Symbol"/>
    </w:rPr>
  </w:style>
  <w:style w:type="character" w:styleId="WW8Num229z1">
    <w:name w:val="WW8Num229z1"/>
    <w:qFormat/>
    <w:rPr>
      <w:rFonts w:ascii="Courier New" w:hAnsi="Courier New" w:cs="Courier New"/>
    </w:rPr>
  </w:style>
  <w:style w:type="character" w:styleId="WW8Num229z2">
    <w:name w:val="WW8Num229z2"/>
    <w:qFormat/>
    <w:rPr>
      <w:rFonts w:ascii="Wingdings" w:hAnsi="Wingdings" w:cs="Wingdings"/>
    </w:rPr>
  </w:style>
  <w:style w:type="character" w:styleId="WW8Num231z0">
    <w:name w:val="WW8Num231z0"/>
    <w:qFormat/>
    <w:rPr>
      <w:rFonts w:ascii="Symbol" w:hAnsi="Symbol" w:cs="Symbol"/>
      <w:spacing w:val="0"/>
      <w:position w:val="0"/>
      <w:sz w:val="20"/>
      <w:sz w:val="20"/>
      <w:vertAlign w:val="baseline"/>
    </w:rPr>
  </w:style>
  <w:style w:type="character" w:styleId="WW8Num231z1">
    <w:name w:val="WW8Num231z1"/>
    <w:qFormat/>
    <w:rPr>
      <w:rFonts w:ascii="Courier New" w:hAnsi="Courier New" w:cs="Courier New"/>
    </w:rPr>
  </w:style>
  <w:style w:type="character" w:styleId="WW8Num231z2">
    <w:name w:val="WW8Num231z2"/>
    <w:qFormat/>
    <w:rPr>
      <w:rFonts w:ascii="Wingdings" w:hAnsi="Wingdings" w:cs="Wingdings"/>
    </w:rPr>
  </w:style>
  <w:style w:type="character" w:styleId="WW8Num231z3">
    <w:name w:val="WW8Num231z3"/>
    <w:qFormat/>
    <w:rPr>
      <w:rFonts w:ascii="Symbol" w:hAnsi="Symbol" w:cs="Symbol"/>
    </w:rPr>
  </w:style>
  <w:style w:type="character" w:styleId="WW8Num232z0">
    <w:name w:val="WW8Num232z0"/>
    <w:qFormat/>
    <w:rPr>
      <w:rFonts w:ascii="Symbol" w:hAnsi="Symbol" w:cs="Symbol"/>
    </w:rPr>
  </w:style>
  <w:style w:type="character" w:styleId="WW8Num233z0">
    <w:name w:val="WW8Num233z0"/>
    <w:qFormat/>
    <w:rPr/>
  </w:style>
  <w:style w:type="character" w:styleId="WW8Num234z0">
    <w:name w:val="WW8Num234z0"/>
    <w:qFormat/>
    <w:rPr/>
  </w:style>
  <w:style w:type="character" w:styleId="WW8Num237z0">
    <w:name w:val="WW8Num237z0"/>
    <w:qFormat/>
    <w:rPr>
      <w:rFonts w:ascii="Symbol" w:hAnsi="Symbol" w:cs="Symbol"/>
    </w:rPr>
  </w:style>
  <w:style w:type="character" w:styleId="WW8Num237z1">
    <w:name w:val="WW8Num237z1"/>
    <w:qFormat/>
    <w:rPr>
      <w:rFonts w:ascii="Courier New" w:hAnsi="Courier New" w:cs="Courier New"/>
    </w:rPr>
  </w:style>
  <w:style w:type="character" w:styleId="WW8Num237z2">
    <w:name w:val="WW8Num237z2"/>
    <w:qFormat/>
    <w:rPr>
      <w:rFonts w:ascii="Wingdings" w:hAnsi="Wingdings" w:cs="Wingdings"/>
    </w:rPr>
  </w:style>
  <w:style w:type="character" w:styleId="WW8Num238z0">
    <w:name w:val="WW8Num238z0"/>
    <w:qFormat/>
    <w:rPr>
      <w:rFonts w:ascii="Symbol" w:hAnsi="Symbol" w:cs="Symbol"/>
      <w:color w:val="FF0000"/>
    </w:rPr>
  </w:style>
  <w:style w:type="character" w:styleId="WW8Num239z0">
    <w:name w:val="WW8Num239z0"/>
    <w:qFormat/>
    <w:rPr/>
  </w:style>
  <w:style w:type="character" w:styleId="WW8Num240z0">
    <w:name w:val="WW8Num240z0"/>
    <w:qFormat/>
    <w:rPr/>
  </w:style>
  <w:style w:type="character" w:styleId="WW8Num241z0">
    <w:name w:val="WW8Num241z0"/>
    <w:qFormat/>
    <w:rPr/>
  </w:style>
  <w:style w:type="character" w:styleId="WW8Num242z0">
    <w:name w:val="WW8Num242z0"/>
    <w:qFormat/>
    <w:rPr/>
  </w:style>
  <w:style w:type="character" w:styleId="WW8Num243z0">
    <w:name w:val="WW8Num243z0"/>
    <w:qFormat/>
    <w:rPr>
      <w:rFonts w:ascii="Symbol" w:hAnsi="Symbol" w:cs="Symbol"/>
      <w:color w:val="auto"/>
    </w:rPr>
  </w:style>
  <w:style w:type="character" w:styleId="WW8Num244z0">
    <w:name w:val="WW8Num244z0"/>
    <w:qFormat/>
    <w:rPr>
      <w:b/>
      <w:i w:val="false"/>
    </w:rPr>
  </w:style>
  <w:style w:type="character" w:styleId="WW8Num245z0">
    <w:name w:val="WW8Num245z0"/>
    <w:qFormat/>
    <w:rPr>
      <w:rFonts w:ascii="Wingdings" w:hAnsi="Wingdings" w:cs="Wingdings"/>
    </w:rPr>
  </w:style>
  <w:style w:type="character" w:styleId="WW8Num246z0">
    <w:name w:val="WW8Num246z0"/>
    <w:qFormat/>
    <w:rPr>
      <w:rFonts w:ascii="Symbol" w:hAnsi="Symbol" w:cs="Symbol"/>
    </w:rPr>
  </w:style>
  <w:style w:type="character" w:styleId="WW8Num247z0">
    <w:name w:val="WW8Num247z0"/>
    <w:qFormat/>
    <w:rPr/>
  </w:style>
  <w:style w:type="character" w:styleId="WW8Num248z0">
    <w:name w:val="WW8Num248z0"/>
    <w:qFormat/>
    <w:rPr/>
  </w:style>
  <w:style w:type="character" w:styleId="WW8Num249z0">
    <w:name w:val="WW8Num249z0"/>
    <w:qFormat/>
    <w:rPr>
      <w:b/>
      <w:i w:val="false"/>
    </w:rPr>
  </w:style>
  <w:style w:type="character" w:styleId="WW8Num250z0">
    <w:name w:val="WW8Num250z0"/>
    <w:qFormat/>
    <w:rPr>
      <w:rFonts w:ascii="Symbol" w:hAnsi="Symbol" w:cs="Symbol"/>
    </w:rPr>
  </w:style>
  <w:style w:type="character" w:styleId="WW8Num251z0">
    <w:name w:val="WW8Num251z0"/>
    <w:qFormat/>
    <w:rPr>
      <w:rFonts w:ascii="Wingdings" w:hAnsi="Wingdings" w:cs="Wingdings"/>
      <w:color w:val="FF0000"/>
      <w:sz w:val="16"/>
    </w:rPr>
  </w:style>
  <w:style w:type="character" w:styleId="WW8Num252z0">
    <w:name w:val="WW8Num252z0"/>
    <w:qFormat/>
    <w:rPr>
      <w:rFonts w:ascii="Wingdings" w:hAnsi="Wingdings" w:cs="Wingdings"/>
    </w:rPr>
  </w:style>
  <w:style w:type="character" w:styleId="WW8Num253z0">
    <w:name w:val="WW8Num253z0"/>
    <w:qFormat/>
    <w:rPr>
      <w:rFonts w:ascii="Symbol" w:hAnsi="Symbol" w:cs="Symbol"/>
      <w:sz w:val="20"/>
    </w:rPr>
  </w:style>
  <w:style w:type="character" w:styleId="WW8Num254z0">
    <w:name w:val="WW8Num254z0"/>
    <w:qFormat/>
    <w:rPr>
      <w:rFonts w:ascii="Symbol" w:hAnsi="Symbol" w:cs="Symbol"/>
      <w:color w:val="auto"/>
    </w:rPr>
  </w:style>
  <w:style w:type="character" w:styleId="WW8Num255z0">
    <w:name w:val="WW8Num255z0"/>
    <w:qFormat/>
    <w:rPr>
      <w:b/>
      <w:i w:val="false"/>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jc w:val="center"/>
    </w:pPr>
    <w:rPr>
      <w:b/>
      <w:sz w:val="36"/>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next w:val="Normal"/>
    <w:qFormat/>
    <w:pPr>
      <w:ind w:hanging="0" w:start="720" w:end="0"/>
      <w:jc w:val="center"/>
    </w:pPr>
    <w:rPr>
      <w:b/>
      <w:color w:val="000080"/>
      <w:sz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sz w:val="32"/>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numPr>
        <w:ilvl w:val="0"/>
        <w:numId w:val="0"/>
      </w:numPr>
      <w:tabs>
        <w:tab w:val="left" w:pos="720" w:leader="none"/>
        <w:tab w:val="left" w:pos="2160" w:leader="none"/>
        <w:tab w:val="left" w:pos="3870" w:leader="none"/>
        <w:tab w:val="right" w:pos="8100" w:leader="none"/>
        <w:tab w:val="right" w:pos="8370" w:leader="none"/>
      </w:tabs>
      <w:ind w:hanging="360" w:start="360" w:end="0"/>
    </w:pPr>
    <w:rPr>
      <w:sz w:val="24"/>
    </w:rPr>
  </w:style>
  <w:style w:type="paragraph" w:styleId="BodyTextIndent2">
    <w:name w:val="Body Text Indent 2"/>
    <w:basedOn w:val="Normal"/>
    <w:qFormat/>
    <w:pPr>
      <w:ind w:hanging="0" w:start="360" w:end="0"/>
    </w:pPr>
    <w:rPr>
      <w:sz w:val="24"/>
    </w:rPr>
  </w:style>
  <w:style w:type="paragraph" w:styleId="BodyTextIndent3">
    <w:name w:val="Body Text Indent 3"/>
    <w:basedOn w:val="Normal"/>
    <w:qFormat/>
    <w:pPr>
      <w:ind w:hanging="0" w:start="720" w:end="0"/>
    </w:pPr>
    <w:rPr>
      <w:sz w:val="24"/>
    </w:rPr>
  </w:style>
  <w:style w:type="paragraph" w:styleId="BodyText2">
    <w:name w:val="Body Text 2"/>
    <w:basedOn w:val="Normal"/>
    <w:qFormat/>
    <w:pPr/>
    <w:rPr>
      <w:sz w:val="22"/>
    </w:rPr>
  </w:style>
  <w:style w:type="paragraph" w:styleId="BodyText3">
    <w:name w:val="Body Text 3"/>
    <w:basedOn w:val="Normal"/>
    <w:qFormat/>
    <w:pPr>
      <w:spacing w:lineRule="atLeast" w:line="240"/>
    </w:pPr>
    <w:rPr>
      <w:color w:val="000000"/>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ind w:hanging="0" w:start="1800" w:end="720"/>
    </w:pPr>
    <w:rPr>
      <w:sz w:val="22"/>
    </w:rPr>
  </w:style>
  <w:style w:type="paragraph" w:styleId="FootnoteText">
    <w:name w:val="footnote text"/>
    <w:basedOn w:val="Normal"/>
    <w:pPr/>
    <w:rPr/>
  </w:style>
  <w:style w:type="paragraph" w:styleId="NormalWeb">
    <w:name w:val="Normal (Web)"/>
    <w:basedOn w:val="Normal"/>
    <w:qFormat/>
    <w:pPr>
      <w:spacing w:before="100" w:after="100"/>
    </w:pPr>
    <w:rPr>
      <w:sz w:val="24"/>
      <w:szCs w:val="24"/>
    </w:rPr>
  </w:style>
  <w:style w:type="paragraph" w:styleId="bodytext1">
    <w:name w:val="bodytext"/>
    <w:basedOn w:val="Normal"/>
    <w:qFormat/>
    <w:pPr>
      <w:spacing w:before="100" w:after="100"/>
    </w:pPr>
    <w:rPr>
      <w:rFonts w:ascii="Verdana" w:hAnsi="Verdana" w:cs="Verdana"/>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GroupTemp.dot</Template>
  <TotalTime>1251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2001-11-12T20:39:00Z</dcterms:created>
  <dc:creator>Marissa C. Mariner</dc:creator>
  <dc:description/>
  <dc:language>en-CA</dc:language>
  <cp:lastModifiedBy>rjohnst</cp:lastModifiedBy>
  <cp:lastPrinted>2001-11-13T14:51:00Z</cp:lastPrinted>
  <dcterms:modified xsi:type="dcterms:W3CDTF">2001-11-13T18:21:00Z</dcterms:modified>
  <cp:revision>4</cp:revision>
  <dc:subject/>
  <dc:title>Duke Energy</dc:title>
</cp:coreProperties>
</file>