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3"/>
        <w:numPr>
          <w:ilvl w:val="0"/>
          <w:numId w:val="4"/>
        </w:numPr>
        <w:rPr>
          <w:b/>
          <w:lang w:val="en-GB"/>
        </w:rPr>
      </w:pPr>
      <w:r>
        <w:rPr>
          <w:b/>
          <w:lang w:val="en-GB"/>
        </w:rPr>
        <w:t>WHAT DO YOU THINK OF THE PROVISIONAL TARIFF SYSTEM THAT HAS BEEN IMPLEMENTED IN OUR COUNTRY?</w:t>
      </w:r>
    </w:p>
    <w:p>
      <w:pPr>
        <w:pStyle w:val="BodyTextIndent3"/>
        <w:rPr>
          <w:b/>
          <w:lang w:val="en-GB"/>
        </w:rPr>
      </w:pPr>
      <w:r>
        <w:rPr>
          <w:b/>
          <w:lang w:val="en-GB"/>
        </w:rPr>
      </w:r>
    </w:p>
    <w:p>
      <w:pPr>
        <w:pStyle w:val="BodyTextIndent3"/>
        <w:rPr>
          <w:lang w:val="en-GB"/>
        </w:rPr>
      </w:pPr>
      <w:r>
        <w:rPr>
          <w:lang w:val="en-GB"/>
        </w:rPr>
        <w:t>Your assessment should differentiate between:</w:t>
      </w:r>
    </w:p>
    <w:p>
      <w:pPr>
        <w:pStyle w:val="BodyTextIndent3"/>
        <w:rPr>
          <w:b/>
          <w:lang w:val="en-GB"/>
        </w:rPr>
      </w:pPr>
      <w:r>
        <w:rPr>
          <w:b/>
          <w:lang w:val="en-GB"/>
        </w:rPr>
      </w:r>
    </w:p>
    <w:p>
      <w:pPr>
        <w:pStyle w:val="BodyTextIndent3"/>
        <w:rPr>
          <w:b/>
          <w:lang w:val="en-GB"/>
        </w:rPr>
      </w:pPr>
      <w:r>
        <w:rPr>
          <w:b/>
          <w:lang w:val="en-GB"/>
        </w:rPr>
        <w:t>3.1. The principles:</w:t>
      </w:r>
    </w:p>
    <w:p>
      <w:pPr>
        <w:pStyle w:val="BodyTextIndent3"/>
        <w:rPr>
          <w:b/>
          <w:lang w:val="en-GB"/>
        </w:rPr>
      </w:pPr>
      <w:r>
        <w:rPr>
          <w:b/>
          <w:lang w:val="en-GB"/>
        </w:rPr>
      </w:r>
    </w:p>
    <w:p>
      <w:pPr>
        <w:pStyle w:val="BodyTextIndent3"/>
        <w:rPr>
          <w:bCs w:val="false"/>
          <w:i/>
          <w:i/>
          <w:iCs/>
          <w:lang w:val="en-GB"/>
        </w:rPr>
      </w:pPr>
      <w:r>
        <w:rPr>
          <w:bCs w:val="false"/>
          <w:i/>
          <w:iCs/>
          <w:lang w:val="en-GB"/>
        </w:rPr>
        <w:t>The principles surrounding a tariff system should include the following:</w:t>
      </w:r>
    </w:p>
    <w:p>
      <w:pPr>
        <w:pStyle w:val="BodyTextIndent3"/>
        <w:numPr>
          <w:ilvl w:val="0"/>
          <w:numId w:val="7"/>
        </w:numPr>
        <w:rPr>
          <w:bCs w:val="false"/>
          <w:i/>
          <w:i/>
          <w:iCs/>
          <w:lang w:val="en-GB"/>
        </w:rPr>
      </w:pPr>
      <w:r>
        <w:rPr>
          <w:bCs w:val="false"/>
          <w:i/>
          <w:iCs/>
          <w:lang w:val="en-GB"/>
        </w:rPr>
        <w:t>Costs reflectivity</w:t>
      </w:r>
    </w:p>
    <w:p>
      <w:pPr>
        <w:pStyle w:val="BodyTextIndent3"/>
        <w:numPr>
          <w:ilvl w:val="0"/>
          <w:numId w:val="7"/>
        </w:numPr>
        <w:rPr>
          <w:bCs w:val="false"/>
          <w:i/>
          <w:i/>
          <w:iCs/>
          <w:lang w:val="en-GB"/>
        </w:rPr>
      </w:pPr>
      <w:r>
        <w:rPr>
          <w:bCs w:val="false"/>
          <w:i/>
          <w:iCs/>
          <w:lang w:val="en-GB"/>
        </w:rPr>
        <w:t>Non-discrimination – access and rates</w:t>
      </w:r>
    </w:p>
    <w:p>
      <w:pPr>
        <w:pStyle w:val="BodyTextIndent3"/>
        <w:numPr>
          <w:ilvl w:val="0"/>
          <w:numId w:val="7"/>
        </w:numPr>
        <w:rPr>
          <w:bCs w:val="false"/>
          <w:i/>
          <w:i/>
          <w:iCs/>
          <w:lang w:val="en-GB"/>
        </w:rPr>
      </w:pPr>
      <w:r>
        <w:rPr>
          <w:bCs w:val="false"/>
          <w:i/>
          <w:iCs/>
          <w:lang w:val="en-GB"/>
        </w:rPr>
        <w:t>Transparency</w:t>
      </w:r>
    </w:p>
    <w:p>
      <w:pPr>
        <w:pStyle w:val="BodyTextIndent3"/>
        <w:numPr>
          <w:ilvl w:val="0"/>
          <w:numId w:val="7"/>
        </w:numPr>
        <w:rPr>
          <w:bCs w:val="false"/>
          <w:i/>
          <w:i/>
          <w:iCs/>
          <w:lang w:val="en-GB"/>
        </w:rPr>
      </w:pPr>
      <w:r>
        <w:rPr>
          <w:bCs w:val="false"/>
          <w:i/>
          <w:iCs/>
          <w:lang w:val="en-GB"/>
        </w:rPr>
        <w:t>Promotion of competition</w:t>
      </w:r>
    </w:p>
    <w:p>
      <w:pPr>
        <w:pStyle w:val="BodyTextIndent3"/>
        <w:rPr>
          <w:b/>
          <w:bCs w:val="false"/>
          <w:i/>
          <w:i/>
          <w:iCs/>
          <w:lang w:val="en-GB"/>
        </w:rPr>
      </w:pPr>
      <w:r>
        <w:rPr>
          <w:b/>
          <w:bCs w:val="false"/>
          <w:i/>
          <w:iCs/>
          <w:lang w:val="en-GB"/>
        </w:rPr>
      </w:r>
    </w:p>
    <w:p>
      <w:pPr>
        <w:pStyle w:val="BodyTextIndent3"/>
        <w:numPr>
          <w:ilvl w:val="0"/>
          <w:numId w:val="5"/>
        </w:numPr>
        <w:rPr>
          <w:lang w:val="en-GB"/>
        </w:rPr>
      </w:pPr>
      <w:r>
        <w:rPr>
          <w:lang w:val="en-GB"/>
        </w:rPr>
        <w:t>Entities concerned: eligible customers, suppliers, other gas operators, traders, etc.</w:t>
      </w:r>
    </w:p>
    <w:p>
      <w:pPr>
        <w:pStyle w:val="BodyTextIndent3"/>
        <w:ind w:start="0" w:end="0"/>
        <w:rPr>
          <w:i/>
          <w:i/>
          <w:iCs/>
          <w:lang w:val="en-GB"/>
        </w:rPr>
      </w:pPr>
      <w:r>
        <w:rPr>
          <w:i/>
          <w:iCs/>
          <w:lang w:val="en-GB"/>
        </w:rPr>
        <w:t>Eligible customers are being discriminated against given that the level of eligibility is the minimum set by the directive.</w:t>
      </w:r>
    </w:p>
    <w:p>
      <w:pPr>
        <w:pStyle w:val="BodyTextIndent3"/>
        <w:ind w:start="0" w:end="0"/>
        <w:rPr>
          <w:i/>
          <w:i/>
          <w:iCs/>
          <w:lang w:val="en-GB"/>
        </w:rPr>
      </w:pPr>
      <w:r>
        <w:rPr>
          <w:i/>
          <w:iCs/>
          <w:lang w:val="en-GB"/>
        </w:rPr>
        <w:t>Suppliers other than GdF are being discriminated against given that entry for new participators are limited to one injection point. Furthermore the tariffs that new entrants are subject to are not necessarily the same as offers GdF has for customers (are GdF customers subject to zonal pancake rates?)</w:t>
      </w:r>
    </w:p>
    <w:p>
      <w:pPr>
        <w:pStyle w:val="BodyTextIndent3"/>
        <w:ind w:start="0" w:end="0"/>
        <w:rPr>
          <w:i/>
          <w:i/>
          <w:iCs/>
          <w:lang w:val="en-GB"/>
        </w:rPr>
      </w:pPr>
      <w:r>
        <w:rPr>
          <w:i/>
          <w:iCs/>
          <w:lang w:val="en-GB"/>
        </w:rPr>
        <w:t>Promotion of competition is not part of the proposed tariff structure (limitation to one entry point in France).</w:t>
      </w:r>
    </w:p>
    <w:p>
      <w:pPr>
        <w:pStyle w:val="BodyTextIndent3"/>
        <w:ind w:start="0" w:end="0"/>
        <w:rPr>
          <w:i/>
          <w:i/>
          <w:iCs/>
          <w:lang w:val="en-GB"/>
        </w:rPr>
      </w:pPr>
      <w:r>
        <w:rPr>
          <w:i/>
          <w:iCs/>
          <w:lang w:val="en-GB"/>
        </w:rPr>
        <w:t>Third party access rules have been is voluntary so are de facto negotiated.</w:t>
      </w:r>
    </w:p>
    <w:p>
      <w:pPr>
        <w:pStyle w:val="BodyTextIndent3"/>
        <w:ind w:start="0" w:end="0"/>
        <w:rPr>
          <w:i/>
          <w:i/>
          <w:iCs/>
          <w:lang w:val="en-GB"/>
        </w:rPr>
      </w:pPr>
      <w:r>
        <w:rPr>
          <w:i/>
          <w:iCs/>
          <w:lang w:val="en-GB"/>
        </w:rPr>
        <w:t>The only positive thing about the French provisional tariffs is the transparency element.</w:t>
      </w:r>
    </w:p>
    <w:p>
      <w:pPr>
        <w:pStyle w:val="BodyTextIndent3"/>
        <w:ind w:firstLine="360" w:end="0"/>
        <w:rPr>
          <w:i/>
          <w:i/>
          <w:iCs/>
          <w:lang w:val="en-GB"/>
        </w:rPr>
      </w:pPr>
      <w:r>
        <w:rPr>
          <w:i/>
          <w:iCs/>
          <w:lang w:val="en-GB"/>
        </w:rPr>
        <w:t xml:space="preserve"> </w:t>
      </w:r>
    </w:p>
    <w:p>
      <w:pPr>
        <w:pStyle w:val="BodyTextIndent3"/>
        <w:numPr>
          <w:ilvl w:val="0"/>
          <w:numId w:val="5"/>
        </w:numPr>
        <w:rPr>
          <w:lang w:val="en-GB"/>
        </w:rPr>
      </w:pPr>
      <w:r>
        <w:rPr>
          <w:lang w:val="en-GB"/>
        </w:rPr>
        <w:t>Service offered:</w:t>
      </w:r>
    </w:p>
    <w:p>
      <w:pPr>
        <w:pStyle w:val="BodyTextIndent3"/>
        <w:numPr>
          <w:ilvl w:val="0"/>
          <w:numId w:val="6"/>
        </w:numPr>
        <w:rPr>
          <w:lang w:val="en-GB"/>
        </w:rPr>
      </w:pPr>
      <w:r>
        <w:rPr>
          <w:lang w:val="en-GB"/>
        </w:rPr>
        <w:t>Firm / interruptible</w:t>
      </w:r>
    </w:p>
    <w:p>
      <w:pPr>
        <w:pStyle w:val="BodyTextIndent3"/>
        <w:ind w:start="1068" w:end="0"/>
        <w:rPr>
          <w:b/>
          <w:bCs w:val="false"/>
          <w:i/>
          <w:i/>
          <w:iCs/>
          <w:lang w:val="en-GB"/>
        </w:rPr>
      </w:pPr>
      <w:r>
        <w:rPr>
          <w:b/>
          <w:bCs w:val="false"/>
          <w:i/>
          <w:iCs/>
          <w:lang w:val="en-GB"/>
        </w:rPr>
        <w:t>(Are these services available for new entrants?)</w:t>
      </w:r>
    </w:p>
    <w:p>
      <w:pPr>
        <w:pStyle w:val="BodyTextIndent3"/>
        <w:numPr>
          <w:ilvl w:val="0"/>
          <w:numId w:val="6"/>
        </w:numPr>
        <w:rPr>
          <w:lang w:val="en-GB"/>
        </w:rPr>
      </w:pPr>
      <w:r>
        <w:rPr>
          <w:lang w:val="en-GB"/>
        </w:rPr>
        <w:t>transferability of rights</w:t>
      </w:r>
    </w:p>
    <w:p>
      <w:pPr>
        <w:pStyle w:val="BodyTextIndent3"/>
        <w:ind w:start="1068" w:end="0"/>
        <w:rPr>
          <w:b/>
          <w:bCs w:val="false"/>
          <w:i/>
          <w:i/>
          <w:iCs/>
          <w:lang w:val="en-GB"/>
        </w:rPr>
      </w:pPr>
      <w:r>
        <w:rPr>
          <w:b/>
          <w:bCs w:val="false"/>
          <w:i/>
          <w:iCs/>
          <w:lang w:val="en-GB"/>
        </w:rPr>
        <w:t>(Is it possible to transfer capacity rights)</w:t>
      </w:r>
    </w:p>
    <w:p>
      <w:pPr>
        <w:pStyle w:val="BodyTextIndent3"/>
        <w:numPr>
          <w:ilvl w:val="0"/>
          <w:numId w:val="6"/>
        </w:numPr>
        <w:rPr/>
      </w:pPr>
      <w:r>
        <w:rPr/>
        <w:t xml:space="preserve">nature: transport, distribution, regasification, modulation </w:t>
      </w:r>
      <w:r>
        <w:rPr>
          <w:lang w:val="en-GB"/>
        </w:rPr>
        <w:t>(storage</w:t>
      </w:r>
      <w:r>
        <w:rPr/>
        <w:t>), etc.</w:t>
      </w:r>
    </w:p>
    <w:p>
      <w:pPr>
        <w:pStyle w:val="Normal"/>
        <w:autoSpaceDE w:val="false"/>
        <w:spacing w:lineRule="atLeast" w:line="240"/>
        <w:ind w:start="1416" w:end="0"/>
        <w:rPr/>
      </w:pPr>
      <w:r>
        <w:rPr>
          <w:b/>
          <w:i/>
          <w:iCs/>
          <w:color w:val="000000"/>
          <w:szCs w:val="20"/>
          <w:lang w:val="en-GB"/>
        </w:rPr>
        <w:t>Transport and Distribution</w:t>
      </w:r>
      <w:r>
        <w:rPr>
          <w:bCs/>
          <w:i/>
          <w:iCs/>
          <w:color w:val="000000"/>
          <w:szCs w:val="20"/>
          <w:lang w:val="en-GB"/>
        </w:rPr>
        <w:t>:</w:t>
      </w:r>
    </w:p>
    <w:p>
      <w:pPr>
        <w:pStyle w:val="Normal"/>
        <w:autoSpaceDE w:val="false"/>
        <w:spacing w:lineRule="atLeast" w:line="240"/>
        <w:ind w:start="1416" w:end="0"/>
        <w:rPr>
          <w:bCs/>
          <w:i/>
          <w:i/>
          <w:iCs/>
          <w:color w:val="000000"/>
          <w:szCs w:val="20"/>
          <w:lang w:val="en-GB"/>
        </w:rPr>
      </w:pPr>
      <w:r>
        <w:rPr>
          <w:bCs/>
          <w:i/>
          <w:iCs/>
          <w:color w:val="000000"/>
          <w:szCs w:val="20"/>
          <w:lang w:val="en-GB"/>
        </w:rPr>
        <w:t xml:space="preserve">At this point transportation contracts are basically impossible to sign. There are not detailed enough. E.g. In the case of a Force Majeure on a customer's site, GdF claims that they will increase the tolerance level to reduce balancing risks. It's not clear what will happen to the shipper in the event of Force Majeure. Will the shipper still have to pay balancing fees? </w:t>
      </w:r>
    </w:p>
    <w:p>
      <w:pPr>
        <w:pStyle w:val="BodyTextIndent3"/>
        <w:ind w:start="1416" w:end="0"/>
        <w:rPr/>
      </w:pPr>
      <w:r>
        <w:rPr>
          <w:bCs w:val="false"/>
          <w:i/>
          <w:iCs/>
          <w:color w:val="000000"/>
          <w:szCs w:val="20"/>
          <w:lang w:val="en-GB" w:eastAsia="en-US"/>
        </w:rPr>
        <w:t>At a minimum, a planned maintenance at the end user's site</w:t>
      </w:r>
      <w:r>
        <w:rPr>
          <w:b/>
          <w:i/>
          <w:iCs/>
          <w:color w:val="000000"/>
          <w:szCs w:val="20"/>
          <w:lang w:val="en-GB" w:eastAsia="en-US"/>
        </w:rPr>
        <w:t xml:space="preserve"> </w:t>
      </w:r>
      <w:r>
        <w:rPr>
          <w:bCs w:val="false"/>
          <w:i/>
          <w:iCs/>
          <w:color w:val="000000"/>
          <w:szCs w:val="20"/>
          <w:lang w:val="en-GB" w:eastAsia="en-US"/>
        </w:rPr>
        <w:t>or in the GdF system should trigger a reduction in the transportation cost charged to the shipper. Under the current TPA tariffs, these conditions do not trigger an automatic reduction in transportation costs.</w:t>
      </w:r>
    </w:p>
    <w:p>
      <w:pPr>
        <w:pStyle w:val="BodyTextIndent3"/>
        <w:ind w:start="1416" w:end="0"/>
        <w:rPr/>
      </w:pPr>
      <w:r>
        <w:rPr>
          <w:bCs w:val="false"/>
          <w:i/>
          <w:iCs/>
          <w:color w:val="000000"/>
          <w:szCs w:val="20"/>
          <w:lang w:val="en-GB" w:eastAsia="en-US"/>
        </w:rPr>
        <w:t xml:space="preserve">The current transportation tariffs are not cost reflective as the do not reflect the flow of gas. Given that TPA is only possible from one entry point into the system </w:t>
      </w:r>
      <w:r>
        <w:rPr>
          <w:b/>
          <w:i/>
          <w:iCs/>
          <w:color w:val="000000"/>
          <w:szCs w:val="20"/>
          <w:lang w:val="en-GB" w:eastAsia="en-US"/>
        </w:rPr>
        <w:t>(which one is it)</w:t>
      </w:r>
      <w:r>
        <w:rPr>
          <w:bCs w:val="false"/>
          <w:i/>
          <w:iCs/>
          <w:color w:val="000000"/>
          <w:szCs w:val="20"/>
          <w:lang w:val="en-GB" w:eastAsia="en-US"/>
        </w:rPr>
        <w:t xml:space="preserve"> service to an eligible customers near a different injection point will most likely consume gas coming from that point and thus the transportation charges to the gas consumed would not be reflective of the flow of that gas.   </w:t>
      </w:r>
    </w:p>
    <w:p>
      <w:pPr>
        <w:pStyle w:val="BodyTextIndent3"/>
        <w:ind w:start="1416" w:end="0"/>
        <w:rPr>
          <w:b/>
          <w:bCs w:val="false"/>
          <w:i/>
          <w:i/>
          <w:iCs/>
          <w:color w:val="000000"/>
          <w:szCs w:val="20"/>
          <w:lang w:val="en-GB" w:eastAsia="en-US"/>
        </w:rPr>
      </w:pPr>
      <w:r>
        <w:rPr>
          <w:b/>
          <w:bCs w:val="false"/>
          <w:i/>
          <w:iCs/>
          <w:color w:val="000000"/>
          <w:szCs w:val="20"/>
          <w:lang w:val="en-GB" w:eastAsia="en-US"/>
        </w:rPr>
      </w:r>
    </w:p>
    <w:p>
      <w:pPr>
        <w:pStyle w:val="BodyTextIndent3"/>
        <w:ind w:start="1416" w:end="0"/>
        <w:rPr/>
      </w:pPr>
      <w:r>
        <w:rPr>
          <w:b/>
          <w:i/>
          <w:iCs/>
          <w:color w:val="000000"/>
          <w:szCs w:val="20"/>
          <w:lang w:val="en-GB" w:eastAsia="en-US"/>
        </w:rPr>
        <w:t>Regasification</w:t>
      </w:r>
      <w:r>
        <w:rPr>
          <w:bCs w:val="false"/>
          <w:i/>
          <w:iCs/>
          <w:color w:val="000000"/>
          <w:szCs w:val="20"/>
          <w:lang w:val="en-GB" w:eastAsia="en-US"/>
        </w:rPr>
        <w:t>:</w:t>
      </w:r>
    </w:p>
    <w:p>
      <w:pPr>
        <w:pStyle w:val="Normal"/>
        <w:autoSpaceDE w:val="false"/>
        <w:spacing w:lineRule="atLeast" w:line="240"/>
        <w:ind w:start="1416" w:end="0"/>
        <w:rPr>
          <w:bCs/>
          <w:i/>
          <w:i/>
          <w:iCs/>
          <w:color w:val="000000"/>
          <w:szCs w:val="20"/>
          <w:lang w:val="en-GB"/>
        </w:rPr>
      </w:pPr>
      <w:r>
        <w:rPr>
          <w:bCs/>
          <w:i/>
          <w:iCs/>
          <w:color w:val="000000"/>
          <w:szCs w:val="20"/>
          <w:lang w:val="en-GB"/>
        </w:rPr>
        <w:t>Access conditions at the LNG terminals have yet to be published and it is not clear whether or not TPA access is allowed. TPA access should be allowed and regulated to ensure a fair, non-discriminatory access.</w:t>
      </w:r>
    </w:p>
    <w:p>
      <w:pPr>
        <w:pStyle w:val="Normal"/>
        <w:autoSpaceDE w:val="false"/>
        <w:spacing w:lineRule="atLeast" w:line="240"/>
        <w:ind w:start="1416" w:end="0"/>
        <w:rPr>
          <w:b/>
          <w:bCs/>
          <w:i/>
          <w:i/>
          <w:iCs/>
          <w:color w:val="000000"/>
          <w:szCs w:val="20"/>
          <w:lang w:val="en-GB"/>
        </w:rPr>
      </w:pPr>
      <w:r>
        <w:rPr>
          <w:b/>
          <w:bCs/>
          <w:i/>
          <w:iCs/>
          <w:color w:val="000000"/>
          <w:szCs w:val="20"/>
          <w:lang w:val="en-GB"/>
        </w:rPr>
      </w:r>
    </w:p>
    <w:p>
      <w:pPr>
        <w:pStyle w:val="Normal"/>
        <w:autoSpaceDE w:val="false"/>
        <w:spacing w:lineRule="atLeast" w:line="240"/>
        <w:ind w:start="1416" w:end="0"/>
        <w:rPr>
          <w:b/>
          <w:i/>
          <w:i/>
          <w:iCs/>
          <w:color w:val="000000"/>
          <w:szCs w:val="20"/>
          <w:lang w:val="en-GB"/>
        </w:rPr>
      </w:pPr>
      <w:r>
        <w:rPr>
          <w:b/>
          <w:i/>
          <w:iCs/>
          <w:color w:val="000000"/>
          <w:szCs w:val="20"/>
          <w:lang w:val="en-GB"/>
        </w:rPr>
        <w:t>Storage:</w:t>
      </w:r>
    </w:p>
    <w:p>
      <w:pPr>
        <w:pStyle w:val="Normal"/>
        <w:autoSpaceDE w:val="false"/>
        <w:spacing w:lineRule="atLeast" w:line="240"/>
        <w:ind w:start="1416" w:end="0"/>
        <w:rPr>
          <w:bCs/>
          <w:i/>
          <w:i/>
          <w:iCs/>
          <w:color w:val="000000"/>
          <w:szCs w:val="20"/>
          <w:lang w:val="en-GB"/>
        </w:rPr>
      </w:pPr>
      <w:r>
        <w:rPr>
          <w:bCs/>
          <w:i/>
          <w:iCs/>
          <w:color w:val="000000"/>
          <w:szCs w:val="20"/>
          <w:lang w:val="en-GB"/>
        </w:rPr>
        <w:t>Storage tariffs have been published, in the last couple of days, to facilitate load matching. These tariffs seemed to be limited to shippers that have customers. Storage should be open to all shippers independent of supply contracts and transport contracts.</w:t>
      </w:r>
    </w:p>
    <w:p>
      <w:pPr>
        <w:pStyle w:val="Normal"/>
        <w:autoSpaceDE w:val="false"/>
        <w:spacing w:lineRule="atLeast" w:line="240"/>
        <w:ind w:start="1416" w:end="0"/>
        <w:rPr>
          <w:b/>
          <w:i/>
          <w:i/>
          <w:iCs/>
          <w:color w:val="000000"/>
          <w:szCs w:val="20"/>
          <w:lang w:val="en-GB"/>
        </w:rPr>
      </w:pPr>
      <w:r>
        <w:rPr>
          <w:bCs/>
          <w:i/>
          <w:iCs/>
          <w:color w:val="000000"/>
          <w:szCs w:val="20"/>
          <w:lang w:val="en-GB"/>
        </w:rPr>
        <w:t>There are injection and withdrawal restrictions during certain periods of the year. Why are these limitations in place (is it for security of supply, if so we believe that the market can provide that service)? If these restrictions must remain in place, the tariffs for these services should be reflective of those restrictions. (We have not had the time to analyse the rates and cannot comment on their levels)</w:t>
      </w:r>
    </w:p>
    <w:p>
      <w:pPr>
        <w:pStyle w:val="BodyTextIndent3"/>
        <w:ind w:start="1416" w:end="0"/>
        <w:rPr>
          <w:b/>
          <w:i/>
          <w:i/>
          <w:iCs/>
          <w:color w:val="000000"/>
          <w:szCs w:val="20"/>
          <w:lang w:val="en-GB"/>
        </w:rPr>
      </w:pPr>
      <w:r>
        <w:rPr>
          <w:b/>
          <w:i/>
          <w:iCs/>
          <w:color w:val="000000"/>
          <w:szCs w:val="20"/>
          <w:lang w:val="en-GB"/>
        </w:rPr>
      </w:r>
    </w:p>
    <w:p>
      <w:pPr>
        <w:pStyle w:val="BodyTextIndent3"/>
        <w:rPr>
          <w:lang w:val="en-GB"/>
        </w:rPr>
      </w:pPr>
      <w:r>
        <w:rPr>
          <w:lang w:val="en-GB"/>
        </w:rPr>
      </w:r>
    </w:p>
    <w:p>
      <w:pPr>
        <w:pStyle w:val="BodyTextIndent3"/>
        <w:numPr>
          <w:ilvl w:val="1"/>
          <w:numId w:val="1"/>
        </w:numPr>
        <w:rPr>
          <w:b/>
          <w:lang w:val="en-GB"/>
        </w:rPr>
      </w:pPr>
      <w:r>
        <w:rPr>
          <w:b/>
          <w:lang w:val="en-GB"/>
        </w:rPr>
        <w:t>Implementation methods:</w:t>
      </w:r>
    </w:p>
    <w:p>
      <w:pPr>
        <w:pStyle w:val="BodyTextIndent3"/>
        <w:ind w:start="0" w:end="0"/>
        <w:rPr>
          <w:b/>
          <w:lang w:val="en-GB"/>
        </w:rPr>
      </w:pPr>
      <w:r>
        <w:rPr>
          <w:b/>
          <w:lang w:val="en-GB"/>
        </w:rPr>
      </w:r>
    </w:p>
    <w:p>
      <w:pPr>
        <w:pStyle w:val="BodyTextIndent3"/>
        <w:numPr>
          <w:ilvl w:val="0"/>
          <w:numId w:val="2"/>
        </w:numPr>
        <w:rPr>
          <w:lang w:val="en-GB"/>
        </w:rPr>
      </w:pPr>
      <w:r>
        <w:rPr>
          <w:lang w:val="en-GB"/>
        </w:rPr>
        <w:t>Term of contracts</w:t>
      </w:r>
    </w:p>
    <w:p>
      <w:pPr>
        <w:pStyle w:val="BodyTextIndent3"/>
        <w:ind w:start="1080" w:end="0"/>
        <w:rPr>
          <w:bCs w:val="false"/>
          <w:i/>
          <w:i/>
          <w:iCs/>
          <w:color w:val="000000"/>
          <w:szCs w:val="20"/>
          <w:lang w:val="en-GB" w:eastAsia="en-US"/>
        </w:rPr>
      </w:pPr>
      <w:r>
        <w:rPr>
          <w:bCs w:val="false"/>
          <w:i/>
          <w:iCs/>
          <w:color w:val="000000"/>
          <w:szCs w:val="20"/>
          <w:lang w:val="en-GB" w:eastAsia="en-US"/>
        </w:rPr>
        <w:t xml:space="preserve">GdF transportation contracts are currently only possible for terms of one year. This provides for a lack of flexibility for customers and shippers to adjust for monthly fluctuations. </w:t>
      </w:r>
    </w:p>
    <w:p>
      <w:pPr>
        <w:pStyle w:val="BodyTextIndent3"/>
        <w:ind w:start="1080" w:end="0"/>
        <w:rPr>
          <w:bCs w:val="false"/>
          <w:i/>
          <w:i/>
          <w:iCs/>
          <w:color w:val="000000"/>
          <w:szCs w:val="20"/>
          <w:lang w:val="en-GB" w:eastAsia="en-US"/>
        </w:rPr>
      </w:pPr>
      <w:r>
        <w:rPr>
          <w:bCs w:val="false"/>
          <w:i/>
          <w:iCs/>
          <w:color w:val="000000"/>
          <w:szCs w:val="20"/>
          <w:lang w:val="en-GB" w:eastAsia="en-US"/>
        </w:rPr>
        <w:t xml:space="preserve">Storage access could provide but does not provide for that flexibility. </w:t>
      </w:r>
    </w:p>
    <w:p>
      <w:pPr>
        <w:pStyle w:val="BodyTextIndent3"/>
        <w:ind w:start="1080" w:end="0"/>
        <w:rPr>
          <w:bCs w:val="false"/>
          <w:i/>
          <w:i/>
          <w:iCs/>
          <w:color w:val="000000"/>
          <w:szCs w:val="20"/>
          <w:lang w:val="en-GB" w:eastAsia="en-US"/>
        </w:rPr>
      </w:pPr>
      <w:r>
        <w:rPr>
          <w:bCs w:val="false"/>
          <w:i/>
          <w:iCs/>
          <w:color w:val="000000"/>
          <w:szCs w:val="20"/>
          <w:lang w:val="en-GB" w:eastAsia="en-US"/>
        </w:rPr>
        <w:t>Transportation contracts should at least be allowed for periods of one month, even if at a slight premium. Shorter-term contracts will allow shippers, traders and customers arbitrage opportunities and allow then to efficiently optimise their supply requirements.</w:t>
      </w:r>
    </w:p>
    <w:p>
      <w:pPr>
        <w:pStyle w:val="BodyTextIndent3"/>
        <w:ind w:start="1068" w:end="0"/>
        <w:rPr>
          <w:bCs w:val="false"/>
          <w:i/>
          <w:i/>
          <w:iCs/>
          <w:color w:val="000000"/>
          <w:szCs w:val="20"/>
          <w:lang w:val="en-GB" w:eastAsia="en-US"/>
        </w:rPr>
      </w:pPr>
      <w:r>
        <w:rPr>
          <w:bCs w:val="false"/>
          <w:i/>
          <w:iCs/>
          <w:color w:val="000000"/>
          <w:szCs w:val="20"/>
          <w:lang w:val="en-GB" w:eastAsia="en-US"/>
        </w:rPr>
      </w:r>
    </w:p>
    <w:p>
      <w:pPr>
        <w:pStyle w:val="BodyTextIndent3"/>
        <w:numPr>
          <w:ilvl w:val="0"/>
          <w:numId w:val="2"/>
        </w:numPr>
        <w:rPr>
          <w:lang w:val="en-GB"/>
        </w:rPr>
      </w:pPr>
      <w:r>
        <w:rPr>
          <w:lang w:val="en-GB"/>
        </w:rPr>
        <w:t>Network access code</w:t>
      </w:r>
    </w:p>
    <w:p>
      <w:pPr>
        <w:pStyle w:val="BodyTextIndent3"/>
        <w:ind w:start="1068" w:end="0"/>
        <w:rPr>
          <w:i/>
          <w:i/>
          <w:iCs/>
          <w:lang w:val="en-GB"/>
        </w:rPr>
      </w:pPr>
      <w:r>
        <w:rPr>
          <w:i/>
          <w:iCs/>
          <w:lang w:val="en-GB"/>
        </w:rPr>
        <w:t xml:space="preserve">The network access code provides for transparent tariffs. However, we believe that a regulated access code would provide for a better system, which is if the regulator and TSO are independent. </w:t>
      </w:r>
    </w:p>
    <w:p>
      <w:pPr>
        <w:pStyle w:val="BodyTextIndent3"/>
        <w:ind w:start="1068" w:end="0"/>
        <w:rPr>
          <w:lang w:val="en-GB"/>
        </w:rPr>
      </w:pPr>
      <w:r>
        <w:rPr>
          <w:i/>
          <w:iCs/>
          <w:lang w:val="en-GB"/>
        </w:rPr>
        <w:t xml:space="preserve">Access at all injection points in France should be available for all market players. To the extent that long-term contacts are blocking all available capacity at the other injection points, in the short term a minimal restructuring of these contracts is necessary to open up the access for new entry. In the longer term, no supply source should be given priority. Priority should be granted in a transparent and non-discriminatory way.  </w:t>
      </w:r>
    </w:p>
    <w:p>
      <w:pPr>
        <w:pStyle w:val="BodyTextIndent3"/>
        <w:rPr>
          <w:lang w:val="en-GB"/>
        </w:rPr>
      </w:pPr>
      <w:r>
        <w:rPr>
          <w:lang w:val="en-GB"/>
        </w:rPr>
      </w:r>
    </w:p>
    <w:p>
      <w:pPr>
        <w:pStyle w:val="BodyTextIndent3"/>
        <w:numPr>
          <w:ilvl w:val="0"/>
          <w:numId w:val="2"/>
        </w:numPr>
        <w:rPr>
          <w:lang w:val="en-GB"/>
        </w:rPr>
      </w:pPr>
      <w:r>
        <w:rPr>
          <w:lang w:val="en-GB"/>
        </w:rPr>
        <w:t>Tariff structure (fixed components – capacity; variable – quantities)</w:t>
      </w:r>
    </w:p>
    <w:p>
      <w:pPr>
        <w:pStyle w:val="BodyTextIndent3"/>
        <w:numPr>
          <w:ilvl w:val="0"/>
          <w:numId w:val="2"/>
        </w:numPr>
        <w:rPr>
          <w:lang w:val="en-GB"/>
        </w:rPr>
      </w:pPr>
      <w:r>
        <w:rPr>
          <w:b/>
          <w:bCs w:val="false"/>
          <w:i/>
          <w:iCs/>
          <w:lang w:val="en-GB"/>
        </w:rPr>
        <w:t>(What information do we have on that?)</w:t>
      </w:r>
    </w:p>
    <w:p>
      <w:pPr>
        <w:pStyle w:val="BodyTextIndent3"/>
        <w:rPr>
          <w:lang w:val="en-GB"/>
        </w:rPr>
      </w:pPr>
      <w:r>
        <w:rPr>
          <w:lang w:val="en-GB"/>
        </w:rPr>
      </w:r>
    </w:p>
    <w:p>
      <w:pPr>
        <w:pStyle w:val="BodyTextIndent3"/>
        <w:numPr>
          <w:ilvl w:val="0"/>
          <w:numId w:val="2"/>
        </w:numPr>
        <w:rPr>
          <w:lang w:val="en-GB"/>
        </w:rPr>
      </w:pPr>
      <w:r>
        <w:rPr>
          <w:lang w:val="en-GB"/>
        </w:rPr>
        <w:t xml:space="preserve">Geographic gradients </w:t>
      </w:r>
    </w:p>
    <w:p>
      <w:pPr>
        <w:pStyle w:val="BodyTextIndent3"/>
        <w:ind w:start="1068" w:end="0"/>
        <w:rPr>
          <w:i/>
          <w:i/>
          <w:iCs/>
          <w:lang w:val="en-GB"/>
        </w:rPr>
      </w:pPr>
      <w:r>
        <w:rPr>
          <w:i/>
          <w:iCs/>
          <w:lang w:val="en-GB"/>
        </w:rPr>
        <w:t xml:space="preserve">Tariffs should be cost reflective. If access is given equally at all entry points, the current “zonal” structure of the tariffs could be beneficial. </w:t>
      </w:r>
    </w:p>
    <w:p>
      <w:pPr>
        <w:pStyle w:val="BodyTextIndent3"/>
        <w:ind w:start="1068" w:end="0"/>
        <w:rPr>
          <w:i/>
          <w:i/>
          <w:iCs/>
          <w:lang w:val="en-GB"/>
        </w:rPr>
      </w:pPr>
      <w:r>
        <w:rPr>
          <w:i/>
          <w:iCs/>
          <w:lang w:val="en-GB"/>
        </w:rPr>
        <w:t xml:space="preserve">However, ultimately, the best approach would be an entry/exit fee structure, where both the entry and exit fees are cost reflective. </w:t>
      </w:r>
    </w:p>
    <w:p>
      <w:pPr>
        <w:pStyle w:val="BodyTextIndent3"/>
        <w:ind w:start="1068" w:end="0"/>
        <w:rPr>
          <w:i/>
          <w:i/>
          <w:iCs/>
          <w:lang w:val="en-GB"/>
        </w:rPr>
      </w:pPr>
      <w:r>
        <w:rPr>
          <w:i/>
          <w:iCs/>
          <w:lang w:val="en-GB"/>
        </w:rPr>
        <w:t xml:space="preserve">The entry fee at each injection point should be cost reflective of demand for the utilisation of that point and possible congestion. If the TSO’s tariffs include congestion fees, the revenues associated must be reinvested in the system to alleviate the congestion. </w:t>
      </w:r>
    </w:p>
    <w:p>
      <w:pPr>
        <w:pStyle w:val="BodyTextIndent3"/>
        <w:ind w:start="1068" w:end="0"/>
        <w:rPr>
          <w:i/>
          <w:i/>
          <w:iCs/>
          <w:lang w:val="en-GB"/>
        </w:rPr>
      </w:pPr>
      <w:r>
        <w:rPr>
          <w:i/>
          <w:iCs/>
          <w:lang w:val="en-GB"/>
        </w:rPr>
        <w:t>The exit fee should be relative to the distance of the customer form the injection point (similar to the zonal system). The cost of the pipeline needed to deliver gas would be reflected in the exit fee.</w:t>
      </w:r>
    </w:p>
    <w:p>
      <w:pPr>
        <w:pStyle w:val="BodyTextIndent3"/>
        <w:ind w:start="1068" w:end="0"/>
        <w:rPr>
          <w:lang w:val="en-GB"/>
        </w:rPr>
      </w:pPr>
      <w:r>
        <w:rPr>
          <w:i/>
          <w:iCs/>
          <w:lang w:val="en-GB"/>
        </w:rPr>
        <w:t xml:space="preserve">  </w:t>
      </w:r>
    </w:p>
    <w:p>
      <w:pPr>
        <w:pStyle w:val="BodyTextIndent3"/>
        <w:rPr>
          <w:lang w:val="en-GB"/>
        </w:rPr>
      </w:pPr>
      <w:r>
        <w:rPr>
          <w:lang w:val="en-GB"/>
        </w:rPr>
      </w:r>
    </w:p>
    <w:p>
      <w:pPr>
        <w:pStyle w:val="BodyTextIndent3"/>
        <w:numPr>
          <w:ilvl w:val="0"/>
          <w:numId w:val="2"/>
        </w:numPr>
        <w:rPr>
          <w:lang w:val="en-GB"/>
        </w:rPr>
      </w:pPr>
      <w:r>
        <w:rPr>
          <w:lang w:val="en-GB"/>
        </w:rPr>
        <w:t>Balancing system (daily and cumulative)</w:t>
      </w:r>
    </w:p>
    <w:p>
      <w:pPr>
        <w:pStyle w:val="BodyTextIndent3"/>
        <w:ind w:start="1068" w:end="0"/>
        <w:rPr>
          <w:bCs w:val="false"/>
          <w:i/>
          <w:i/>
          <w:iCs/>
          <w:color w:val="000000"/>
          <w:szCs w:val="20"/>
          <w:lang w:val="en-GB" w:eastAsia="en-US"/>
        </w:rPr>
      </w:pPr>
      <w:r>
        <w:rPr>
          <w:bCs w:val="false"/>
          <w:i/>
          <w:iCs/>
          <w:color w:val="000000"/>
          <w:szCs w:val="20"/>
          <w:lang w:val="en-GB" w:eastAsia="en-US"/>
        </w:rPr>
        <w:t>The tolerance bands that GdF proposes (daily levels of 20% for consumption under 1000 MWh/day, 5 % for consumption superior to 1000 MWh, and monthly levels of 3%) seem to be reasonable.</w:t>
      </w:r>
    </w:p>
    <w:p>
      <w:pPr>
        <w:pStyle w:val="BodyTextIndent3"/>
        <w:ind w:start="1068" w:end="0"/>
        <w:rPr/>
      </w:pPr>
      <w:r>
        <w:rPr>
          <w:bCs w:val="false"/>
          <w:i/>
          <w:iCs/>
          <w:color w:val="000000"/>
          <w:szCs w:val="20"/>
          <w:lang w:val="en-GB" w:eastAsia="en-US"/>
        </w:rPr>
        <w:t xml:space="preserve">However, the penalties associated are too high </w:t>
      </w:r>
      <w:r>
        <w:rPr>
          <w:b/>
          <w:i/>
          <w:iCs/>
          <w:color w:val="000000"/>
          <w:szCs w:val="20"/>
          <w:lang w:val="en-GB" w:eastAsia="en-US"/>
        </w:rPr>
        <w:t>(compare with other countries?)</w:t>
      </w:r>
      <w:r>
        <w:rPr>
          <w:bCs w:val="false"/>
          <w:i/>
          <w:iCs/>
          <w:color w:val="000000"/>
          <w:szCs w:val="20"/>
          <w:lang w:val="en-GB" w:eastAsia="en-US"/>
        </w:rPr>
        <w:t>. Furthermore the tools given in the GdF (Contract de Modalité) tariffs to adjust supply to match consumption are restrictive.</w:t>
      </w:r>
    </w:p>
    <w:p>
      <w:pPr>
        <w:pStyle w:val="BodyTextIndent3"/>
        <w:ind w:start="1068" w:end="0"/>
        <w:rPr>
          <w:bCs w:val="false"/>
          <w:i/>
          <w:i/>
          <w:iCs/>
          <w:color w:val="000000"/>
          <w:szCs w:val="20"/>
          <w:lang w:val="en-GB" w:eastAsia="en-US"/>
        </w:rPr>
      </w:pPr>
      <w:r>
        <w:rPr>
          <w:bCs w:val="false"/>
          <w:i/>
          <w:iCs/>
          <w:color w:val="000000"/>
          <w:szCs w:val="20"/>
          <w:lang w:val="en-GB" w:eastAsia="en-US"/>
        </w:rPr>
        <w:t>Storage in offered for that service, but transportation fees are associated with the provision of storage.</w:t>
      </w:r>
    </w:p>
    <w:p>
      <w:pPr>
        <w:pStyle w:val="BodyTextIndent3"/>
        <w:ind w:start="1068" w:end="0"/>
        <w:rPr>
          <w:bCs w:val="false"/>
          <w:i/>
          <w:i/>
          <w:iCs/>
          <w:color w:val="000000"/>
          <w:szCs w:val="20"/>
          <w:lang w:val="en-GB" w:eastAsia="en-US"/>
        </w:rPr>
      </w:pPr>
      <w:r>
        <w:rPr>
          <w:bCs w:val="false"/>
          <w:i/>
          <w:iCs/>
          <w:color w:val="000000"/>
          <w:szCs w:val="20"/>
          <w:lang w:val="en-GB" w:eastAsia="en-US"/>
        </w:rPr>
        <w:t>Storage should be virtual for balancing purposes. The importance of balancing services is to maintain system wide integrity. We should be able to contract balancing on site rather than at the 5 dedicated points, i.e. storage for customer supply should really be a balancing service offered by the GdF system: today we would need to contract capacity from the nearest storage to the site on a one year basis.</w:t>
      </w:r>
    </w:p>
    <w:p>
      <w:pPr>
        <w:pStyle w:val="BodyTextIndent3"/>
        <w:ind w:start="1068" w:end="0"/>
        <w:rPr>
          <w:bCs w:val="false"/>
          <w:i/>
          <w:i/>
          <w:iCs/>
          <w:color w:val="000000"/>
          <w:szCs w:val="20"/>
          <w:lang w:val="en-GB" w:eastAsia="en-US"/>
        </w:rPr>
      </w:pPr>
      <w:r>
        <w:rPr>
          <w:bCs w:val="false"/>
          <w:i/>
          <w:iCs/>
          <w:color w:val="000000"/>
          <w:szCs w:val="20"/>
          <w:lang w:val="en-GB" w:eastAsia="en-US"/>
        </w:rPr>
        <w:t>The storage offered through the balancing system is to ensure that the whole system is in balance. In aggregate, all customers will be out of balance and need storage to regain balance. In most cases, the transport of gas form the storage supply to the customers will not occur. Line pack will provide for that adjustment.</w:t>
      </w:r>
    </w:p>
    <w:p>
      <w:pPr>
        <w:pStyle w:val="BodyTextIndent3"/>
        <w:ind w:start="1068" w:end="0"/>
        <w:rPr>
          <w:bCs w:val="false"/>
          <w:i/>
          <w:i/>
          <w:iCs/>
          <w:color w:val="000000"/>
          <w:szCs w:val="20"/>
          <w:lang w:val="en-GB" w:eastAsia="en-US"/>
        </w:rPr>
      </w:pPr>
      <w:r>
        <w:rPr>
          <w:bCs w:val="false"/>
          <w:i/>
          <w:iCs/>
          <w:color w:val="000000"/>
          <w:szCs w:val="20"/>
          <w:lang w:val="en-GB" w:eastAsia="en-US"/>
        </w:rPr>
        <w:t xml:space="preserve">Line pack should be offered to as a balancing mechanism.  </w:t>
      </w:r>
    </w:p>
    <w:p>
      <w:pPr>
        <w:pStyle w:val="BodyTextIndent3"/>
        <w:ind w:start="1068" w:end="0"/>
        <w:rPr>
          <w:bCs w:val="false"/>
          <w:i/>
          <w:i/>
          <w:iCs/>
          <w:color w:val="000000"/>
          <w:szCs w:val="20"/>
          <w:lang w:val="en-GB" w:eastAsia="en-US"/>
        </w:rPr>
      </w:pPr>
      <w:r>
        <w:rPr>
          <w:bCs w:val="false"/>
          <w:i/>
          <w:iCs/>
          <w:color w:val="000000"/>
          <w:szCs w:val="20"/>
          <w:lang w:val="en-GB" w:eastAsia="en-US"/>
        </w:rPr>
        <w:t xml:space="preserve">Storage should also be offered to all market player with out them necessarily having end use customers. Some market players could maximise the use of storage to provide for competitive balancing service. These market players should obviously be required to stay in balance. </w:t>
      </w:r>
    </w:p>
    <w:p>
      <w:pPr>
        <w:pStyle w:val="BodyTextIndent3"/>
        <w:rPr>
          <w:bCs w:val="false"/>
          <w:i/>
          <w:i/>
          <w:iCs/>
          <w:color w:val="000000"/>
          <w:szCs w:val="20"/>
          <w:lang w:val="en-GB" w:eastAsia="en-US"/>
        </w:rPr>
      </w:pPr>
      <w:r>
        <w:rPr>
          <w:bCs w:val="false"/>
          <w:i/>
          <w:iCs/>
          <w:color w:val="000000"/>
          <w:szCs w:val="20"/>
          <w:lang w:val="en-GB" w:eastAsia="en-US"/>
        </w:rPr>
      </w:r>
    </w:p>
    <w:p>
      <w:pPr>
        <w:pStyle w:val="BodyTextIndent3"/>
        <w:numPr>
          <w:ilvl w:val="0"/>
          <w:numId w:val="2"/>
        </w:numPr>
        <w:rPr>
          <w:lang w:val="en-GB"/>
        </w:rPr>
      </w:pPr>
      <w:r>
        <w:rPr>
          <w:lang w:val="en-GB"/>
        </w:rPr>
        <w:t>Tariff structuring scenarios (investments, uptake forecasts, economic model)</w:t>
      </w:r>
    </w:p>
    <w:p>
      <w:pPr>
        <w:pStyle w:val="BodyTextIndent3"/>
        <w:numPr>
          <w:ilvl w:val="0"/>
          <w:numId w:val="2"/>
        </w:numPr>
        <w:rPr>
          <w:lang w:val="en-GB"/>
        </w:rPr>
      </w:pPr>
      <w:r>
        <w:rPr>
          <w:b/>
          <w:bCs w:val="false"/>
          <w:i/>
          <w:iCs/>
          <w:lang w:val="en-GB"/>
        </w:rPr>
        <w:t>(What information do we have on that?)</w:t>
      </w:r>
    </w:p>
    <w:p>
      <w:pPr>
        <w:pStyle w:val="BodyTextIndent3"/>
        <w:rPr>
          <w:lang w:val="en-GB"/>
        </w:rPr>
      </w:pPr>
      <w:r>
        <w:rPr>
          <w:lang w:val="en-GB"/>
        </w:rPr>
      </w:r>
    </w:p>
    <w:p>
      <w:pPr>
        <w:pStyle w:val="BodyTextIndent3"/>
        <w:numPr>
          <w:ilvl w:val="1"/>
          <w:numId w:val="1"/>
        </w:numPr>
        <w:rPr>
          <w:b/>
          <w:lang w:val="en-GB"/>
        </w:rPr>
      </w:pPr>
      <w:r>
        <w:rPr>
          <w:b/>
          <w:lang w:val="en-GB"/>
        </w:rPr>
        <w:t xml:space="preserve"> </w:t>
      </w:r>
      <w:r>
        <w:rPr>
          <w:b/>
          <w:lang w:val="en-GB"/>
        </w:rPr>
        <w:t>Resulting tariff levels:</w:t>
      </w:r>
    </w:p>
    <w:p>
      <w:pPr>
        <w:pStyle w:val="BodyTextIndent3"/>
        <w:ind w:start="0" w:end="0"/>
        <w:rPr>
          <w:b/>
          <w:lang w:val="en-GB"/>
        </w:rPr>
      </w:pPr>
      <w:r>
        <w:rPr>
          <w:b/>
          <w:lang w:val="en-GB"/>
        </w:rPr>
      </w:r>
    </w:p>
    <w:p>
      <w:pPr>
        <w:pStyle w:val="BodyTextIndent3"/>
        <w:numPr>
          <w:ilvl w:val="0"/>
          <w:numId w:val="3"/>
        </w:numPr>
        <w:rPr>
          <w:lang w:val="en-GB"/>
        </w:rPr>
      </w:pPr>
      <w:r>
        <w:rPr>
          <w:lang w:val="en-GB"/>
        </w:rPr>
        <w:t>for different categories of eligible customer</w:t>
      </w:r>
    </w:p>
    <w:p>
      <w:pPr>
        <w:pStyle w:val="BodyTextIndent3"/>
        <w:ind w:start="1068" w:end="0"/>
        <w:rPr>
          <w:lang w:val="en-GB"/>
        </w:rPr>
      </w:pPr>
      <w:r>
        <w:rPr>
          <w:b/>
          <w:bCs w:val="false"/>
          <w:i/>
          <w:iCs/>
          <w:lang w:val="en-GB"/>
        </w:rPr>
        <w:t>(Currently there are no difference resulting tariff levels apart for the effect of the different daily balancing bands tied to consumption. Is that correct)</w:t>
      </w:r>
    </w:p>
    <w:p>
      <w:pPr>
        <w:pStyle w:val="BodyTextIndent3"/>
        <w:numPr>
          <w:ilvl w:val="0"/>
          <w:numId w:val="3"/>
        </w:numPr>
        <w:rPr>
          <w:lang w:val="en-GB"/>
        </w:rPr>
      </w:pPr>
      <w:r>
        <w:rPr>
          <w:lang w:val="en-GB"/>
        </w:rPr>
        <w:t>at different points on the French gas map</w:t>
      </w:r>
    </w:p>
    <w:p>
      <w:pPr>
        <w:pStyle w:val="BodyTextIndent3"/>
        <w:ind w:start="1068" w:end="0"/>
        <w:rPr>
          <w:lang w:val="en-GB"/>
        </w:rPr>
      </w:pPr>
      <w:r>
        <w:rPr>
          <w:i/>
          <w:iCs/>
          <w:lang w:val="en-GB"/>
        </w:rPr>
        <w:t>Currently discriminatory. The limited access to one interconnector creates hugely discriminatory rates for customer opposite in that injection point. It creates a situation where a very limited number of eligible customers could benefit from alternate suppliers.</w:t>
      </w:r>
    </w:p>
    <w:p>
      <w:pPr>
        <w:pStyle w:val="BodyTextIndent3"/>
        <w:numPr>
          <w:ilvl w:val="0"/>
          <w:numId w:val="3"/>
        </w:numPr>
        <w:rPr>
          <w:lang w:val="en-GB"/>
        </w:rPr>
      </w:pPr>
      <w:r>
        <w:rPr>
          <w:lang w:val="en-GB"/>
        </w:rPr>
        <w:t>in relation to neighbouring countries</w:t>
      </w:r>
    </w:p>
    <w:p>
      <w:pPr>
        <w:pStyle w:val="BodyTextIndent3"/>
        <w:ind w:start="1068" w:end="0"/>
        <w:rPr>
          <w:b/>
          <w:bCs w:val="false"/>
          <w:lang w:val="en-GB"/>
        </w:rPr>
      </w:pPr>
      <w:r>
        <w:rPr>
          <w:b/>
          <w:bCs w:val="false"/>
          <w:lang w:val="en-GB"/>
        </w:rPr>
        <w:t>(</w:t>
      </w:r>
      <w:r>
        <w:rPr>
          <w:b/>
          <w:bCs w:val="false"/>
          <w:i/>
          <w:iCs/>
          <w:lang w:val="en-GB"/>
        </w:rPr>
        <w:t>Comments)</w:t>
      </w:r>
    </w:p>
    <w:p>
      <w:pPr>
        <w:pStyle w:val="BodyTextIndent3"/>
        <w:numPr>
          <w:ilvl w:val="0"/>
          <w:numId w:val="3"/>
        </w:numPr>
        <w:rPr>
          <w:lang w:val="en-GB"/>
        </w:rPr>
      </w:pPr>
      <w:r>
        <w:rPr>
          <w:lang w:val="en-GB"/>
        </w:rPr>
        <w:t>how to define and verify the absence of cross-subsidies between captive customers and eligible customers?</w:t>
      </w:r>
    </w:p>
    <w:p>
      <w:pPr>
        <w:pStyle w:val="BodyTextIndent3"/>
        <w:ind w:start="1068" w:end="0"/>
        <w:rPr>
          <w:lang w:val="en-GB"/>
        </w:rPr>
      </w:pPr>
      <w:r>
        <w:rPr>
          <w:b/>
          <w:bCs w:val="false"/>
          <w:lang w:val="en-GB"/>
        </w:rPr>
        <w:t>(</w:t>
      </w:r>
      <w:r>
        <w:rPr>
          <w:b/>
          <w:bCs w:val="false"/>
          <w:i/>
          <w:iCs/>
          <w:lang w:val="en-GB"/>
        </w:rPr>
        <w:t>Comments)</w:t>
      </w:r>
    </w:p>
    <w:p>
      <w:pPr>
        <w:pStyle w:val="BodyTextIndent3"/>
        <w:rPr>
          <w:lang w:val="en-GB"/>
        </w:rPr>
      </w:pPr>
      <w:r>
        <w:rPr>
          <w:lang w:val="en-GB"/>
        </w:rPr>
      </w:r>
    </w:p>
    <w:p>
      <w:pPr>
        <w:pStyle w:val="BodyTextIndent3"/>
        <w:rPr>
          <w:lang w:val="en-GB"/>
        </w:rPr>
      </w:pPr>
      <w:r>
        <w:rPr>
          <w:lang w:val="en-GB"/>
        </w:rPr>
      </w:r>
    </w:p>
    <w:p>
      <w:pPr>
        <w:pStyle w:val="BodyTextIndent3"/>
        <w:ind w:start="720" w:end="0"/>
        <w:rPr>
          <w:b/>
          <w:lang w:val="en-GB"/>
        </w:rPr>
      </w:pPr>
      <w:r>
        <w:rPr>
          <w:b/>
          <w:lang w:val="en-GB"/>
        </w:rPr>
        <w:t>3.4. The initial “returns from experience”</w:t>
      </w:r>
    </w:p>
    <w:p>
      <w:pPr>
        <w:pStyle w:val="Normal"/>
        <w:rPr>
          <w:b/>
          <w:lang w:val="en-GB"/>
        </w:rPr>
      </w:pPr>
      <w:r>
        <w:rPr>
          <w:b/>
          <w:lang w:val="en-G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540"/>
        </w:tabs>
        <w:ind w:start="540" w:hanging="540"/>
      </w:pPr>
      <w:rPr/>
    </w:lvl>
    <w:lvl w:ilvl="1">
      <w:start w:val="2"/>
      <w:numFmt w:val="decimal"/>
      <w:lvlText w:val="%1.%2."/>
      <w:lvlJc w:val="start"/>
      <w:pPr>
        <w:tabs>
          <w:tab w:val="num" w:pos="1260"/>
        </w:tabs>
        <w:ind w:start="1260" w:hanging="54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3"/>
      <w:numFmt w:val="decimal"/>
      <w:lvlText w:val="%1."/>
      <w:lvlJc w:val="start"/>
      <w:pPr>
        <w:tabs>
          <w:tab w:val="num" w:pos="720"/>
        </w:tabs>
        <w:ind w:start="720"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3"/>
      <w:numFmt w:val="bullet"/>
      <w:lvlText w:val="-"/>
      <w:lvlJc w:val="start"/>
      <w:pPr>
        <w:tabs>
          <w:tab w:val="num" w:pos="1428"/>
        </w:tabs>
        <w:ind w:start="1428" w:hanging="360"/>
      </w:pPr>
      <w:rPr>
        <w:rFonts w:ascii="Liberation Serif" w:hAnsi="Liberation Serif" w:cs="Liberation Serif" w:hint="default"/>
      </w:rPr>
    </w:lvl>
  </w:abstractNum>
  <w:abstractNum w:abstractNumId="7">
    <w:lvl w:ilvl="0">
      <w:start w:val="1"/>
      <w:numFmt w:val="bullet"/>
      <w:lvlText w:val=""/>
      <w:lvlJc w:val="start"/>
      <w:pPr>
        <w:tabs>
          <w:tab w:val="num" w:pos="1068"/>
        </w:tabs>
        <w:ind w:start="1068" w:hanging="36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fr-FR"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0" w:start="708" w:end="0"/>
      <w:jc w:val="both"/>
    </w:pPr>
    <w:rPr>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2000-11-30T15:19:00Z</dcterms:created>
  <dc:creator>Bruno Gaillard</dc:creator>
  <dc:description/>
  <dc:language>en-CA</dc:language>
  <cp:lastModifiedBy>Bruno Gaillard</cp:lastModifiedBy>
  <dcterms:modified xsi:type="dcterms:W3CDTF">2000-12-01T06:56:00Z</dcterms:modified>
  <cp:revision>4</cp:revision>
  <dc:subject/>
  <dc:title>3</dc:title>
</cp:coreProperties>
</file>