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360" w:end="0"/>
        <w:jc w:val="both"/>
        <w:rPr>
          <w:color w:val="000080"/>
          <w:sz w:val="28"/>
          <w:lang w:val="fr-FR"/>
        </w:rPr>
      </w:pPr>
      <w:r>
        <w:rPr>
          <w:color w:val="000080"/>
          <w:sz w:val="28"/>
          <w:lang w:val="fr-FR"/>
        </w:rPr>
        <w:t>France (Questions B7-B12)</w:t>
      </w:r>
    </w:p>
    <w:p>
      <w:pPr>
        <w:pStyle w:val="Normal"/>
        <w:jc w:val="both"/>
        <w:rPr>
          <w:color w:val="000080"/>
          <w:sz w:val="28"/>
          <w:lang w:val="fr-FR"/>
        </w:rPr>
      </w:pPr>
      <w:r>
        <w:rPr>
          <w:color w:val="000080"/>
          <w:sz w:val="28"/>
          <w:lang w:val="fr-FR"/>
        </w:rPr>
      </w:r>
    </w:p>
    <w:p>
      <w:pPr>
        <w:pStyle w:val="Normal"/>
        <w:numPr>
          <w:ilvl w:val="0"/>
          <w:numId w:val="2"/>
        </w:numPr>
        <w:jc w:val="both"/>
        <w:rPr>
          <w:rFonts w:ascii="Georgia" w:hAnsi="Georgia" w:cs="Georgia"/>
          <w:i/>
          <w:i/>
          <w:color w:val="000080"/>
          <w:lang w:val="en-GB"/>
        </w:rPr>
      </w:pPr>
      <w:r>
        <w:rPr>
          <w:rFonts w:cs="Georgia" w:ascii="Georgia" w:hAnsi="Georgia"/>
          <w:i/>
          <w:color w:val="000080"/>
          <w:lang w:val="en-GB"/>
        </w:rPr>
        <w:t>Please describe briefly the Third Party Access regime currently applicable in the country/ies where your undertaking is operating. Indicate whether a negotiated or a regulated access regime is in place. Please describe the basic structure of the transmission tariffs, the balancing regime is in place. Please describe the basic structure of the transmission tariffs, the balancing regime, access to storage, transparency (e.g. publication of map showing gas pipelines, available capacity, tariffs), possibilities of swaps and blending.</w:t>
      </w:r>
    </w:p>
    <w:p>
      <w:pPr>
        <w:pStyle w:val="Normal"/>
        <w:jc w:val="both"/>
        <w:rPr>
          <w:rFonts w:ascii="Georgia" w:hAnsi="Georgia" w:cs="Georgia"/>
          <w:i/>
          <w:i/>
          <w:color w:val="000080"/>
          <w:lang w:val="en-GB"/>
        </w:rPr>
      </w:pPr>
      <w:r>
        <w:rPr>
          <w:rFonts w:cs="Georgia" w:ascii="Georgia" w:hAnsi="Georgia"/>
          <w:i/>
          <w:color w:val="000080"/>
          <w:lang w:val="en-GB"/>
        </w:rPr>
      </w:r>
    </w:p>
    <w:p>
      <w:pPr>
        <w:pStyle w:val="Heading6"/>
        <w:numPr>
          <w:ilvl w:val="0"/>
          <w:numId w:val="4"/>
        </w:numPr>
        <w:jc w:val="both"/>
        <w:rPr>
          <w:rFonts w:ascii="Georgia" w:hAnsi="Georgia" w:cs="Georgia"/>
          <w:b w:val="false"/>
          <w:i/>
          <w:i/>
          <w:color w:val="000080"/>
        </w:rPr>
      </w:pPr>
      <w:r>
        <w:rPr>
          <w:rFonts w:cs="Georgia" w:ascii="Georgia" w:hAnsi="Georgia"/>
          <w:b w:val="false"/>
          <w:i/>
          <w:color w:val="000080"/>
        </w:rPr>
        <w:t>TPA regime</w:t>
      </w:r>
    </w:p>
    <w:p>
      <w:pPr>
        <w:pStyle w:val="Normal"/>
        <w:jc w:val="both"/>
        <w:rPr>
          <w:rFonts w:ascii="Georgia" w:hAnsi="Georgia" w:cs="Georgia"/>
          <w:b/>
          <w:i/>
          <w:i/>
          <w:color w:val="000080"/>
          <w:lang w:val="en-GB"/>
        </w:rPr>
      </w:pPr>
      <w:r>
        <w:rPr>
          <w:rFonts w:cs="Georgia" w:ascii="Georgia" w:hAnsi="Georgia"/>
          <w:b/>
          <w:i/>
          <w:color w:val="000080"/>
          <w:lang w:val="en-GB"/>
        </w:rPr>
      </w:r>
    </w:p>
    <w:p>
      <w:pPr>
        <w:pStyle w:val="Heading1"/>
        <w:rPr>
          <w:b/>
          <w:bCs/>
        </w:rPr>
      </w:pPr>
      <w:r>
        <w:rPr>
          <w:b/>
          <w:bCs/>
        </w:rPr>
        <w:t>ACCESS</w:t>
      </w:r>
    </w:p>
    <w:p>
      <w:pPr>
        <w:pStyle w:val="Normal"/>
        <w:ind w:start="360" w:end="0"/>
        <w:jc w:val="both"/>
        <w:rPr>
          <w:b/>
          <w:bCs/>
          <w:u w:val="single"/>
          <w:lang w:val="en-GB"/>
        </w:rPr>
      </w:pPr>
      <w:r>
        <w:rPr>
          <w:b/>
          <w:bCs/>
          <w:u w:val="single"/>
          <w:lang w:val="en-GB"/>
        </w:rPr>
      </w:r>
    </w:p>
    <w:p>
      <w:pPr>
        <w:pStyle w:val="Normal"/>
        <w:ind w:start="360" w:end="0"/>
        <w:jc w:val="both"/>
        <w:rPr/>
      </w:pPr>
      <w:r>
        <w:rPr>
          <w:lang w:val="en-GB"/>
        </w:rPr>
        <w:tab/>
      </w:r>
      <w:r>
        <w:rPr>
          <w:b/>
          <w:bCs/>
          <w:lang w:val="en-GB"/>
        </w:rPr>
        <w:t>Access into the French Grid</w:t>
      </w:r>
    </w:p>
    <w:p>
      <w:pPr>
        <w:pStyle w:val="Normal"/>
        <w:ind w:start="720" w:end="0"/>
        <w:jc w:val="both"/>
        <w:rPr>
          <w:b/>
          <w:bCs/>
          <w:lang w:val="en-GB"/>
        </w:rPr>
      </w:pPr>
      <w:r>
        <w:rPr>
          <w:b/>
          <w:bCs/>
          <w:lang w:val="en-GB"/>
        </w:rPr>
      </w:r>
    </w:p>
    <w:p>
      <w:pPr>
        <w:pStyle w:val="Normal"/>
        <w:ind w:start="720" w:end="0"/>
        <w:jc w:val="both"/>
        <w:rPr/>
      </w:pPr>
      <w:r>
        <w:rPr>
          <w:lang w:val="en-GB"/>
        </w:rPr>
        <w:t>GDF has published tariffs on a voluntary basis available to all market participants. Access conditions are published for all injection points in France. However, out of all entry points into France (5 in all), entry for new participants is limited, in practice today, to one injection point (</w:t>
      </w:r>
      <w:r>
        <w:rPr>
          <w:bCs/>
          <w:color w:val="000000"/>
          <w:szCs w:val="20"/>
          <w:lang w:val="en-GB"/>
        </w:rPr>
        <w:t>Taisnières H)</w:t>
      </w:r>
      <w:r>
        <w:rPr>
          <w:lang w:val="en-GB"/>
        </w:rPr>
        <w:t xml:space="preserve">. </w:t>
      </w:r>
    </w:p>
    <w:p>
      <w:pPr>
        <w:pStyle w:val="Normal"/>
        <w:ind w:start="720" w:end="0"/>
        <w:jc w:val="both"/>
        <w:rPr>
          <w:lang w:val="en-GB"/>
        </w:rPr>
      </w:pPr>
      <w:r>
        <w:rPr>
          <w:lang w:val="en-GB"/>
        </w:rPr>
      </w:r>
    </w:p>
    <w:p>
      <w:pPr>
        <w:pStyle w:val="BodyTextIndent2"/>
        <w:rPr>
          <w:b/>
          <w:bCs/>
        </w:rPr>
      </w:pPr>
      <w:r>
        <w:rPr>
          <w:b/>
          <w:bCs/>
        </w:rPr>
        <w:t>Access for Transit</w:t>
      </w:r>
    </w:p>
    <w:p>
      <w:pPr>
        <w:pStyle w:val="BodyTextIndent2"/>
        <w:rPr>
          <w:b/>
          <w:bCs/>
        </w:rPr>
      </w:pPr>
      <w:r>
        <w:rPr>
          <w:b/>
          <w:bCs/>
        </w:rPr>
      </w:r>
    </w:p>
    <w:p>
      <w:pPr>
        <w:pStyle w:val="BodyTextIndent2"/>
        <w:rPr/>
      </w:pPr>
      <w:r>
        <w:rPr/>
        <w:t xml:space="preserve">GDF has yet to offer tariffs for transit published or otherwise. Enron has asked for transit conditions from </w:t>
      </w:r>
      <w:r>
        <w:rPr>
          <w:bCs/>
          <w:color w:val="000000"/>
          <w:szCs w:val="20"/>
        </w:rPr>
        <w:t>Taisnières H to Obergailback and has been told that such services have yet to be elaborated and the cost yet to be determined.</w:t>
      </w:r>
    </w:p>
    <w:p>
      <w:pPr>
        <w:pStyle w:val="BodyTextIndent3"/>
        <w:ind w:start="720" w:end="0"/>
        <w:rPr>
          <w:lang w:val="en-GB"/>
        </w:rPr>
      </w:pPr>
      <w:r>
        <w:rPr>
          <w:lang w:val="en-GB"/>
        </w:rPr>
      </w:r>
    </w:p>
    <w:p>
      <w:pPr>
        <w:pStyle w:val="BodyTextIndent3"/>
        <w:ind w:start="360" w:end="0"/>
        <w:rPr>
          <w:b/>
          <w:bCs w:val="false"/>
          <w:u w:val="single"/>
          <w:lang w:val="en-GB"/>
        </w:rPr>
      </w:pPr>
      <w:r>
        <w:rPr>
          <w:b/>
          <w:bCs w:val="false"/>
          <w:u w:val="single"/>
          <w:lang w:val="en-GB"/>
        </w:rPr>
        <w:t>OPERATIONAL PROCEDURES</w:t>
      </w:r>
    </w:p>
    <w:p>
      <w:pPr>
        <w:pStyle w:val="BodyTextIndent3"/>
        <w:ind w:start="720" w:end="0"/>
        <w:rPr>
          <w:b/>
          <w:bCs w:val="false"/>
          <w:u w:val="single"/>
          <w:lang w:val="en-GB"/>
        </w:rPr>
      </w:pPr>
      <w:r>
        <w:rPr>
          <w:b/>
          <w:bCs w:val="false"/>
          <w:u w:val="single"/>
          <w:lang w:val="en-GB"/>
        </w:rPr>
      </w:r>
    </w:p>
    <w:p>
      <w:pPr>
        <w:pStyle w:val="Normal"/>
        <w:autoSpaceDE w:val="false"/>
        <w:spacing w:lineRule="atLeast" w:line="240"/>
        <w:ind w:start="720" w:end="0"/>
        <w:jc w:val="both"/>
        <w:rPr/>
      </w:pPr>
      <w:r>
        <w:rPr>
          <w:lang w:val="en-GB"/>
        </w:rPr>
        <w:t xml:space="preserve">Nomination procedures are very restrictive. There are only 3 renomination cycles during the day of delivery (D). These cycles are very long and GDF has an additional two-hour delay to confirm the request. In particular, </w:t>
      </w:r>
      <w:r>
        <w:rPr>
          <w:color w:val="000000"/>
          <w:szCs w:val="20"/>
          <w:lang w:val="en-GB"/>
        </w:rPr>
        <w:t>Cycle 3 starts at 8 pm on D-1 and ends at 12 pm on D. GDF confirmation is due at 2 pm on D with immediate effect. This delay is not only very long but it is also impractical and does not give shippers the opportunity to utilise this service, which is immediately in effect as opposed to the nomination procedure for matching counter parties at the border (typically following a next hour +2h rule).</w:t>
      </w:r>
      <w:r>
        <w:rPr>
          <w:lang w:val="en-GB"/>
        </w:rPr>
        <w:t xml:space="preserve"> This nomination procedure does not allow the possibility to value interruptability given the timing issues described and the fact that there are no guarantees that renominations will be accepted. </w:t>
      </w:r>
    </w:p>
    <w:p>
      <w:pPr>
        <w:pStyle w:val="Normal"/>
        <w:autoSpaceDE w:val="false"/>
        <w:spacing w:lineRule="atLeast" w:line="240"/>
        <w:ind w:start="720" w:end="0"/>
        <w:jc w:val="both"/>
        <w:rPr>
          <w:lang w:val="en-GB"/>
        </w:rPr>
      </w:pPr>
      <w:r>
        <w:rPr>
          <w:lang w:val="en-GB"/>
        </w:rPr>
      </w:r>
    </w:p>
    <w:p>
      <w:pPr>
        <w:pStyle w:val="Normal"/>
        <w:autoSpaceDE w:val="false"/>
        <w:spacing w:lineRule="atLeast" w:line="240"/>
        <w:ind w:start="720" w:end="0"/>
        <w:jc w:val="both"/>
        <w:rPr>
          <w:lang w:val="en-GB"/>
        </w:rPr>
      </w:pPr>
      <w:r>
        <w:rPr>
          <w:lang w:val="en-GB"/>
        </w:rPr>
        <w:t>Renominations should be allowed during the whole day on the basis of a ‘next hour + 2 hours’ rule, like at the Zeebrugge Hub. Furthermore, contrary to the current practice, renominations should be de facto considered as accepted as long as they respect the contracted quantities.</w:t>
      </w:r>
    </w:p>
    <w:p>
      <w:pPr>
        <w:pStyle w:val="Normal"/>
        <w:ind w:start="720" w:end="0"/>
        <w:jc w:val="both"/>
        <w:rPr>
          <w:lang w:val="en-GB"/>
        </w:rPr>
      </w:pPr>
      <w:r>
        <w:rPr>
          <w:lang w:val="en-GB"/>
        </w:rPr>
      </w:r>
    </w:p>
    <w:p>
      <w:pPr>
        <w:pStyle w:val="Heading2"/>
        <w:ind w:start="360" w:end="0"/>
        <w:rPr>
          <w:u w:val="single"/>
        </w:rPr>
      </w:pPr>
      <w:r>
        <w:rPr>
          <w:u w:val="single"/>
        </w:rPr>
        <w:t>CONTRACTUAL CONDITIONS</w:t>
      </w:r>
    </w:p>
    <w:p>
      <w:pPr>
        <w:pStyle w:val="Normal"/>
        <w:ind w:start="720" w:end="0"/>
        <w:jc w:val="both"/>
        <w:rPr>
          <w:b/>
          <w:bCs/>
          <w:u w:val="single"/>
          <w:lang w:val="en-GB"/>
        </w:rPr>
      </w:pPr>
      <w:r>
        <w:rPr>
          <w:b/>
          <w:bCs/>
          <w:u w:val="single"/>
          <w:lang w:val="en-GB"/>
        </w:rPr>
      </w:r>
    </w:p>
    <w:p>
      <w:pPr>
        <w:pStyle w:val="BodyTextIndent3"/>
        <w:ind w:start="720" w:end="0"/>
        <w:rPr/>
      </w:pPr>
      <w:r>
        <w:rPr>
          <w:lang w:val="en-GB"/>
        </w:rPr>
        <w:t xml:space="preserve">Contracts must be signed for a one-year duration at each delivery point and the terms cannot be adjusted to lower the contracted volume. </w:t>
      </w:r>
      <w:r>
        <w:rPr>
          <w:color w:val="000000"/>
          <w:szCs w:val="20"/>
          <w:lang w:val="en-GB" w:eastAsia="en-US"/>
        </w:rPr>
        <w:t xml:space="preserve">This provides for a lack of flexibility for customers and shippers to adjust for monthly fluctuations. </w:t>
      </w:r>
    </w:p>
    <w:p>
      <w:pPr>
        <w:pStyle w:val="BodyTextIndent3"/>
        <w:ind w:start="720" w:end="0"/>
        <w:rPr>
          <w:color w:val="000000"/>
          <w:szCs w:val="20"/>
          <w:lang w:val="en-GB" w:eastAsia="en-US"/>
        </w:rPr>
      </w:pPr>
      <w:r>
        <w:rPr>
          <w:color w:val="000000"/>
          <w:szCs w:val="20"/>
          <w:lang w:val="en-GB" w:eastAsia="en-US"/>
        </w:rPr>
      </w:r>
    </w:p>
    <w:p>
      <w:pPr>
        <w:pStyle w:val="BodyTextIndent3"/>
        <w:ind w:start="720" w:end="0"/>
        <w:rPr>
          <w:bCs w:val="false"/>
          <w:i/>
          <w:i/>
          <w:iCs/>
          <w:color w:val="000000"/>
          <w:szCs w:val="20"/>
          <w:lang w:val="en-GB" w:eastAsia="en-US"/>
        </w:rPr>
      </w:pPr>
      <w:r>
        <w:rPr>
          <w:color w:val="000000"/>
          <w:szCs w:val="20"/>
          <w:lang w:val="en-GB" w:eastAsia="en-US"/>
        </w:rPr>
        <w:t xml:space="preserve">Transportation contracts should at least be allowed for periods of one month, even if at a slight premium. Shorter-term contracts would provide shippers, traders and customers arbitrage opportunities and allow then to efficiently optimise their supply requirements. </w:t>
      </w:r>
      <w:r>
        <w:rPr>
          <w:lang w:val="en-GB"/>
        </w:rPr>
        <w:t>Furthermore, more flexibility is needed regarding the levels of contracted quantities.</w:t>
      </w:r>
    </w:p>
    <w:p>
      <w:pPr>
        <w:pStyle w:val="Heading6"/>
        <w:ind w:hanging="0" w:start="0"/>
        <w:jc w:val="both"/>
        <w:rPr>
          <w:b w:val="false"/>
          <w:bCs/>
          <w:i/>
          <w:i/>
          <w:iCs/>
          <w:color w:val="000000"/>
          <w:szCs w:val="20"/>
          <w:lang w:val="en-GB" w:eastAsia="en-US"/>
        </w:rPr>
      </w:pPr>
      <w:r>
        <w:rPr>
          <w:b w:val="false"/>
          <w:bCs/>
          <w:i/>
          <w:iCs/>
          <w:color w:val="000000"/>
          <w:szCs w:val="20"/>
          <w:lang w:val="en-GB" w:eastAsia="en-US"/>
        </w:rPr>
      </w:r>
    </w:p>
    <w:p>
      <w:pPr>
        <w:pStyle w:val="Normal"/>
        <w:ind w:firstLine="360" w:end="0"/>
        <w:jc w:val="both"/>
        <w:rPr>
          <w:u w:val="single"/>
          <w:lang w:val="en-GB"/>
        </w:rPr>
      </w:pPr>
      <w:r>
        <w:rPr>
          <w:u w:val="single"/>
          <w:lang w:val="en-GB"/>
        </w:rPr>
        <w:t>Additional comments as regards:</w:t>
      </w:r>
    </w:p>
    <w:p>
      <w:pPr>
        <w:pStyle w:val="Normal"/>
        <w:jc w:val="both"/>
        <w:rPr>
          <w:u w:val="single"/>
          <w:lang w:val="en-GB"/>
        </w:rPr>
      </w:pPr>
      <w:r>
        <w:rPr>
          <w:u w:val="single"/>
          <w:lang w:val="en-GB"/>
        </w:rPr>
      </w:r>
    </w:p>
    <w:p>
      <w:pPr>
        <w:pStyle w:val="Normal"/>
        <w:ind w:firstLine="360" w:end="0"/>
        <w:jc w:val="both"/>
        <w:rPr>
          <w:rFonts w:ascii="Georgia" w:hAnsi="Georgia" w:cs="Georgia"/>
          <w:i/>
          <w:i/>
          <w:color w:val="000080"/>
          <w:lang w:val="en-GB"/>
        </w:rPr>
      </w:pPr>
      <w:r>
        <w:rPr>
          <w:rFonts w:cs="Georgia" w:ascii="Georgia" w:hAnsi="Georgia"/>
          <w:i/>
          <w:color w:val="000080"/>
          <w:lang w:val="en-GB"/>
        </w:rPr>
        <w:t>b) Transmission tariffs</w:t>
      </w:r>
    </w:p>
    <w:p>
      <w:pPr>
        <w:pStyle w:val="Normal"/>
        <w:jc w:val="both"/>
        <w:rPr>
          <w:rFonts w:ascii="Arial" w:hAnsi="Arial" w:cs="Arial"/>
          <w:i/>
          <w:i/>
          <w:iCs/>
          <w:color w:val="000080"/>
          <w:sz w:val="22"/>
          <w:lang w:val="en-GB"/>
        </w:rPr>
      </w:pPr>
      <w:r>
        <w:rPr>
          <w:rFonts w:cs="Arial" w:ascii="Arial" w:hAnsi="Arial"/>
          <w:i/>
          <w:iCs/>
          <w:color w:val="000080"/>
          <w:sz w:val="22"/>
          <w:lang w:val="en-GB"/>
        </w:rPr>
      </w:r>
    </w:p>
    <w:p>
      <w:pPr>
        <w:pStyle w:val="BodyTextIndent3"/>
        <w:ind w:start="720" w:end="0"/>
        <w:rPr>
          <w:lang w:val="en-GB"/>
        </w:rPr>
      </w:pPr>
      <w:r>
        <w:rPr>
          <w:lang w:val="en-GB"/>
        </w:rPr>
        <w:t xml:space="preserve">Transmission tariffs are distance related and published. This combined with the limited entry, in practice, to one injection point implies that the transportation tariffs attributed to certain customers will not be cost reflective when they elect to change supplier. Furthermore, distribution tariffs are not published. In some cases the customers know their relative distribution point characteristics, otherwise third party suppliers must contact GDF with the customers site address in order to costs out distribution services.   </w:t>
      </w:r>
    </w:p>
    <w:p>
      <w:pPr>
        <w:pStyle w:val="BodyTextIndent3"/>
        <w:ind w:start="720" w:end="0"/>
        <w:rPr>
          <w:lang w:val="en-GB"/>
        </w:rPr>
      </w:pPr>
      <w:r>
        <w:rPr>
          <w:lang w:val="en-GB"/>
        </w:rPr>
      </w:r>
    </w:p>
    <w:p>
      <w:pPr>
        <w:pStyle w:val="Normal"/>
        <w:jc w:val="both"/>
        <w:rPr>
          <w:lang w:val="en-GB"/>
        </w:rPr>
      </w:pPr>
      <w:r>
        <w:rPr>
          <w:lang w:val="en-GB"/>
        </w:rPr>
        <w:t xml:space="preserve"> </w:t>
      </w:r>
    </w:p>
    <w:p>
      <w:pPr>
        <w:pStyle w:val="Normal"/>
        <w:ind w:firstLine="360" w:end="0"/>
        <w:jc w:val="both"/>
        <w:rPr>
          <w:rFonts w:ascii="Georgia" w:hAnsi="Georgia" w:cs="Georgia"/>
          <w:i/>
          <w:i/>
          <w:color w:val="000080"/>
          <w:lang w:val="en-GB"/>
        </w:rPr>
      </w:pPr>
      <w:r>
        <w:rPr>
          <w:rFonts w:cs="Georgia" w:ascii="Georgia" w:hAnsi="Georgia"/>
          <w:i/>
          <w:color w:val="000080"/>
          <w:lang w:val="en-GB"/>
        </w:rPr>
        <w:t>c) Balancing regime</w:t>
      </w:r>
    </w:p>
    <w:p>
      <w:pPr>
        <w:pStyle w:val="Heading6"/>
        <w:ind w:hanging="0" w:start="0"/>
        <w:jc w:val="both"/>
        <w:rPr>
          <w:b w:val="false"/>
        </w:rPr>
      </w:pPr>
      <w:r>
        <w:rPr>
          <w:b w:val="false"/>
        </w:rPr>
        <w:tab/>
      </w:r>
    </w:p>
    <w:p>
      <w:pPr>
        <w:pStyle w:val="Normal"/>
        <w:ind w:start="720" w:end="0"/>
        <w:jc w:val="both"/>
        <w:rPr/>
      </w:pPr>
      <w:r>
        <w:rPr/>
        <w:t xml:space="preserve">Currently, the balancing regime is published and based on authorised daily and cumulative imbalances. The tolerance bands that GDF proposes (daily levels of 20% for consumption under 1000 MWh/day, 5 % for consumption superior to 1000 MWh, and monthly levels of 3%) seem to be reasonable. </w:t>
      </w:r>
      <w:r>
        <w:rPr>
          <w:lang w:val="en-GB"/>
        </w:rPr>
        <w:t>However, the associated penalties are too high (significantly higher than other operators based</w:t>
      </w:r>
      <w:r>
        <w:rPr>
          <w:rFonts w:cs="Arial" w:ascii="Arial" w:hAnsi="Arial"/>
          <w:i/>
          <w:iCs/>
          <w:sz w:val="22"/>
          <w:lang w:val="en-GB"/>
        </w:rPr>
        <w:t xml:space="preserve"> </w:t>
      </w:r>
      <w:r>
        <w:rPr>
          <w:lang w:val="en-GB"/>
        </w:rPr>
        <w:t>on the European Commission report delivered at the 3</w:t>
      </w:r>
      <w:r>
        <w:rPr>
          <w:vertAlign w:val="superscript"/>
          <w:lang w:val="en-GB"/>
        </w:rPr>
        <w:t>rd</w:t>
      </w:r>
      <w:r>
        <w:rPr>
          <w:lang w:val="en-GB"/>
        </w:rPr>
        <w:t xml:space="preserve"> meeting of the gas regulatory forum in Madrid). It must be noted that GDF is making encouraging progress and is proposing to replace the high imbalance penalties with a cash out regime during the second quarter of 2001.</w:t>
      </w:r>
    </w:p>
    <w:p>
      <w:pPr>
        <w:pStyle w:val="Normal"/>
        <w:ind w:start="720" w:end="0"/>
        <w:jc w:val="both"/>
        <w:rPr>
          <w:lang w:val="en-GB"/>
        </w:rPr>
      </w:pPr>
      <w:r>
        <w:rPr>
          <w:lang w:val="en-GB"/>
        </w:rPr>
      </w:r>
    </w:p>
    <w:p>
      <w:pPr>
        <w:pStyle w:val="Normal"/>
        <w:ind w:start="720" w:end="0"/>
        <w:jc w:val="both"/>
        <w:rPr>
          <w:lang w:val="en-GB"/>
        </w:rPr>
      </w:pPr>
      <w:r>
        <w:rPr>
          <w:lang w:val="en-GB"/>
        </w:rPr>
        <w:t>GDF offers a flexibility tool for balancing purposes (Contrat de Modulation). However, in order to receive such services, one must enter into one-year contracts on storage and related transportation services to the customers’ site. This provides for an inflexible and uneconomical tool to mitigate balancing risks.</w:t>
      </w:r>
    </w:p>
    <w:p>
      <w:pPr>
        <w:pStyle w:val="Normal"/>
        <w:ind w:start="360" w:end="0"/>
        <w:jc w:val="both"/>
        <w:rPr>
          <w:lang w:val="en-GB"/>
        </w:rPr>
      </w:pPr>
      <w:r>
        <w:rPr>
          <w:lang w:val="en-GB"/>
        </w:rPr>
      </w:r>
    </w:p>
    <w:p>
      <w:pPr>
        <w:pStyle w:val="Normal"/>
        <w:ind w:start="360" w:end="0"/>
        <w:jc w:val="both"/>
        <w:rPr>
          <w:rFonts w:ascii="Georgia" w:hAnsi="Georgia" w:cs="Georgia"/>
          <w:i/>
          <w:i/>
          <w:color w:val="000080"/>
          <w:lang w:val="en-GB"/>
        </w:rPr>
      </w:pPr>
      <w:r>
        <w:rPr>
          <w:rFonts w:cs="Georgia" w:ascii="Georgia" w:hAnsi="Georgia"/>
          <w:i/>
          <w:color w:val="000080"/>
          <w:lang w:val="en-GB"/>
        </w:rPr>
        <w:t>d) Access to storage</w:t>
      </w:r>
    </w:p>
    <w:p>
      <w:pPr>
        <w:pStyle w:val="Normal"/>
        <w:ind w:start="360" w:end="0"/>
        <w:jc w:val="both"/>
        <w:rPr>
          <w:rFonts w:ascii="Georgia" w:hAnsi="Georgia" w:cs="Georgia"/>
          <w:color w:val="000080"/>
          <w:lang w:val="en-GB"/>
        </w:rPr>
      </w:pPr>
      <w:r>
        <w:rPr>
          <w:rFonts w:eastAsia="Georgia" w:cs="Georgia" w:ascii="Georgia" w:hAnsi="Georgia"/>
          <w:i/>
          <w:color w:val="000080"/>
          <w:lang w:val="en-GB"/>
        </w:rPr>
        <w:t xml:space="preserve"> </w:t>
      </w:r>
    </w:p>
    <w:p>
      <w:pPr>
        <w:pStyle w:val="Normal"/>
        <w:ind w:start="720" w:end="0"/>
        <w:jc w:val="both"/>
        <w:rPr>
          <w:lang w:val="en-GB"/>
        </w:rPr>
      </w:pPr>
      <w:r>
        <w:rPr>
          <w:bCs/>
          <w:lang w:val="en-GB"/>
        </w:rPr>
        <w:t xml:space="preserve">GDF’s offering of storage services is very limited. Storage is not available as a stand-alone service limiting customers’ flexibility to match their unpredictable consumption patterns. </w:t>
      </w:r>
      <w:r>
        <w:rPr>
          <w:bCs/>
          <w:color w:val="000000"/>
          <w:szCs w:val="20"/>
          <w:lang w:val="en-GB"/>
        </w:rPr>
        <w:t xml:space="preserve">The only storage services offered by GDF are for balancing purposes (Contrats de Modulation). Furthermore, these contracts must be signed in relation to a supply contract to an eligible customer. </w:t>
      </w:r>
    </w:p>
    <w:p>
      <w:pPr>
        <w:pStyle w:val="Normal"/>
        <w:ind w:start="360" w:end="0"/>
        <w:jc w:val="both"/>
        <w:rPr>
          <w:rFonts w:ascii="Georgia" w:hAnsi="Georgia" w:cs="Georgia"/>
          <w:color w:val="000080"/>
          <w:lang w:val="en-GB"/>
        </w:rPr>
      </w:pPr>
      <w:r>
        <w:rPr>
          <w:rFonts w:cs="Georgia" w:ascii="Georgia" w:hAnsi="Georgia"/>
          <w:color w:val="000080"/>
          <w:lang w:val="en-GB"/>
        </w:rPr>
      </w:r>
    </w:p>
    <w:p>
      <w:pPr>
        <w:pStyle w:val="Normal"/>
        <w:ind w:start="360" w:end="0"/>
        <w:jc w:val="both"/>
        <w:rPr>
          <w:rFonts w:ascii="Georgia" w:hAnsi="Georgia" w:cs="Georgia"/>
          <w:i/>
          <w:i/>
          <w:color w:val="000080"/>
          <w:lang w:val="en-GB"/>
        </w:rPr>
      </w:pPr>
      <w:r>
        <w:rPr>
          <w:rFonts w:cs="Georgia" w:ascii="Georgia" w:hAnsi="Georgia"/>
          <w:i/>
          <w:color w:val="000080"/>
          <w:lang w:val="en-GB"/>
        </w:rPr>
        <w:t>e)  Transparency</w:t>
      </w:r>
    </w:p>
    <w:p>
      <w:pPr>
        <w:pStyle w:val="BodyText2"/>
        <w:rPr>
          <w:rFonts w:ascii="Georgia" w:hAnsi="Georgia" w:cs="Georgia"/>
          <w:i/>
          <w:i/>
          <w:color w:val="000080"/>
          <w:lang w:val="en-GB"/>
        </w:rPr>
      </w:pPr>
      <w:r>
        <w:rPr>
          <w:rFonts w:cs="Georgia" w:ascii="Georgia" w:hAnsi="Georgia"/>
          <w:i/>
          <w:color w:val="000080"/>
          <w:lang w:val="en-GB"/>
        </w:rPr>
      </w:r>
    </w:p>
    <w:p>
      <w:pPr>
        <w:pStyle w:val="BodyText2"/>
        <w:ind w:start="720" w:end="0"/>
        <w:rPr/>
      </w:pPr>
      <w:r>
        <w:rPr/>
        <w:t xml:space="preserve">Overall, Gaz de France Transport’s offer for transportation and access to the grid is clear and transparent. Tariffs are published and transportation costs are distance related and easy to calculate. However, distribution tariffs, available capacity at the borders, and auxiliary services are yet to be published. Services such as back up, swaps, flexible renomination procedures are available on a negotiated basis and subject to GDF’s good will. </w:t>
      </w:r>
    </w:p>
    <w:p>
      <w:pPr>
        <w:pStyle w:val="BodyText2"/>
        <w:ind w:start="360" w:end="0"/>
        <w:rPr/>
      </w:pPr>
      <w:r>
        <w:rPr/>
      </w:r>
    </w:p>
    <w:p>
      <w:pPr>
        <w:pStyle w:val="Normal"/>
        <w:ind w:firstLine="360" w:end="0"/>
        <w:jc w:val="both"/>
        <w:rPr>
          <w:rFonts w:ascii="Georgia" w:hAnsi="Georgia" w:cs="Georgia"/>
          <w:i/>
          <w:i/>
          <w:color w:val="000080"/>
          <w:lang w:val="en-GB"/>
        </w:rPr>
      </w:pPr>
      <w:r>
        <w:rPr>
          <w:rFonts w:cs="Georgia" w:ascii="Georgia" w:hAnsi="Georgia"/>
          <w:i/>
          <w:color w:val="000080"/>
          <w:lang w:val="en-GB"/>
        </w:rPr>
        <w:t>f) Possibilities of swaps and/or blending</w:t>
      </w:r>
    </w:p>
    <w:p>
      <w:pPr>
        <w:pStyle w:val="Normal"/>
        <w:jc w:val="both"/>
        <w:rPr>
          <w:rFonts w:ascii="Georgia" w:hAnsi="Georgia" w:cs="Georgia"/>
          <w:i/>
          <w:i/>
          <w:color w:val="000080"/>
          <w:lang w:val="en-GB"/>
        </w:rPr>
      </w:pPr>
      <w:r>
        <w:rPr>
          <w:rFonts w:cs="Georgia" w:ascii="Georgia" w:hAnsi="Georgia"/>
          <w:i/>
          <w:color w:val="000080"/>
          <w:lang w:val="en-GB"/>
        </w:rPr>
      </w:r>
    </w:p>
    <w:p>
      <w:pPr>
        <w:pStyle w:val="BodyTextIndent2"/>
        <w:rPr/>
      </w:pPr>
      <w:r>
        <w:rPr/>
        <w:t xml:space="preserve">Currently there are no possibilities for swaps. However, Gaz de France Trading is in the process of opening negotiations to allow us to deliver to our customer during the maintenance period at the only practically accessible entry point in the French grid. Again this service is only available subject to negotiations. In the absence of a market, such offerings should be offered by GDF based on published tariffs.  </w:t>
      </w:r>
    </w:p>
    <w:p>
      <w:pPr>
        <w:pStyle w:val="Normal"/>
        <w:jc w:val="both"/>
        <w:rPr>
          <w:lang w:val="en-GB"/>
        </w:rPr>
      </w:pPr>
      <w:r>
        <w:rPr>
          <w:lang w:val="en-GB"/>
        </w:rPr>
      </w:r>
    </w:p>
    <w:p>
      <w:pPr>
        <w:pStyle w:val="Normal"/>
        <w:jc w:val="both"/>
        <w:rPr>
          <w:lang w:val="en-GB"/>
        </w:rPr>
      </w:pPr>
      <w:r>
        <w:rPr>
          <w:lang w:val="en-GB"/>
        </w:rPr>
        <w:t xml:space="preserve"> </w:t>
      </w:r>
    </w:p>
    <w:p>
      <w:pPr>
        <w:pStyle w:val="Normal"/>
        <w:numPr>
          <w:ilvl w:val="0"/>
          <w:numId w:val="3"/>
        </w:numPr>
        <w:jc w:val="both"/>
        <w:rPr>
          <w:rFonts w:ascii="Georgia" w:hAnsi="Georgia" w:cs="Georgia"/>
          <w:i/>
          <w:i/>
          <w:color w:val="000080"/>
          <w:lang w:val="en-GB"/>
        </w:rPr>
      </w:pPr>
      <w:r>
        <w:rPr>
          <w:rFonts w:cs="Georgia" w:ascii="Georgia" w:hAnsi="Georgia"/>
          <w:i/>
          <w:color w:val="000080"/>
          <w:lang w:val="en-GB"/>
        </w:rPr>
        <w:t>Please describe any difficulties encountered or known to your undertaking as regards transmission tariffs in the country/ies where your undertaking is operating. Provide concrete examples and make – to the extent possible – concrete proposals for a solution of the difficulties.</w:t>
      </w:r>
    </w:p>
    <w:p>
      <w:pPr>
        <w:pStyle w:val="Normal"/>
        <w:jc w:val="both"/>
        <w:rPr>
          <w:rFonts w:ascii="Georgia" w:hAnsi="Georgia" w:cs="Georgia"/>
          <w:i/>
          <w:i/>
          <w:color w:val="000080"/>
          <w:lang w:val="en-GB"/>
        </w:rPr>
      </w:pPr>
      <w:r>
        <w:rPr>
          <w:rFonts w:cs="Georgia" w:ascii="Georgia" w:hAnsi="Georgia"/>
          <w:i/>
          <w:color w:val="000080"/>
          <w:lang w:val="en-GB"/>
        </w:rPr>
      </w:r>
    </w:p>
    <w:p>
      <w:pPr>
        <w:pStyle w:val="Normal"/>
        <w:ind w:start="360" w:end="0"/>
        <w:jc w:val="both"/>
        <w:rPr>
          <w:lang w:val="en-GB"/>
        </w:rPr>
      </w:pPr>
      <w:r>
        <w:rPr>
          <w:lang w:val="en-GB"/>
        </w:rPr>
        <w:t>Since the transmission tariffs are distances based, shippers can hardly propose competitive prices for customers too far away from these points. In particular, given the limitation to new entrants to entry at one point.</w:t>
      </w:r>
    </w:p>
    <w:p>
      <w:pPr>
        <w:pStyle w:val="Normal"/>
        <w:jc w:val="both"/>
        <w:rPr>
          <w:lang w:val="en-GB"/>
        </w:rPr>
      </w:pPr>
      <w:r>
        <w:rPr>
          <w:lang w:val="en-GB"/>
        </w:rPr>
      </w:r>
    </w:p>
    <w:p>
      <w:pPr>
        <w:pStyle w:val="Normal"/>
        <w:ind w:start="720" w:end="0"/>
        <w:jc w:val="both"/>
        <w:rPr>
          <w:lang w:val="en-GB"/>
        </w:rPr>
      </w:pPr>
      <w:r>
        <w:rPr>
          <w:lang w:val="en-GB"/>
        </w:rPr>
        <w:t>For a client based in the east of France, transportation costs from Taisnieres are twice the costs from Obergailbach. GDF Trading, however, has access to every single entry point and no incentive to allow other players to use them. In order to provide for non-discriminatory access, GDF should be obliged to release some gas/TOP at the other entry points, particularly Obergailbach and Dunkirk (otherwise, the behaviour of GDF should be considered as an abuse of dominant position)</w:t>
      </w:r>
    </w:p>
    <w:p>
      <w:pPr>
        <w:pStyle w:val="Normal"/>
        <w:ind w:start="360" w:end="0"/>
        <w:jc w:val="both"/>
        <w:rPr>
          <w:u w:val="single"/>
          <w:lang w:val="en-GB"/>
        </w:rPr>
      </w:pPr>
      <w:r>
        <w:rPr>
          <w:u w:val="single"/>
          <w:lang w:val="en-GB"/>
        </w:rPr>
      </w:r>
    </w:p>
    <w:p>
      <w:pPr>
        <w:pStyle w:val="Normal"/>
        <w:ind w:start="360" w:end="0"/>
        <w:jc w:val="both"/>
        <w:rPr>
          <w:lang w:val="en-GB"/>
        </w:rPr>
      </w:pPr>
      <w:r>
        <w:rPr>
          <w:lang w:val="en-GB"/>
        </w:rPr>
        <w:t xml:space="preserve">It is also worth noting that GDF customers are contractually restricted and cannot resell their gas on their entry point site. This lack of flexibility restricts the liquidity of the gas market. However, even if this restriction was lifted, the current transmission tariffication does not allow shippers to price transportation costs within the French territory. These restrictions further limit the possibility for gas market to develop.  </w:t>
      </w:r>
    </w:p>
    <w:p>
      <w:pPr>
        <w:pStyle w:val="Normal"/>
        <w:ind w:start="360" w:end="0"/>
        <w:jc w:val="both"/>
        <w:rPr>
          <w:lang w:val="en-GB"/>
        </w:rPr>
      </w:pPr>
      <w:r>
        <w:rPr>
          <w:lang w:val="en-GB"/>
        </w:rPr>
      </w:r>
    </w:p>
    <w:p>
      <w:pPr>
        <w:pStyle w:val="Normal"/>
        <w:ind w:start="360" w:end="0"/>
        <w:jc w:val="both"/>
        <w:rPr>
          <w:lang w:val="en-GB"/>
        </w:rPr>
      </w:pPr>
      <w:r>
        <w:rPr>
          <w:lang w:val="en-GB"/>
        </w:rPr>
        <w:t>Transportation tariffs should reflect costs, be fairly simple and allow trade and counter trade. Other models such as an entry /exit tariff or nodal tariff may provide for that type of flexibility.</w:t>
      </w:r>
    </w:p>
    <w:p>
      <w:pPr>
        <w:pStyle w:val="Heading6"/>
        <w:ind w:hanging="0" w:start="360" w:end="0"/>
        <w:jc w:val="both"/>
        <w:rPr>
          <w:color w:val="000080"/>
          <w:sz w:val="28"/>
          <w:lang w:val="en-GB"/>
        </w:rPr>
      </w:pPr>
      <w:r>
        <w:rPr>
          <w:color w:val="000080"/>
          <w:sz w:val="28"/>
          <w:lang w:val="en-GB"/>
        </w:rPr>
      </w:r>
    </w:p>
    <w:p>
      <w:pPr>
        <w:pStyle w:val="Normal"/>
        <w:jc w:val="both"/>
        <w:rPr>
          <w:color w:val="000080"/>
          <w:sz w:val="28"/>
          <w:lang w:val="en-GB"/>
        </w:rPr>
      </w:pPr>
      <w:r>
        <w:rPr>
          <w:color w:val="000080"/>
          <w:sz w:val="28"/>
          <w:lang w:val="en-GB"/>
        </w:rPr>
      </w:r>
    </w:p>
    <w:p>
      <w:pPr>
        <w:pStyle w:val="Heading6"/>
        <w:ind w:hanging="360" w:start="360" w:end="0"/>
        <w:jc w:val="both"/>
        <w:rPr>
          <w:rFonts w:ascii="Georgia" w:hAnsi="Georgia" w:cs="Georgia"/>
          <w:b w:val="false"/>
          <w:i/>
          <w:i/>
          <w:color w:val="000080"/>
        </w:rPr>
      </w:pPr>
      <w:r>
        <w:rPr>
          <w:rFonts w:cs="Georgia" w:ascii="Georgia" w:hAnsi="Georgia"/>
          <w:b w:val="false"/>
          <w:i/>
          <w:color w:val="000080"/>
        </w:rPr>
        <w:t>9) Please reply to question (8) as regards balancing regime</w:t>
      </w:r>
    </w:p>
    <w:p>
      <w:pPr>
        <w:pStyle w:val="Normal"/>
        <w:jc w:val="both"/>
        <w:rPr>
          <w:rFonts w:ascii="Georgia" w:hAnsi="Georgia" w:cs="Georgia"/>
          <w:b/>
          <w:i/>
          <w:i/>
          <w:color w:val="000080"/>
          <w:lang w:val="en-US"/>
        </w:rPr>
      </w:pPr>
      <w:r>
        <w:rPr>
          <w:rFonts w:cs="Georgia" w:ascii="Georgia" w:hAnsi="Georgia"/>
          <w:b/>
          <w:i/>
          <w:color w:val="000080"/>
          <w:lang w:val="en-US"/>
        </w:rPr>
      </w:r>
    </w:p>
    <w:p>
      <w:pPr>
        <w:pStyle w:val="Normal"/>
        <w:ind w:start="360" w:end="0"/>
        <w:jc w:val="both"/>
        <w:rPr>
          <w:bCs/>
          <w:lang w:val="en-GB"/>
        </w:rPr>
      </w:pPr>
      <w:r>
        <w:rPr>
          <w:bCs/>
          <w:lang w:val="en-GB"/>
        </w:rPr>
        <w:t xml:space="preserve">Balancing services (Contract de Modulation) do not allow for sufficient flexibility. Storage assets and associated transport contract are the only resource available for balancing purposes. Primary supply to customers with some volatility is not possible because of the lack of flexibility and significant costs associated to GDF’s “flexibility offer” (Contract de Modulation). </w:t>
      </w:r>
    </w:p>
    <w:p>
      <w:pPr>
        <w:pStyle w:val="Normal"/>
        <w:ind w:start="360" w:end="0"/>
        <w:jc w:val="both"/>
        <w:rPr>
          <w:bCs/>
          <w:lang w:val="en-GB"/>
        </w:rPr>
      </w:pPr>
      <w:r>
        <w:rPr>
          <w:bCs/>
          <w:lang w:val="en-GB"/>
        </w:rPr>
      </w:r>
    </w:p>
    <w:p>
      <w:pPr>
        <w:pStyle w:val="Normal"/>
        <w:ind w:start="360" w:end="0"/>
        <w:jc w:val="both"/>
        <w:rPr>
          <w:bCs/>
          <w:lang w:val="en-GB"/>
        </w:rPr>
      </w:pPr>
      <w:r>
        <w:rPr>
          <w:bCs/>
          <w:lang w:val="en-GB"/>
        </w:rPr>
        <w:t>Linepack, interruptiblility, and virtual storage (storage on site) should be used as a balancing resource. Furthermore a balancing market should be put in place to replace the current punitive system. This lack of flexibility has limited our offers to base load type offers.</w:t>
      </w:r>
    </w:p>
    <w:p>
      <w:pPr>
        <w:pStyle w:val="Normal"/>
        <w:ind w:start="360" w:end="0"/>
        <w:jc w:val="both"/>
        <w:rPr>
          <w:bCs/>
          <w:lang w:val="en-US"/>
        </w:rPr>
      </w:pPr>
      <w:r>
        <w:rPr>
          <w:bCs/>
          <w:lang w:val="en-US"/>
        </w:rPr>
      </w:r>
    </w:p>
    <w:p>
      <w:pPr>
        <w:pStyle w:val="Normal"/>
        <w:jc w:val="both"/>
        <w:rPr>
          <w:lang w:val="en-US"/>
        </w:rPr>
      </w:pPr>
      <w:r>
        <w:rPr>
          <w:lang w:val="en-US"/>
        </w:rPr>
      </w:r>
    </w:p>
    <w:p>
      <w:pPr>
        <w:pStyle w:val="Heading6"/>
        <w:ind w:hanging="0" w:start="0"/>
        <w:jc w:val="both"/>
        <w:rPr>
          <w:rFonts w:ascii="Georgia" w:hAnsi="Georgia" w:cs="Georgia"/>
          <w:b w:val="false"/>
          <w:i/>
          <w:i/>
          <w:color w:val="000080"/>
        </w:rPr>
      </w:pPr>
      <w:r>
        <w:rPr>
          <w:rFonts w:cs="Georgia" w:ascii="Georgia" w:hAnsi="Georgia"/>
          <w:b w:val="false"/>
          <w:i/>
          <w:color w:val="000080"/>
        </w:rPr>
        <w:t>10) Please reply to question (8) as regards access to storage</w:t>
      </w:r>
    </w:p>
    <w:p>
      <w:pPr>
        <w:pStyle w:val="Normal"/>
        <w:ind w:start="720" w:end="0"/>
        <w:jc w:val="both"/>
        <w:rPr>
          <w:rFonts w:ascii="Georgia" w:hAnsi="Georgia" w:cs="Georgia"/>
          <w:b/>
          <w:i/>
          <w:i/>
          <w:color w:val="000080"/>
          <w:lang w:val="en-GB"/>
        </w:rPr>
      </w:pPr>
      <w:r>
        <w:rPr>
          <w:rFonts w:cs="Georgia" w:ascii="Georgia" w:hAnsi="Georgia"/>
          <w:b/>
          <w:i/>
          <w:color w:val="000080"/>
          <w:lang w:val="en-GB"/>
        </w:rPr>
      </w:r>
    </w:p>
    <w:p>
      <w:pPr>
        <w:pStyle w:val="Normal"/>
        <w:ind w:start="360" w:end="0"/>
        <w:jc w:val="both"/>
        <w:rPr>
          <w:lang w:val="en-GB"/>
        </w:rPr>
      </w:pPr>
      <w:r>
        <w:rPr>
          <w:lang w:val="en-GB"/>
        </w:rPr>
        <w:t xml:space="preserve">Access to storage is based on yearly contracts. Access to storage is only available for balancing services. A shipper must have a supply contract associated with the balancing contract. </w:t>
      </w:r>
    </w:p>
    <w:p>
      <w:pPr>
        <w:pStyle w:val="Normal"/>
        <w:ind w:start="360" w:end="0"/>
        <w:jc w:val="both"/>
        <w:rPr>
          <w:lang w:val="en-GB"/>
        </w:rPr>
      </w:pPr>
      <w:r>
        <w:rPr>
          <w:lang w:val="en-GB"/>
        </w:rPr>
      </w:r>
    </w:p>
    <w:p>
      <w:pPr>
        <w:pStyle w:val="Normal"/>
        <w:ind w:start="360" w:end="0"/>
        <w:jc w:val="both"/>
        <w:rPr/>
      </w:pPr>
      <w:r>
        <w:rPr>
          <w:lang w:val="en-GB"/>
        </w:rPr>
        <w:t xml:space="preserve">Storage is essential for balancing and arbitrage purposes and therefore should also be offered as a stand-alone service. </w:t>
      </w:r>
      <w:r>
        <w:rPr>
          <w:bCs/>
          <w:color w:val="000000"/>
          <w:szCs w:val="20"/>
          <w:lang w:val="en-GB"/>
        </w:rPr>
        <w:t>I</w:t>
      </w:r>
      <w:r>
        <w:rPr>
          <w:lang w:val="en-GB"/>
        </w:rPr>
        <w:t>t lowers its costs, facilitates balancing, and allows it to provide greater flexibility and security of supply to its customers. Storage should be offered to all market player with out them necessarily having end use customers.</w:t>
      </w:r>
    </w:p>
    <w:p>
      <w:pPr>
        <w:pStyle w:val="Normal"/>
        <w:jc w:val="both"/>
        <w:rPr>
          <w:lang w:val="en-GB"/>
        </w:rPr>
      </w:pPr>
      <w:r>
        <w:rPr>
          <w:lang w:val="en-GB"/>
        </w:rPr>
      </w:r>
    </w:p>
    <w:p>
      <w:pPr>
        <w:pStyle w:val="Normal"/>
        <w:jc w:val="both"/>
        <w:rPr>
          <w:lang w:val="en-GB"/>
        </w:rPr>
      </w:pPr>
      <w:r>
        <w:rPr>
          <w:lang w:val="en-GB"/>
        </w:rPr>
      </w:r>
    </w:p>
    <w:p>
      <w:pPr>
        <w:pStyle w:val="Normal"/>
        <w:jc w:val="both"/>
        <w:rPr>
          <w:rFonts w:ascii="Georgia" w:hAnsi="Georgia" w:cs="Georgia"/>
          <w:i/>
          <w:i/>
          <w:color w:val="000080"/>
          <w:lang w:val="en-GB"/>
        </w:rPr>
      </w:pPr>
      <w:r>
        <w:rPr>
          <w:rFonts w:cs="Georgia" w:ascii="Georgia" w:hAnsi="Georgia"/>
          <w:i/>
          <w:color w:val="000080"/>
          <w:lang w:val="en-GB"/>
        </w:rPr>
        <w:t>11) Please reply to question (8) as regards transparency</w:t>
      </w:r>
    </w:p>
    <w:p>
      <w:pPr>
        <w:pStyle w:val="Normal"/>
        <w:ind w:start="360" w:end="0"/>
        <w:jc w:val="both"/>
        <w:rPr>
          <w:rFonts w:ascii="Georgia" w:hAnsi="Georgia" w:cs="Georgia"/>
          <w:i/>
          <w:i/>
          <w:color w:val="000080"/>
          <w:lang w:val="en-GB"/>
        </w:rPr>
      </w:pPr>
      <w:r>
        <w:rPr>
          <w:rFonts w:cs="Georgia" w:ascii="Georgia" w:hAnsi="Georgia"/>
          <w:i/>
          <w:color w:val="000080"/>
          <w:lang w:val="en-GB"/>
        </w:rPr>
      </w:r>
    </w:p>
    <w:p>
      <w:pPr>
        <w:pStyle w:val="Normal"/>
        <w:ind w:start="360" w:end="0"/>
        <w:jc w:val="both"/>
        <w:rPr>
          <w:lang w:val="en-GB"/>
        </w:rPr>
      </w:pPr>
      <w:r>
        <w:rPr>
          <w:lang w:val="en-GB"/>
        </w:rPr>
        <w:t xml:space="preserve">Transparency is only available for access on the injection points in France, transportation tariffs at the transmission level and a limited balancing service. Back up, swaps, no-standard storage services, i.e. all services necessary for the efficient supply to a customer are not clearly available. GDF has been open to discussion with regards to the offering of such services on negotiated bases. </w:t>
      </w:r>
    </w:p>
    <w:p>
      <w:pPr>
        <w:pStyle w:val="Normal"/>
        <w:jc w:val="both"/>
        <w:rPr>
          <w:lang w:val="en-GB"/>
        </w:rPr>
      </w:pPr>
      <w:r>
        <w:rPr>
          <w:lang w:val="en-GB"/>
        </w:rPr>
        <w:t xml:space="preserve">     </w:t>
      </w:r>
    </w:p>
    <w:p>
      <w:pPr>
        <w:pStyle w:val="Normal"/>
        <w:ind w:start="360" w:end="0"/>
        <w:jc w:val="both"/>
        <w:rPr>
          <w:lang w:val="en-GB"/>
        </w:rPr>
      </w:pPr>
      <w:r>
        <w:rPr>
          <w:lang w:val="en-GB"/>
        </w:rPr>
        <w:t xml:space="preserve">In the absence of market mechanisms, all transport services and ancillary services (back-up, flexible balancing services, …) that provide for flexibility should be provided by GDF on a regulated tariff bases to provide for transparency. </w:t>
      </w:r>
    </w:p>
    <w:p>
      <w:pPr>
        <w:pStyle w:val="Normal"/>
        <w:jc w:val="both"/>
        <w:rPr>
          <w:lang w:val="en-GB"/>
        </w:rPr>
      </w:pPr>
      <w:r>
        <w:rPr>
          <w:lang w:val="en-GB"/>
        </w:rPr>
      </w:r>
    </w:p>
    <w:p>
      <w:pPr>
        <w:pStyle w:val="Normal"/>
        <w:ind w:start="360" w:end="0"/>
        <w:jc w:val="both"/>
        <w:rPr/>
      </w:pPr>
      <w:r>
        <w:rPr>
          <w:lang w:val="en-GB"/>
        </w:rPr>
        <w:t xml:space="preserve">In particular, there is no formal </w:t>
      </w:r>
      <w:r>
        <w:rPr>
          <w:b/>
          <w:lang w:val="en-GB"/>
        </w:rPr>
        <w:t>Rule for Determination of Quantities</w:t>
      </w:r>
      <w:r>
        <w:rPr>
          <w:lang w:val="en-GB"/>
        </w:rPr>
        <w:t xml:space="preserve"> at each delivery point. This rule has to be negotiated between the various suppliers for each delivery point. In the case where one of the suppliers defaults, the GDF doesn’t take any action to allow the remaining suppliers and customer to renegociate. GDF will simply interrupt or redeliver by default the totality of the supply to the customer. </w:t>
      </w:r>
    </w:p>
    <w:p>
      <w:pPr>
        <w:pStyle w:val="Normal"/>
        <w:jc w:val="both"/>
        <w:rPr>
          <w:lang w:val="en-GB"/>
        </w:rPr>
      </w:pPr>
      <w:r>
        <w:rPr>
          <w:lang w:val="en-GB"/>
        </w:rPr>
      </w:r>
    </w:p>
    <w:p>
      <w:pPr>
        <w:pStyle w:val="Normal"/>
        <w:ind w:start="360" w:end="0"/>
        <w:jc w:val="both"/>
        <w:rPr>
          <w:lang w:val="en-GB"/>
        </w:rPr>
      </w:pPr>
      <w:r>
        <w:rPr>
          <w:lang w:val="en-GB"/>
        </w:rPr>
        <w:t>The GDF should provide a replacement service for a short period, in order to allow the suppliers to renegotiate amongst themselves, and with the customers, in order not to jeopardise the whole supply contract.</w:t>
      </w:r>
    </w:p>
    <w:p>
      <w:pPr>
        <w:pStyle w:val="Normal"/>
        <w:ind w:start="360" w:end="0"/>
        <w:jc w:val="both"/>
        <w:rPr>
          <w:rFonts w:ascii="Georgia" w:hAnsi="Georgia" w:cs="Georgia"/>
          <w:i/>
          <w:i/>
          <w:color w:val="000080"/>
          <w:lang w:val="en-GB"/>
        </w:rPr>
      </w:pPr>
      <w:r>
        <w:rPr>
          <w:rFonts w:cs="Georgia" w:ascii="Georgia" w:hAnsi="Georgia"/>
          <w:i/>
          <w:color w:val="000080"/>
          <w:lang w:val="en-GB"/>
        </w:rPr>
      </w:r>
    </w:p>
    <w:p>
      <w:pPr>
        <w:pStyle w:val="BodyText"/>
        <w:jc w:val="both"/>
        <w:rPr/>
      </w:pPr>
      <w:r>
        <w:rPr/>
        <w:t>12) Please reply to question (8) as regards possibilities of swaps and/or blending</w:t>
      </w:r>
    </w:p>
    <w:p>
      <w:pPr>
        <w:pStyle w:val="Header"/>
        <w:tabs>
          <w:tab w:val="clear" w:pos="4320"/>
          <w:tab w:val="clear" w:pos="8640"/>
        </w:tabs>
        <w:jc w:val="both"/>
        <w:rPr>
          <w:lang w:val="en-GB"/>
        </w:rPr>
      </w:pPr>
      <w:r>
        <w:rPr>
          <w:lang w:val="en-GB"/>
        </w:rPr>
      </w:r>
    </w:p>
    <w:p>
      <w:pPr>
        <w:pStyle w:val="Normal"/>
        <w:ind w:start="360" w:end="0"/>
        <w:jc w:val="both"/>
        <w:rPr>
          <w:lang w:val="en-GB"/>
        </w:rPr>
      </w:pPr>
      <w:r>
        <w:rPr>
          <w:lang w:val="en-GB"/>
        </w:rPr>
        <w:t xml:space="preserve">Today we cannot deliver any gas to our customers during maintenance periods. We are currently attempting to negotiate a swap for delivery to a customer during the maintenance period on </w:t>
      </w:r>
      <w:r>
        <w:rPr>
          <w:bCs/>
          <w:color w:val="000000"/>
          <w:szCs w:val="20"/>
          <w:lang w:val="en-GB"/>
        </w:rPr>
        <w:t xml:space="preserve">Taisnières H. The outcome of this negotiation seems to be promising. However, until such services are regulated and published, the outcome such negotiations have yet to be known and leaves our ability to deliver subject to GDF's good will. </w:t>
      </w:r>
    </w:p>
    <w:p>
      <w:pPr>
        <w:pStyle w:val="Heading2"/>
        <w:rPr>
          <w:lang w:val="en-GB"/>
        </w:rPr>
      </w:pPr>
      <w:r>
        <w:rPr>
          <w:lang w:val="en-GB"/>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eorg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lang w:val="en-GB"/>
      </w:rPr>
      <w:t>Draft</w:t>
    </w:r>
    <w:r>
      <w:rPr/>
      <w:t xml:space="preserve"> 2 – 13-02-01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lvl>
  </w:abstractNum>
  <w:abstractNum w:abstractNumId="3">
    <w:lvl w:ilvl="0">
      <w:start w:val="1"/>
      <w:numFmt w:val="none"/>
      <w:suff w:val="nothing"/>
      <w:lvlText w:val="8)"/>
      <w:lvlJc w:val="start"/>
      <w:pPr>
        <w:tabs>
          <w:tab w:val="num" w:pos="360"/>
        </w:tabs>
        <w:ind w:start="360" w:hanging="360"/>
      </w:pPr>
    </w:lvl>
  </w:abstractNum>
  <w:abstractNum w:abstractNumId="4">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paragraph" w:styleId="Heading1">
    <w:name w:val="heading 1"/>
    <w:basedOn w:val="Normal"/>
    <w:next w:val="Normal"/>
    <w:qFormat/>
    <w:pPr>
      <w:keepNext w:val="true"/>
      <w:numPr>
        <w:ilvl w:val="0"/>
        <w:numId w:val="1"/>
      </w:numPr>
      <w:ind w:hanging="0" w:start="360" w:end="0"/>
      <w:jc w:val="both"/>
      <w:outlineLvl w:val="0"/>
    </w:pPr>
    <w:rPr>
      <w:u w:val="single"/>
      <w:lang w:val="en-GB"/>
    </w:rPr>
  </w:style>
  <w:style w:type="paragraph" w:styleId="Heading2">
    <w:name w:val="heading 2"/>
    <w:basedOn w:val="Normal"/>
    <w:next w:val="Normal"/>
    <w:qFormat/>
    <w:pPr>
      <w:keepNext w:val="true"/>
      <w:numPr>
        <w:ilvl w:val="1"/>
        <w:numId w:val="1"/>
      </w:numPr>
      <w:ind w:hanging="0" w:start="720" w:end="0"/>
      <w:jc w:val="both"/>
      <w:outlineLvl w:val="1"/>
    </w:pPr>
    <w:rPr>
      <w:b/>
      <w:bCs/>
      <w:lang w:val="en-GB"/>
    </w:rPr>
  </w:style>
  <w:style w:type="paragraph" w:styleId="Heading6">
    <w:name w:val="heading 6"/>
    <w:basedOn w:val="Normal"/>
    <w:next w:val="Normal"/>
    <w:qFormat/>
    <w:pPr>
      <w:keepNext w:val="true"/>
      <w:numPr>
        <w:ilvl w:val="5"/>
        <w:numId w:val="1"/>
      </w:numPr>
      <w:outlineLvl w:val="5"/>
    </w:pPr>
    <w:rPr>
      <w:b/>
      <w:lang w:val="en-US"/>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sz w:val="16"/>
    </w:rPr>
  </w:style>
  <w:style w:type="character" w:styleId="WW8Num16z0">
    <w:name w:val="WW8Num16z0"/>
    <w:qFormat/>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sz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eorgia" w:hAnsi="Georgia" w:cs="Georgia"/>
      <w:i/>
      <w:color w:val="00008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color w:val="000000"/>
      <w:lang w:val="en-US"/>
    </w:rPr>
  </w:style>
  <w:style w:type="paragraph" w:styleId="BodyTextIndent3">
    <w:name w:val="Body Text Indent 3"/>
    <w:basedOn w:val="Normal"/>
    <w:qFormat/>
    <w:pPr>
      <w:ind w:hanging="0" w:start="708" w:end="0"/>
      <w:jc w:val="both"/>
    </w:pPr>
    <w:rPr>
      <w:bCs/>
    </w:rPr>
  </w:style>
  <w:style w:type="paragraph" w:styleId="BodyTextIndent">
    <w:name w:val="Body Text Indent"/>
    <w:basedOn w:val="Normal"/>
    <w:pPr>
      <w:ind w:hanging="0" w:start="360" w:end="0"/>
    </w:pPr>
    <w:rPr>
      <w:rFonts w:ascii="Arial" w:hAnsi="Arial" w:cs="Arial"/>
      <w:i/>
      <w:iCs/>
      <w:sz w:val="22"/>
      <w:lang w:val="en-GB"/>
    </w:rPr>
  </w:style>
  <w:style w:type="paragraph" w:styleId="BodyTextIndent2">
    <w:name w:val="Body Text Indent 2"/>
    <w:basedOn w:val="Normal"/>
    <w:qFormat/>
    <w:pPr>
      <w:ind w:hanging="0" w:start="720" w:end="0"/>
      <w:jc w:val="both"/>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2001-02-12T07:01:00Z</dcterms:created>
  <dc:creator>Bruno Gaillard</dc:creator>
  <dc:description/>
  <dc:language>en-CA</dc:language>
  <cp:lastModifiedBy>Bruno Gaillard</cp:lastModifiedBy>
  <cp:lastPrinted>2001-02-12T16:54:00Z</cp:lastPrinted>
  <dcterms:modified xsi:type="dcterms:W3CDTF">2001-02-13T11:10:00Z</dcterms:modified>
  <cp:revision>6</cp:revision>
  <dc:subject/>
  <dc:title>France (Questions B7-B12)</dc:title>
</cp:coreProperties>
</file>