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rPr>
          <w:bCs/>
          <w:sz w:val="24"/>
        </w:rPr>
      </w:pPr>
      <w:r>
        <w:rPr>
          <w:bCs/>
          <w:sz w:val="24"/>
        </w:rPr>
      </w:r>
    </w:p>
    <w:p>
      <w:pPr>
        <w:pStyle w:val="Normal"/>
        <w:ind w:start="720" w:end="0"/>
        <w:rPr>
          <w:bCs/>
          <w:sz w:val="24"/>
        </w:rPr>
      </w:pPr>
      <w:r>
        <w:rPr>
          <w:bCs/>
          <w:sz w:val="24"/>
        </w:rPr>
      </w:r>
    </w:p>
    <w:p>
      <w:pPr>
        <w:pStyle w:val="Normal"/>
        <w:ind w:start="720" w:end="0"/>
        <w:rPr>
          <w:bCs/>
          <w:sz w:val="24"/>
        </w:rPr>
      </w:pPr>
      <w:r>
        <w:rPr>
          <w:bCs/>
          <w:sz w:val="24"/>
        </w:rPr>
      </w:r>
    </w:p>
    <w:p>
      <w:pPr>
        <w:pStyle w:val="Normal"/>
        <w:ind w:start="720" w:end="0"/>
        <w:rPr>
          <w:bCs/>
          <w:sz w:val="24"/>
        </w:rPr>
      </w:pPr>
      <w:r>
        <w:rPr>
          <w:bCs/>
          <w:sz w:val="24"/>
        </w:rPr>
        <w:t>January 8, 2002</w:t>
      </w:r>
    </w:p>
    <w:p>
      <w:pPr>
        <w:pStyle w:val="Normal"/>
        <w:ind w:start="720" w:end="0"/>
        <w:rPr>
          <w:bCs/>
          <w:sz w:val="24"/>
        </w:rPr>
      </w:pPr>
      <w:r>
        <w:rPr>
          <w:bCs/>
          <w:sz w:val="24"/>
        </w:rPr>
      </w:r>
    </w:p>
    <w:p>
      <w:pPr>
        <w:pStyle w:val="Normal"/>
        <w:ind w:start="720" w:end="0"/>
        <w:rPr>
          <w:bCs/>
          <w:sz w:val="24"/>
        </w:rPr>
      </w:pPr>
      <w:r>
        <w:rPr>
          <w:bCs/>
          <w:sz w:val="24"/>
        </w:rPr>
      </w:r>
    </w:p>
    <w:p>
      <w:pPr>
        <w:pStyle w:val="Normal"/>
        <w:ind w:start="720" w:end="0"/>
        <w:rPr>
          <w:bCs/>
          <w:sz w:val="24"/>
        </w:rPr>
      </w:pPr>
      <w:r>
        <w:rPr>
          <w:bCs/>
          <w:sz w:val="24"/>
        </w:rPr>
        <w:t>Ms. Peggy Fowler</w:t>
      </w:r>
    </w:p>
    <w:p>
      <w:pPr>
        <w:pStyle w:val="Normal"/>
        <w:ind w:start="720" w:end="0"/>
        <w:rPr>
          <w:bCs/>
          <w:sz w:val="24"/>
        </w:rPr>
      </w:pPr>
      <w:r>
        <w:rPr>
          <w:bCs/>
          <w:sz w:val="24"/>
        </w:rPr>
        <w:t>CEO and President</w:t>
      </w:r>
    </w:p>
    <w:p>
      <w:pPr>
        <w:pStyle w:val="Normal"/>
        <w:ind w:start="720" w:end="0"/>
        <w:rPr>
          <w:bCs/>
          <w:sz w:val="24"/>
        </w:rPr>
      </w:pPr>
      <w:r>
        <w:rPr>
          <w:bCs/>
          <w:sz w:val="24"/>
        </w:rPr>
        <w:t>Portland General Electric Company</w:t>
      </w:r>
    </w:p>
    <w:p>
      <w:pPr>
        <w:pStyle w:val="Normal"/>
        <w:ind w:start="720" w:end="0"/>
        <w:rPr>
          <w:bCs/>
          <w:sz w:val="24"/>
        </w:rPr>
      </w:pPr>
      <w:r>
        <w:rPr>
          <w:bCs/>
          <w:sz w:val="24"/>
        </w:rPr>
        <w:t>121 SW Salmon Street</w:t>
      </w:r>
    </w:p>
    <w:p>
      <w:pPr>
        <w:pStyle w:val="Normal"/>
        <w:ind w:start="720" w:end="0"/>
        <w:rPr>
          <w:bCs/>
          <w:sz w:val="24"/>
        </w:rPr>
      </w:pPr>
      <w:r>
        <w:rPr>
          <w:bCs/>
          <w:sz w:val="24"/>
        </w:rPr>
        <w:t>Portland, OR  97204</w:t>
      </w:r>
    </w:p>
    <w:p>
      <w:pPr>
        <w:pStyle w:val="Normal"/>
        <w:ind w:start="720" w:end="0"/>
        <w:rPr>
          <w:bCs/>
          <w:sz w:val="24"/>
        </w:rPr>
      </w:pPr>
      <w:r>
        <w:rPr>
          <w:bCs/>
          <w:sz w:val="24"/>
        </w:rPr>
      </w:r>
    </w:p>
    <w:p>
      <w:pPr>
        <w:pStyle w:val="Normal"/>
        <w:ind w:start="720" w:end="0"/>
        <w:rPr>
          <w:bCs/>
          <w:sz w:val="24"/>
        </w:rPr>
      </w:pPr>
      <w:r>
        <w:rPr>
          <w:bCs/>
          <w:sz w:val="24"/>
        </w:rPr>
        <w:t>Dear Peggy:</w:t>
      </w:r>
    </w:p>
    <w:p>
      <w:pPr>
        <w:pStyle w:val="Normal"/>
        <w:ind w:start="720" w:end="0"/>
        <w:rPr>
          <w:bCs/>
          <w:sz w:val="24"/>
        </w:rPr>
      </w:pPr>
      <w:r>
        <w:rPr>
          <w:bCs/>
          <w:sz w:val="24"/>
        </w:rPr>
      </w:r>
    </w:p>
    <w:p>
      <w:pPr>
        <w:pStyle w:val="Normal"/>
        <w:ind w:start="720" w:end="0"/>
        <w:rPr>
          <w:bCs/>
          <w:sz w:val="24"/>
        </w:rPr>
      </w:pPr>
      <w:r>
        <w:rPr>
          <w:bCs/>
          <w:sz w:val="24"/>
        </w:rPr>
        <w:t>Thank you for your letter dated December 12, 2001.  As you so eloquently pointed out in your letter, the tragic financial collapse of Enron and the resultant bankruptcy has had a devastating impact on all of our employees.  I know this all too well from the many heartbreaking letters I have received.</w:t>
      </w:r>
    </w:p>
    <w:p>
      <w:pPr>
        <w:pStyle w:val="Normal"/>
        <w:ind w:start="720" w:end="0"/>
        <w:rPr>
          <w:bCs/>
          <w:sz w:val="24"/>
        </w:rPr>
      </w:pPr>
      <w:r>
        <w:rPr>
          <w:bCs/>
          <w:sz w:val="24"/>
        </w:rPr>
      </w:r>
    </w:p>
    <w:p>
      <w:pPr>
        <w:pStyle w:val="Normal"/>
        <w:ind w:start="720" w:end="0"/>
        <w:rPr>
          <w:bCs/>
          <w:sz w:val="24"/>
        </w:rPr>
      </w:pPr>
      <w:r>
        <w:rPr>
          <w:bCs/>
          <w:sz w:val="24"/>
        </w:rPr>
        <w:t>I cannot tell you the heartache it has caused me personally to see the life savings of so many employees destroyed.  Many of these employees were long-term employees from our pipelines, as well as Portland General Electric (PGE).</w:t>
      </w:r>
    </w:p>
    <w:p>
      <w:pPr>
        <w:pStyle w:val="Normal"/>
        <w:ind w:start="720" w:end="0"/>
        <w:rPr>
          <w:bCs/>
          <w:sz w:val="24"/>
        </w:rPr>
      </w:pPr>
      <w:r>
        <w:rPr>
          <w:bCs/>
          <w:sz w:val="24"/>
        </w:rPr>
      </w:r>
    </w:p>
    <w:p>
      <w:pPr>
        <w:pStyle w:val="Normal"/>
        <w:ind w:start="720" w:end="0"/>
        <w:rPr>
          <w:bCs/>
          <w:sz w:val="24"/>
        </w:rPr>
      </w:pPr>
      <w:r>
        <w:rPr>
          <w:bCs/>
          <w:sz w:val="24"/>
        </w:rPr>
        <w:t>As you are no doubt aware, Enron’s bankruptcy has impacted not only those Enron  subsidiaries that went into bankruptcy, but the operations of those subsidiaries and affiliates that did not, as well.</w:t>
      </w:r>
    </w:p>
    <w:p>
      <w:pPr>
        <w:pStyle w:val="Normal"/>
        <w:ind w:start="720" w:end="0"/>
        <w:rPr>
          <w:bCs/>
          <w:sz w:val="24"/>
        </w:rPr>
      </w:pPr>
      <w:r>
        <w:rPr>
          <w:bCs/>
          <w:sz w:val="24"/>
        </w:rPr>
      </w:r>
    </w:p>
    <w:p>
      <w:pPr>
        <w:pStyle w:val="Normal"/>
        <w:ind w:start="720" w:end="0"/>
        <w:rPr>
          <w:bCs/>
          <w:sz w:val="24"/>
        </w:rPr>
      </w:pPr>
      <w:r>
        <w:rPr>
          <w:bCs/>
          <w:sz w:val="24"/>
        </w:rPr>
        <w:t>In your letter, you have asked me to consider several options to help assist PGE employees recover some of their lost value.  I will attempt to address those options:</w:t>
      </w:r>
    </w:p>
    <w:p>
      <w:pPr>
        <w:pStyle w:val="Normal"/>
        <w:ind w:start="720" w:end="0"/>
        <w:rPr>
          <w:bCs/>
          <w:sz w:val="24"/>
        </w:rPr>
      </w:pPr>
      <w:r>
        <w:rPr>
          <w:bCs/>
          <w:sz w:val="24"/>
        </w:rPr>
      </w:r>
    </w:p>
    <w:p>
      <w:pPr>
        <w:pStyle w:val="Normal"/>
        <w:numPr>
          <w:ilvl w:val="0"/>
          <w:numId w:val="2"/>
        </w:numPr>
        <w:rPr>
          <w:bCs/>
          <w:sz w:val="24"/>
        </w:rPr>
      </w:pPr>
      <w:r>
        <w:rPr>
          <w:bCs/>
          <w:sz w:val="24"/>
        </w:rPr>
        <w:t>Extending the period that PGE employees can exercise their stock options simply is not feasible and could not be done selectively.  Even if it could, it is highly unlikely that doing this would ever provide value to PGE employees.</w:t>
      </w:r>
    </w:p>
    <w:p>
      <w:pPr>
        <w:pStyle w:val="Normal"/>
        <w:ind w:start="720" w:end="0"/>
        <w:rPr>
          <w:bCs/>
          <w:sz w:val="24"/>
        </w:rPr>
      </w:pPr>
      <w:r>
        <w:rPr>
          <w:bCs/>
          <w:sz w:val="24"/>
        </w:rPr>
      </w:r>
    </w:p>
    <w:p>
      <w:pPr>
        <w:pStyle w:val="Normal"/>
        <w:numPr>
          <w:ilvl w:val="0"/>
          <w:numId w:val="2"/>
        </w:numPr>
        <w:rPr>
          <w:bCs/>
          <w:sz w:val="24"/>
        </w:rPr>
      </w:pPr>
      <w:r>
        <w:rPr>
          <w:bCs/>
          <w:sz w:val="24"/>
        </w:rPr>
        <w:t>Stan Horton is working on getting PGE’s 2001 bonuses reviewed by the Creditors’ Committee.  We expect to pay these bonuses on schedule.  In addition, Stan informs me that merit increases will be given consistent with prior years.</w:t>
      </w:r>
    </w:p>
    <w:p>
      <w:pPr>
        <w:pStyle w:val="Normal"/>
        <w:ind w:start="720" w:end="0"/>
        <w:rPr>
          <w:bCs/>
          <w:sz w:val="24"/>
        </w:rPr>
      </w:pPr>
      <w:r>
        <w:rPr>
          <w:bCs/>
          <w:sz w:val="24"/>
        </w:rPr>
      </w:r>
    </w:p>
    <w:p>
      <w:pPr>
        <w:pStyle w:val="Normal"/>
        <w:numPr>
          <w:ilvl w:val="0"/>
          <w:numId w:val="2"/>
        </w:numPr>
        <w:rPr>
          <w:bCs/>
          <w:sz w:val="24"/>
        </w:rPr>
      </w:pPr>
      <w:r>
        <w:rPr>
          <w:bCs/>
          <w:sz w:val="24"/>
        </w:rPr>
        <w:t>Enron cannot direct some of the proceeds of the PGE sale to reinstate value to PGE’s employees.  The Creditors’ Committee will decide the disposition of the proceeds.  Even if something like you suggest could be done, it would be highly discriminatory to Enron’s other employees who have also lost significant value.</w:t>
      </w:r>
    </w:p>
    <w:p>
      <w:pPr>
        <w:pStyle w:val="Normal"/>
        <w:ind w:start="720" w:end="0"/>
        <w:rPr>
          <w:bCs/>
          <w:sz w:val="24"/>
        </w:rPr>
      </w:pPr>
      <w:r>
        <w:rPr>
          <w:bCs/>
          <w:sz w:val="24"/>
        </w:rPr>
      </w:r>
    </w:p>
    <w:p>
      <w:pPr>
        <w:pStyle w:val="Normal"/>
        <w:ind w:start="720" w:end="0"/>
        <w:rPr>
          <w:bCs/>
          <w:sz w:val="24"/>
        </w:rPr>
      </w:pPr>
      <w:r>
        <w:rPr>
          <w:bCs/>
          <w:sz w:val="24"/>
        </w:rPr>
        <w:t>Ms. Peggy Fowler</w:t>
      </w:r>
    </w:p>
    <w:p>
      <w:pPr>
        <w:pStyle w:val="Normal"/>
        <w:ind w:start="720" w:end="0"/>
        <w:rPr>
          <w:bCs/>
          <w:sz w:val="24"/>
        </w:rPr>
      </w:pPr>
      <w:r>
        <w:rPr>
          <w:bCs/>
          <w:sz w:val="24"/>
        </w:rPr>
        <w:t>January 8, 2002</w:t>
      </w:r>
    </w:p>
    <w:p>
      <w:pPr>
        <w:pStyle w:val="Normal"/>
        <w:ind w:start="720" w:end="0"/>
        <w:rPr>
          <w:bCs/>
          <w:sz w:val="24"/>
        </w:rPr>
      </w:pPr>
      <w:r>
        <w:rPr>
          <w:bCs/>
          <w:sz w:val="24"/>
        </w:rPr>
        <w:t>Page 2</w:t>
      </w:r>
    </w:p>
    <w:p>
      <w:pPr>
        <w:pStyle w:val="Normal"/>
        <w:ind w:start="720" w:end="0"/>
        <w:rPr>
          <w:bCs/>
          <w:sz w:val="24"/>
        </w:rPr>
      </w:pPr>
      <w:r>
        <w:rPr>
          <w:bCs/>
          <w:sz w:val="24"/>
        </w:rPr>
      </w:r>
    </w:p>
    <w:p>
      <w:pPr>
        <w:pStyle w:val="Normal"/>
        <w:ind w:start="720" w:end="0"/>
        <w:rPr>
          <w:bCs/>
          <w:sz w:val="24"/>
        </w:rPr>
      </w:pPr>
      <w:r>
        <w:rPr>
          <w:bCs/>
          <w:sz w:val="24"/>
        </w:rPr>
      </w:r>
    </w:p>
    <w:p>
      <w:pPr>
        <w:pStyle w:val="Normal"/>
        <w:ind w:start="720" w:end="0"/>
        <w:rPr>
          <w:bCs/>
          <w:sz w:val="24"/>
        </w:rPr>
      </w:pPr>
      <w:r>
        <w:rPr>
          <w:bCs/>
          <w:sz w:val="24"/>
        </w:rPr>
      </w:r>
    </w:p>
    <w:p>
      <w:pPr>
        <w:pStyle w:val="Normal"/>
        <w:ind w:start="720" w:end="0"/>
        <w:rPr>
          <w:bCs/>
          <w:sz w:val="24"/>
        </w:rPr>
      </w:pPr>
      <w:r>
        <w:rPr>
          <w:bCs/>
          <w:sz w:val="24"/>
        </w:rPr>
      </w:r>
    </w:p>
    <w:p>
      <w:pPr>
        <w:pStyle w:val="Normal"/>
        <w:numPr>
          <w:ilvl w:val="0"/>
          <w:numId w:val="2"/>
        </w:numPr>
        <w:rPr>
          <w:bCs/>
          <w:sz w:val="24"/>
        </w:rPr>
      </w:pPr>
      <w:r>
        <w:rPr>
          <w:bCs/>
          <w:sz w:val="24"/>
        </w:rPr>
        <w:t>Again, Enron’s retained interest in Northwest Natural is “owned” by the creditors of Enron.  Enron cannot simply direct any retained interest to one creditor class.</w:t>
      </w:r>
    </w:p>
    <w:p>
      <w:pPr>
        <w:pStyle w:val="Normal"/>
        <w:ind w:start="720" w:end="0"/>
        <w:rPr>
          <w:bCs/>
          <w:sz w:val="24"/>
        </w:rPr>
      </w:pPr>
      <w:r>
        <w:rPr>
          <w:bCs/>
          <w:sz w:val="24"/>
        </w:rPr>
      </w:r>
    </w:p>
    <w:p>
      <w:pPr>
        <w:pStyle w:val="Normal"/>
        <w:ind w:start="720" w:end="0"/>
        <w:rPr>
          <w:bCs/>
          <w:sz w:val="24"/>
        </w:rPr>
      </w:pPr>
      <w:r>
        <w:rPr>
          <w:bCs/>
          <w:sz w:val="24"/>
        </w:rPr>
        <w:t>I realize the difficulty in dealing with these issues, but looking for quick fixes is not the answer.  As we move through the bankruptcy process, the interest of our former and current employees will be represented.</w:t>
      </w:r>
    </w:p>
    <w:p>
      <w:pPr>
        <w:pStyle w:val="Normal"/>
        <w:ind w:start="720" w:end="0"/>
        <w:rPr>
          <w:bCs/>
          <w:sz w:val="24"/>
        </w:rPr>
      </w:pPr>
      <w:r>
        <w:rPr>
          <w:bCs/>
          <w:sz w:val="24"/>
        </w:rPr>
      </w:r>
    </w:p>
    <w:p>
      <w:pPr>
        <w:pStyle w:val="Normal"/>
        <w:ind w:start="720" w:end="0"/>
        <w:rPr>
          <w:bCs/>
          <w:sz w:val="24"/>
        </w:rPr>
      </w:pPr>
      <w:r>
        <w:rPr>
          <w:bCs/>
          <w:sz w:val="24"/>
        </w:rPr>
        <w:t>I know I can count on your to do everything possible to keep PGE employees safe and productive and to facilitate the Northwest  Natural transaction.</w:t>
      </w:r>
    </w:p>
    <w:p>
      <w:pPr>
        <w:pStyle w:val="Normal"/>
        <w:ind w:start="720" w:end="0"/>
        <w:rPr>
          <w:bCs/>
          <w:sz w:val="24"/>
        </w:rPr>
      </w:pPr>
      <w:r>
        <w:rPr>
          <w:bCs/>
          <w:sz w:val="24"/>
        </w:rPr>
      </w:r>
    </w:p>
    <w:p>
      <w:pPr>
        <w:pStyle w:val="Normal"/>
        <w:ind w:start="720" w:end="0"/>
        <w:rPr>
          <w:bCs/>
          <w:sz w:val="24"/>
        </w:rPr>
      </w:pPr>
      <w:r>
        <w:rPr>
          <w:bCs/>
          <w:sz w:val="24"/>
        </w:rPr>
        <w:t>Sincerely,</w:t>
      </w:r>
    </w:p>
    <w:p>
      <w:pPr>
        <w:pStyle w:val="Normal"/>
        <w:ind w:start="720" w:end="0"/>
        <w:rPr>
          <w:bCs/>
          <w:sz w:val="24"/>
        </w:rPr>
      </w:pPr>
      <w:r>
        <w:rPr>
          <w:bCs/>
          <w:sz w:val="24"/>
        </w:rPr>
      </w:r>
    </w:p>
    <w:p>
      <w:pPr>
        <w:pStyle w:val="Normal"/>
        <w:ind w:start="720" w:end="0"/>
        <w:rPr>
          <w:bCs/>
          <w:sz w:val="24"/>
        </w:rPr>
      </w:pPr>
      <w:r>
        <w:rPr>
          <w:bCs/>
          <w:sz w:val="24"/>
        </w:rPr>
      </w:r>
    </w:p>
    <w:p>
      <w:pPr>
        <w:pStyle w:val="Normal"/>
        <w:ind w:start="720" w:end="0"/>
        <w:rPr>
          <w:bCs/>
          <w:sz w:val="24"/>
        </w:rPr>
      </w:pPr>
      <w:r>
        <w:rPr>
          <w:bCs/>
          <w:sz w:val="24"/>
        </w:rPr>
      </w:r>
    </w:p>
    <w:p>
      <w:pPr>
        <w:pStyle w:val="Normal"/>
        <w:ind w:start="720" w:end="0"/>
        <w:rPr>
          <w:bCs/>
          <w:sz w:val="24"/>
        </w:rPr>
      </w:pPr>
      <w:r>
        <w:rPr>
          <w:bCs/>
          <w:sz w:val="24"/>
        </w:rPr>
        <w:t>Ken Lay</w:t>
      </w:r>
    </w:p>
    <w:p>
      <w:pPr>
        <w:pStyle w:val="Normal"/>
        <w:ind w:start="720" w:end="0"/>
        <w:rPr>
          <w:bCs/>
          <w:sz w:val="24"/>
        </w:rPr>
      </w:pPr>
      <w:r>
        <w:rPr>
          <w:bCs/>
          <w:sz w:val="24"/>
        </w:rPr>
      </w:r>
    </w:p>
    <w:p>
      <w:pPr>
        <w:pStyle w:val="Normal"/>
        <w:ind w:start="720" w:end="0"/>
        <w:rPr>
          <w:bCs/>
          <w:sz w:val="24"/>
        </w:rPr>
      </w:pPr>
      <w:r>
        <w:rPr>
          <w:bCs/>
          <w:sz w:val="24"/>
        </w:rPr>
      </w:r>
    </w:p>
    <w:p>
      <w:pPr>
        <w:pStyle w:val="Normal"/>
        <w:ind w:start="720" w:end="0"/>
        <w:rPr>
          <w:bCs/>
          <w:sz w:val="24"/>
        </w:rPr>
      </w:pPr>
      <w:r>
        <w:rPr>
          <w:bCs/>
          <w:sz w:val="24"/>
        </w:rPr>
      </w:r>
    </w:p>
    <w:p>
      <w:pPr>
        <w:pStyle w:val="Normal"/>
        <w:ind w:start="720" w:end="0"/>
        <w:rPr>
          <w:bCs/>
          <w:sz w:val="24"/>
        </w:rPr>
      </w:pPr>
      <w:r>
        <w:rPr>
          <w:bCs/>
          <w:sz w:val="24"/>
        </w:rPr>
      </w:r>
    </w:p>
    <w:p>
      <w:pPr>
        <w:pStyle w:val="Normal"/>
        <w:ind w:start="720" w:end="0"/>
        <w:rPr>
          <w:bCs/>
          <w:sz w:val="24"/>
        </w:rPr>
      </w:pPr>
      <w:r>
        <w:rPr>
          <w:bCs/>
          <w:sz w:val="24"/>
        </w:rPr>
      </w:r>
    </w:p>
    <w:p>
      <w:pPr>
        <w:pStyle w:val="Normal"/>
        <w:ind w:start="720" w:end="0"/>
        <w:rPr>
          <w:bCs/>
          <w:sz w:val="24"/>
        </w:rPr>
      </w:pPr>
      <w:r>
        <w:rPr>
          <w:bCs/>
          <w:sz w:val="24"/>
        </w:rPr>
      </w:r>
    </w:p>
    <w:p>
      <w:pPr>
        <w:pStyle w:val="BodyTextIndent3"/>
        <w:ind w:start="1440" w:end="0"/>
        <w:rPr>
          <w:b w:val="false"/>
          <w:bCs/>
          <w:sz w:val="24"/>
        </w:rPr>
      </w:pPr>
      <w:r>
        <w:rPr>
          <w:b w:val="false"/>
          <w:bCs/>
          <w:sz w:val="24"/>
        </w:rPr>
      </w:r>
    </w:p>
    <w:p>
      <w:pPr>
        <w:pStyle w:val="BodyTextIndent3"/>
        <w:ind w:start="1440" w:end="0"/>
        <w:rPr>
          <w:b w:val="false"/>
        </w:rPr>
      </w:pPr>
      <w:r>
        <w:rPr>
          <w:b w:val="false"/>
        </w:rPr>
      </w:r>
    </w:p>
    <w:p>
      <w:pPr>
        <w:pStyle w:val="BodyTextIndent3"/>
        <w:ind w:start="1440" w:end="0"/>
        <w:rPr>
          <w:b w:val="false"/>
        </w:rPr>
      </w:pPr>
      <w:r>
        <w:rPr>
          <w:b w:val="false"/>
        </w:rPr>
      </w:r>
    </w:p>
    <w:sectPr>
      <w:footerReference w:type="default" r:id="rId2"/>
      <w:footerReference w:type="first" r:id="rId3"/>
      <w:type w:val="nextPage"/>
      <w:pgSz w:w="12240" w:h="15840"/>
      <w:pgMar w:left="2016" w:right="2016" w:gutter="0" w:header="0" w:top="1440" w:footer="720" w:bottom="77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2.7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end"/>
      <w:outlineLvl w:val="1"/>
    </w:pPr>
    <w:rPr>
      <w:sz w:val="28"/>
    </w:rPr>
  </w:style>
  <w:style w:type="paragraph" w:styleId="Heading3">
    <w:name w:val="heading 3"/>
    <w:basedOn w:val="Normal"/>
    <w:next w:val="Normal"/>
    <w:qFormat/>
    <w:pPr>
      <w:keepNext w:val="true"/>
      <w:numPr>
        <w:ilvl w:val="2"/>
        <w:numId w:val="1"/>
      </w:numPr>
      <w:outlineLvl w:val="2"/>
    </w:pPr>
    <w:rPr>
      <w:sz w:val="28"/>
    </w:rPr>
  </w:style>
  <w:style w:type="paragraph" w:styleId="Heading4">
    <w:name w:val="heading 4"/>
    <w:basedOn w:val="Normal"/>
    <w:next w:val="Normal"/>
    <w:qFormat/>
    <w:pPr>
      <w:keepNext w:val="true"/>
      <w:numPr>
        <w:ilvl w:val="3"/>
        <w:numId w:val="1"/>
      </w:numPr>
      <w:outlineLvl w:val="3"/>
    </w:pPr>
    <w:rPr>
      <w:b/>
      <w:sz w:val="24"/>
    </w:rPr>
  </w:style>
  <w:style w:type="paragraph" w:styleId="Heading5">
    <w:name w:val="heading 5"/>
    <w:basedOn w:val="Normal"/>
    <w:next w:val="Normal"/>
    <w:qFormat/>
    <w:pPr>
      <w:keepNext w:val="true"/>
      <w:numPr>
        <w:ilvl w:val="4"/>
        <w:numId w:val="1"/>
      </w:numPr>
      <w:outlineLvl w:val="4"/>
    </w:pPr>
    <w:rPr>
      <w:b/>
      <w:sz w:val="28"/>
    </w:rPr>
  </w:style>
  <w:style w:type="paragraph" w:styleId="Heading6">
    <w:name w:val="heading 6"/>
    <w:basedOn w:val="Normal"/>
    <w:next w:val="Normal"/>
    <w:qFormat/>
    <w:pPr>
      <w:keepNext w:val="true"/>
      <w:numPr>
        <w:ilvl w:val="5"/>
        <w:numId w:val="1"/>
      </w:numPr>
      <w:jc w:val="center"/>
      <w:outlineLvl w:val="5"/>
    </w:pPr>
    <w:rPr>
      <w:b/>
      <w:sz w:val="24"/>
    </w:rPr>
  </w:style>
  <w:style w:type="paragraph" w:styleId="Heading7">
    <w:name w:val="heading 7"/>
    <w:basedOn w:val="Normal"/>
    <w:next w:val="Normal"/>
    <w:qFormat/>
    <w:pPr>
      <w:keepNext w:val="true"/>
      <w:numPr>
        <w:ilvl w:val="6"/>
        <w:numId w:val="1"/>
      </w:numPr>
      <w:ind w:firstLine="360" w:start="0" w:end="0"/>
      <w:jc w:val="end"/>
      <w:outlineLvl w:val="6"/>
    </w:pPr>
    <w:rPr>
      <w:b/>
      <w:sz w:val="28"/>
    </w:rPr>
  </w:style>
  <w:style w:type="paragraph" w:styleId="Heading8">
    <w:name w:val="heading 8"/>
    <w:basedOn w:val="Normal"/>
    <w:next w:val="Normal"/>
    <w:qFormat/>
    <w:pPr>
      <w:keepNext w:val="true"/>
      <w:numPr>
        <w:ilvl w:val="7"/>
        <w:numId w:val="1"/>
      </w:numPr>
      <w:jc w:val="center"/>
      <w:outlineLvl w:val="7"/>
    </w:pPr>
    <w:rPr>
      <w:b/>
      <w:sz w:val="28"/>
    </w:rPr>
  </w:style>
  <w:style w:type="paragraph" w:styleId="Heading9">
    <w:name w:val="heading 9"/>
    <w:basedOn w:val="Normal"/>
    <w:next w:val="Normal"/>
    <w:qFormat/>
    <w:pPr>
      <w:keepNext w:val="true"/>
      <w:numPr>
        <w:ilvl w:val="8"/>
        <w:numId w:val="1"/>
      </w:numPr>
      <w:ind w:hanging="0" w:start="720" w:end="0"/>
      <w:outlineLvl w:val="8"/>
    </w:pPr>
    <w:rPr>
      <w:b/>
      <w:sz w:val="40"/>
    </w:rPr>
  </w:style>
  <w:style w:type="character" w:styleId="WW8Num2z0">
    <w:name w:val="WW8Num2z0"/>
    <w:qFormat/>
    <w:rPr/>
  </w:style>
  <w:style w:type="character" w:styleId="WW8Num3z1">
    <w:name w:val="WW8Num3z1"/>
    <w:qFormat/>
    <w:rPr>
      <w:rFonts w:ascii="Times New Roman" w:hAnsi="Times New Roman" w:eastAsia="Times New Roman" w:cs="Times New Roman"/>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style>
  <w:style w:type="character" w:styleId="WW8Num8z0">
    <w:name w:val="WW8Num8z0"/>
    <w:qFormat/>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20z0">
    <w:name w:val="WW8Num20z0"/>
    <w:qFormat/>
    <w:rPr>
      <w:sz w:val="28"/>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1">
    <w:name w:val="WW8Num31z1"/>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z w:val="28"/>
    </w:rPr>
  </w:style>
  <w:style w:type="character" w:styleId="WW8Num43z0">
    <w:name w:val="WW8Num43z0"/>
    <w:qFormat/>
    <w:rPr/>
  </w:style>
  <w:style w:type="character" w:styleId="WW8Num45z0">
    <w:name w:val="WW8Num45z0"/>
    <w:qFormat/>
    <w:rPr/>
  </w:style>
  <w:style w:type="character" w:styleId="WW8Num48z0">
    <w:name w:val="WW8Num48z0"/>
    <w:qFormat/>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rFonts w:ascii="Times New Roman" w:hAnsi="Times New Roman" w:eastAsia="Times New Roman" w:cs="Times New Roman"/>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3z3">
    <w:name w:val="WW8Num53z3"/>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60z0">
    <w:name w:val="WW8Num60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9z0">
    <w:name w:val="WW8Num69z0"/>
    <w:qFormat/>
    <w:rPr/>
  </w:style>
  <w:style w:type="character" w:styleId="WW8Num71z0">
    <w:name w:val="WW8Num71z0"/>
    <w:qFormat/>
    <w:rPr>
      <w:rFonts w:ascii="Symbol" w:hAnsi="Symbol" w:cs="Symbol"/>
    </w:rPr>
  </w:style>
  <w:style w:type="character" w:styleId="WW8Num73z0">
    <w:name w:val="WW8Num73z0"/>
    <w:qFormat/>
    <w:rPr>
      <w:sz w:val="28"/>
    </w:rPr>
  </w:style>
  <w:style w:type="character" w:styleId="WW8Num74z0">
    <w:name w:val="WW8Num74z0"/>
    <w:qFormat/>
    <w:rPr>
      <w:sz w:val="28"/>
    </w:rPr>
  </w:style>
  <w:style w:type="character" w:styleId="WW8Num75z0">
    <w:name w:val="WW8Num75z0"/>
    <w:qFormat/>
    <w:rPr>
      <w:rFonts w:ascii="Symbol" w:hAnsi="Symbol" w:cs="Symbol"/>
    </w:rPr>
  </w:style>
  <w:style w:type="character" w:styleId="WW8Num79z0">
    <w:name w:val="WW8Num79z0"/>
    <w:qFormat/>
    <w:rPr/>
  </w:style>
  <w:style w:type="character" w:styleId="WW8Num80z0">
    <w:name w:val="WW8Num80z0"/>
    <w:qFormat/>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rFonts w:ascii="Symbol" w:hAnsi="Symbol" w:cs="Symbol"/>
    </w:rPr>
  </w:style>
  <w:style w:type="character" w:styleId="WW8Num92z0">
    <w:name w:val="WW8Num92z0"/>
    <w:qFormat/>
    <w:rPr>
      <w:rFonts w:ascii="Symbol" w:hAnsi="Symbol" w:cs="Symbol"/>
    </w:rPr>
  </w:style>
  <w:style w:type="character" w:styleId="WW8Num92z1">
    <w:name w:val="WW8Num92z1"/>
    <w:qFormat/>
    <w:rPr>
      <w:rFonts w:ascii="Courier New" w:hAnsi="Courier New" w:cs="Courier New"/>
    </w:rPr>
  </w:style>
  <w:style w:type="character" w:styleId="WW8Num92z2">
    <w:name w:val="WW8Num92z2"/>
    <w:qFormat/>
    <w:rPr>
      <w:rFonts w:ascii="Wingdings" w:hAnsi="Wingdings" w:cs="Wingdings"/>
    </w:rPr>
  </w:style>
  <w:style w:type="character" w:styleId="WW8Num93z0">
    <w:name w:val="WW8Num9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rPr>
      <w:b/>
      <w:sz w:val="24"/>
    </w:rPr>
  </w:style>
  <w:style w:type="paragraph" w:styleId="BodyTextIndent">
    <w:name w:val="Body Text Indent"/>
    <w:basedOn w:val="Normal"/>
    <w:pPr>
      <w:ind w:hanging="0" w:start="360" w:end="0"/>
    </w:pPr>
    <w:rPr>
      <w:b/>
      <w:sz w:val="28"/>
    </w:rPr>
  </w:style>
  <w:style w:type="paragraph" w:styleId="BodyTextIndent2">
    <w:name w:val="Body Text Indent 2"/>
    <w:basedOn w:val="Normal"/>
    <w:qFormat/>
    <w:pPr>
      <w:ind w:hanging="0" w:start="720" w:end="0"/>
    </w:pPr>
    <w:rPr>
      <w:b/>
      <w:sz w:val="40"/>
    </w:rPr>
  </w:style>
  <w:style w:type="paragraph" w:styleId="BodyTextIndent3">
    <w:name w:val="Body Text Indent 3"/>
    <w:basedOn w:val="Normal"/>
    <w:qFormat/>
    <w:pPr>
      <w:ind w:hanging="0" w:start="720" w:end="0"/>
    </w:pPr>
    <w:rPr>
      <w:b/>
      <w:sz w:val="28"/>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2002-01-07T16:43:00Z</dcterms:created>
  <dc:creator>EW/LN/CB</dc:creator>
  <dc:description/>
  <cp:keywords>Ethan</cp:keywords>
  <dc:language>en-CA</dc:language>
  <cp:lastModifiedBy>Cindy Stark</cp:lastModifiedBy>
  <cp:lastPrinted>2002-01-08T13:40:00Z</cp:lastPrinted>
  <dcterms:modified xsi:type="dcterms:W3CDTF">2002-01-08T17:12:00Z</dcterms:modified>
  <cp:revision>8</cp:revision>
  <dc:subject/>
  <dc:title>Ethan Frome</dc:title>
</cp:coreProperties>
</file>