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/>
        <w:drawing>
          <wp:inline distT="0" distB="0" distL="0" distR="0">
            <wp:extent cx="2027555" cy="57975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50" r="-8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57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44"/>
        </w:rPr>
      </w:pPr>
      <w:r>
        <w:rPr>
          <w:b/>
          <w:sz w:val="44"/>
        </w:rPr>
        <w:t>Dow Jones Four Corners</w:t>
      </w:r>
    </w:p>
    <w:p>
      <w:pPr>
        <w:pStyle w:val="Normal"/>
        <w:jc w:val="center"/>
        <w:rPr>
          <w:b/>
          <w:sz w:val="44"/>
        </w:rPr>
      </w:pPr>
      <w:r>
        <w:rPr>
          <w:b/>
          <w:sz w:val="44"/>
        </w:rPr>
        <w:t xml:space="preserve">Electricity Index </w:t>
      </w:r>
    </w:p>
    <w:p>
      <w:pPr>
        <w:pStyle w:val="Normal"/>
        <w:jc w:val="center"/>
        <w:rPr/>
      </w:pPr>
      <w:r>
        <w:rPr>
          <w:b/>
          <w:sz w:val="44"/>
          <w:u w:val="single"/>
        </w:rPr>
        <w:t>Participants</w:t>
      </w:r>
      <w:r>
        <w:rPr>
          <w:b/>
          <w:sz w:val="28"/>
        </w:rPr>
        <w:t xml:space="preserve"> 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jc w:val="center"/>
        <w:rPr>
          <w:sz w:val="36"/>
        </w:rPr>
      </w:pPr>
      <w:r>
        <w:rPr>
          <w:sz w:val="36"/>
        </w:rPr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American Electric Power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Aquila Power</w:t>
      </w:r>
    </w:p>
    <w:p>
      <w:pPr>
        <w:pStyle w:val="Heading1"/>
        <w:ind w:hanging="0" w:start="0"/>
        <w:rPr/>
      </w:pPr>
      <w:r>
        <w:rPr/>
        <w:t>Arizona Public Service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DuPont Power Marketing</w:t>
      </w:r>
    </w:p>
    <w:p>
      <w:pPr>
        <w:pStyle w:val="Heading2"/>
        <w:ind w:hanging="0" w:start="0"/>
        <w:rPr>
          <w:sz w:val="32"/>
        </w:rPr>
      </w:pPr>
      <w:r>
        <w:rPr>
          <w:sz w:val="32"/>
        </w:rPr>
        <w:t>CMS Marketing Services and Trading Company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Dynegy Inc. (Electric Clearinghouse, Inc.)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El Paso Energy Marketing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E-Prime</w:t>
      </w:r>
    </w:p>
    <w:p>
      <w:pPr>
        <w:pStyle w:val="Heading1"/>
        <w:ind w:hanging="0" w:start="0"/>
        <w:rPr/>
      </w:pPr>
      <w:r>
        <w:rPr/>
        <w:t>Idaho Power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Los Alamos County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Morgan Stanley &amp; Company Incorporated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New Century Energies (Public Service of Colorado)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PacifiCorp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Pennsylvania Power &amp; Light EnergyPlus, LLC (PP&amp;L EnergyPlus LLC.)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PG&amp;E Energy Trading (US Gen.)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Powerex (British Columbia Power Exchange Corporation)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Public Service of New Mexico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Salt River Project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Sempra Energy Trading Corp.</w:t>
      </w:r>
    </w:p>
    <w:p>
      <w:pPr>
        <w:pStyle w:val="Normal"/>
        <w:jc w:val="center"/>
        <w:rPr>
          <w:sz w:val="32"/>
        </w:rPr>
      </w:pPr>
      <w:r>
        <w:rPr>
          <w:sz w:val="32"/>
        </w:rPr>
        <w:t>TransCanada Power</w:t>
      </w:r>
    </w:p>
    <w:p>
      <w:pPr>
        <w:pStyle w:val="Normal"/>
        <w:jc w:val="center"/>
        <w:rPr>
          <w:sz w:val="36"/>
        </w:rPr>
      </w:pPr>
      <w:r>
        <w:rPr>
          <w:sz w:val="32"/>
        </w:rPr>
        <w:t>WAPA(Colorado River Storage Project)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sectPr>
      <w:headerReference w:type="default" r:id="rId3"/>
      <w:footerReference w:type="default" r:id="rId4"/>
      <w:type w:val="nextPage"/>
      <w:pgSz w:w="12240" w:h="15840"/>
      <w:pgMar w:left="1008" w:right="1008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\p </w:instrText>
    </w:r>
    <w:r>
      <w:rPr/>
      <w:fldChar w:fldCharType="separate"/>
    </w:r>
    <w:r>
      <w:rPr/>
      <w:t>/mnt/main-storage/datasets/enron-docs/doc/FourCpart.doc</w:t>
    </w:r>
    <w:r>
      <w:rPr/>
      <w:fldChar w:fldCharType="end"/>
    </w:r>
    <w:r>
      <w:rPr/>
      <w:tab/>
      <w:tab/>
      <w:t xml:space="preserve">              March 17, 2000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3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wfxRecipient">
    <w:name w:val="wfxRecipient"/>
    <w:basedOn w:val="Normal"/>
    <w:qFormat/>
    <w:pPr/>
    <w:rPr/>
  </w:style>
  <w:style w:type="paragraph" w:styleId="wfxFaxNum">
    <w:name w:val="wfxFaxNum"/>
    <w:basedOn w:val="Normal"/>
    <w:qFormat/>
    <w:pPr/>
    <w:rPr/>
  </w:style>
  <w:style w:type="paragraph" w:styleId="wfxDate">
    <w:name w:val="wfxDate"/>
    <w:basedOn w:val="Normal"/>
    <w:qFormat/>
    <w:pPr/>
    <w:rPr/>
  </w:style>
  <w:style w:type="paragraph" w:styleId="wfxTime">
    <w:name w:val="wfxTime"/>
    <w:basedOn w:val="Normal"/>
    <w:qFormat/>
    <w:pPr/>
    <w:rPr/>
  </w:style>
  <w:style w:type="paragraph" w:styleId="wfxCompany">
    <w:name w:val="wfxCompany"/>
    <w:basedOn w:val="Normal"/>
    <w:qFormat/>
    <w:pPr/>
    <w:rPr/>
  </w:style>
  <w:style w:type="paragraph" w:styleId="wfxSubject">
    <w:name w:val="wfxSubject"/>
    <w:basedOn w:val="Normal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1999-02-19T16:05:00Z</dcterms:created>
  <dc:creator>Telerate</dc:creator>
  <dc:description/>
  <dc:language>en-CA</dc:language>
  <cp:lastModifiedBy>djenergy</cp:lastModifiedBy>
  <cp:lastPrinted>1998-01-06T10:22:00Z</cp:lastPrinted>
  <dcterms:modified xsi:type="dcterms:W3CDTF">2001-01-18T15:24:00Z</dcterms:modified>
  <cp:revision>11</cp:revision>
  <dc:subject/>
  <dc:title> </dc:title>
</cp:coreProperties>
</file>