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480" w:after="240"/>
        <w:jc w:val="center"/>
        <w:rPr/>
      </w:pPr>
      <w:r>
        <w:rPr/>
        <w:t>FORWARD PLANNING</w:t>
      </w:r>
    </w:p>
    <w:p>
      <w:pPr>
        <w:pStyle w:val="Heading1"/>
        <w:ind w:hanging="0" w:start="0"/>
        <w:rPr/>
      </w:pPr>
      <w:r>
        <w:rPr/>
        <w:t>Current Issues for "November" and its directors.</w:t>
      </w:r>
    </w:p>
    <w:p>
      <w:pPr>
        <w:pStyle w:val="Heading2"/>
        <w:ind w:hanging="0" w:start="0"/>
        <w:rPr/>
      </w:pPr>
      <w:r>
        <w:rPr/>
        <w:t>Does a liquidity crisis exist?</w:t>
      </w:r>
    </w:p>
    <w:p>
      <w:pPr>
        <w:pStyle w:val="Heading3"/>
        <w:ind w:hanging="0" w:start="0"/>
        <w:rPr/>
      </w:pPr>
      <w:r>
        <w:rPr/>
        <w:t>Does the projection shown to our client ("Client") correctly reflect the future cash position of November?  Can November find additional investors or lenders?  For how long will the negative margins of November last?</w:t>
      </w:r>
    </w:p>
    <w:p>
      <w:pPr>
        <w:pStyle w:val="Heading3"/>
        <w:ind w:hanging="0" w:start="0"/>
        <w:rPr/>
      </w:pPr>
      <w:r>
        <w:rPr/>
        <w:t>If a crisis exists, does the November board understand the requirements of it while November is in the "zone of insolvency"?</w:t>
      </w:r>
    </w:p>
    <w:p>
      <w:pPr>
        <w:pStyle w:val="Heading2"/>
        <w:ind w:hanging="0" w:start="0"/>
        <w:rPr/>
      </w:pPr>
      <w:r>
        <w:rPr/>
        <w:t>Can November be reorganized?  Much of this answer will depend on the ability in the short run of November to finance continued negative margins.</w:t>
      </w:r>
    </w:p>
    <w:p>
      <w:pPr>
        <w:pStyle w:val="Heading2"/>
        <w:ind w:hanging="0" w:start="0"/>
        <w:rPr/>
      </w:pPr>
      <w:r>
        <w:rPr/>
        <w:t>If the answer to B is "yes", then Client must decide whether it will participate in a reorganization and on what terms it would participate.  Providing the source of liquidity during reorganization might present an opportunity to Client to obtain compromises on issues which confront Client as noted below.  This might well limit claims against Client largely to equity claimants.</w:t>
      </w:r>
    </w:p>
    <w:p>
      <w:pPr>
        <w:pStyle w:val="Heading2"/>
        <w:ind w:hanging="0" w:start="0"/>
        <w:rPr/>
      </w:pPr>
      <w:r>
        <w:rPr/>
        <w:t>If the answer is "no" or Client chooses not to support an attempted reorganization, Client is likely to become the target of not only shareholders but also claims by other creditors and management.  These claims would include claims of preference and perhaps fraudulent transfers, equitable subordination, and misrepresentation.  If Client concludes that NOVEMBER cannot hope to finance its negative cash flow through to positive cash flow as appears to be the case, then a quick liquidation of November may be in the creditors' best interests.</w:t>
      </w:r>
    </w:p>
    <w:p>
      <w:pPr>
        <w:pStyle w:val="Heading1"/>
        <w:ind w:hanging="0" w:start="0"/>
        <w:rPr/>
      </w:pPr>
      <w:r>
        <w:rPr/>
        <w:t>Issues Specific to Client.  Client as a shareholder, creditor, and employer of persons who are serving as directors of November has interests and exposure about which it must be concerned.  Very specific concerns include the following:</w:t>
      </w:r>
    </w:p>
    <w:p>
      <w:pPr>
        <w:pStyle w:val="Heading2"/>
        <w:ind w:hanging="0" w:start="0"/>
        <w:rPr/>
      </w:pPr>
      <w:r>
        <w:rPr/>
        <w:t>Client subsidiaries are party to agreements with November under which Client undertook to sell electricity and gas to November.  November and Client settled a dispute over whether this undertaking was intended to be without credit requirements of November but this issue will be revisited again in a bankruptcy of November.  The following documents need to be reviewed and analyzed in connection with this issue:</w:t>
      </w:r>
    </w:p>
    <w:p>
      <w:pPr>
        <w:pStyle w:val="Heading3"/>
        <w:ind w:hanging="0" w:start="0"/>
        <w:rPr/>
      </w:pPr>
      <w:r>
        <w:rPr/>
        <w:t>Correspondence between November and Client over this dispute.</w:t>
      </w:r>
    </w:p>
    <w:p>
      <w:pPr>
        <w:pStyle w:val="Heading3"/>
        <w:ind w:hanging="0" w:start="0"/>
        <w:rPr/>
      </w:pPr>
      <w:r>
        <w:rPr/>
        <w:t>Drafts of the original sales documents.</w:t>
      </w:r>
    </w:p>
    <w:p>
      <w:pPr>
        <w:pStyle w:val="Heading3"/>
        <w:ind w:hanging="0" w:start="0"/>
        <w:rPr/>
      </w:pPr>
      <w:r>
        <w:rPr/>
        <w:t>Road show documents and private placement documents.</w:t>
      </w:r>
    </w:p>
    <w:p>
      <w:pPr>
        <w:pStyle w:val="Heading3"/>
        <w:ind w:hanging="0" w:start="0"/>
        <w:rPr/>
      </w:pPr>
      <w:r>
        <w:rPr/>
        <w:t>Prospectus—Note that page 25 of the prospectus says in part "Client will not continue to be a source of capital to us after this offering.  As of the date of this prospectus, we plan to use the proceeds from this offering for working capital and other general corporate purposes as described under 'Use of Proceeds' elsewhere in this prospectus."</w:t>
      </w:r>
    </w:p>
    <w:p>
      <w:pPr>
        <w:pStyle w:val="Heading2"/>
        <w:ind w:hanging="0" w:start="0"/>
        <w:rPr/>
      </w:pPr>
      <w:r>
        <w:rPr/>
        <w:t>Under the Bankruptcy Code, Client will be an "insider" for purposes of determining preference liability and as an insider is subject to scrutiny of transfers made over one year before a bankruptcy rather than the usual 90 day preference period.  This will subject the grant of collateral in March of 2001 by November to Client to preference attack.  There are various defenses to claims of preference including the advance of subsequent credit and solvency of the debtor when the alleged preferential transfer was made.  Client is currently reviewing transfers made over the last year.</w:t>
      </w:r>
      <w:r>
        <w:rPr>
          <w:rStyle w:val="FootnoteCharacters"/>
          <w:rStyle w:val="FootnoteReference"/>
        </w:rPr>
        <w:footnoteReference w:id="2"/>
      </w:r>
      <w:r>
        <w:rPr/>
        <w:t xml:space="preserve">  It will be important to secure evidence such as the PWC report that support what will be Client's contention that November was solvent when and after the transfers to Client were made.  Management and the board have the problem that proving insolvency in March of 2001, undermines the correctness of disclosures made at and after that time.  A trustee in bankruptcy or committee of creditors will not have such a problem.</w:t>
      </w:r>
    </w:p>
    <w:p>
      <w:pPr>
        <w:pStyle w:val="Heading2"/>
        <w:ind w:hanging="0" w:start="0"/>
        <w:rPr/>
      </w:pPr>
      <w:r>
        <w:rPr/>
        <w:t>Fraudulent transfers may also be alleged against Client and have a longer statute of limitations than preferences although this hardly matters in this instance.  Client will defend on the grounds that the transfer was made for reasonably equivalent value and while the debtor was both solvent and had capital sufficient to conduct its operations.</w:t>
      </w:r>
    </w:p>
    <w:p>
      <w:pPr>
        <w:pStyle w:val="Heading2"/>
        <w:ind w:hanging="0" w:start="0"/>
        <w:rPr/>
      </w:pPr>
      <w:r>
        <w:rPr/>
        <w:t>More exotic claims of equitable subordination and misrepresentation will also be made against Client by creditors.  These involve an allegation of some actual wrong-doing and therefore should be less difficult to defend.</w:t>
      </w:r>
    </w:p>
    <w:p>
      <w:pPr>
        <w:pStyle w:val="Heading1"/>
        <w:ind w:hanging="0" w:start="0"/>
        <w:rPr/>
      </w:pPr>
      <w:r>
        <w:rPr/>
        <w:t>Board Actions of November.  The board of November needs to concern itself in the very near future with the following:</w:t>
      </w:r>
    </w:p>
    <w:p>
      <w:pPr>
        <w:pStyle w:val="Heading2"/>
        <w:ind w:hanging="0" w:start="0"/>
        <w:rPr/>
      </w:pPr>
      <w:r>
        <w:rPr/>
        <w:t>Investigation of the financial and business problems of the company.</w:t>
      </w:r>
    </w:p>
    <w:p>
      <w:pPr>
        <w:pStyle w:val="Heading2"/>
        <w:ind w:hanging="0" w:start="0"/>
        <w:rPr/>
      </w:pPr>
      <w:r>
        <w:rPr/>
        <w:t>The problems of making decisions if November is in the zone of insolvency.</w:t>
      </w:r>
    </w:p>
    <w:p>
      <w:pPr>
        <w:pStyle w:val="Heading2"/>
        <w:spacing w:before="0" w:after="240"/>
        <w:ind w:hanging="0" w:start="0"/>
        <w:rPr/>
      </w:pPr>
      <w:r>
        <w:rPr/>
        <w:t>If November is in the zone of insolvency, the board should be certain that the officers do not "double down" on their commodity positions in hopes of turning the company around overnight.  To do so would be to gamble with the money of the creditors.</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HOU01:665102.3</w:t>
      <w:br/>
      <w:t>00B398.0119</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Over the weekend we have been supplied with a ISDA contract involving financial (as distinguished from physical) exposure.  This contract is dated August 10, 2000, and provides for cash collateral.  Depending on the dates of perfection of such collateral, preference exposure may be lessened.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20"/>
        <w:tab w:val="right" w:pos="9360" w:leader="none"/>
      </w:tabs>
      <w:spacing w:before="0" w:after="0"/>
      <w:rPr/>
    </w:pPr>
    <w:r>
      <w:rPr/>
      <w:tab/>
    </w:r>
    <w:r>
      <w:rPr>
        <w:b/>
      </w:rPr>
      <w:t>Privileged and Confidential</w:t>
    </w:r>
  </w:p>
  <w:p>
    <w:pPr>
      <w:pStyle w:val="BodyText"/>
      <w:tabs>
        <w:tab w:val="clear" w:pos="720"/>
        <w:tab w:val="right" w:pos="9360" w:leader="none"/>
      </w:tabs>
      <w:spacing w:before="0" w:after="240"/>
      <w:rPr>
        <w:b/>
      </w:rPr>
    </w:pPr>
    <w:r>
      <w:rPr>
        <w:b/>
      </w:rPr>
      <w:tab/>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Times New Roman" w:hAnsi="Times New Roman" w:cs="Times New Roman"/>
        <w:color w:val="auto"/>
      </w:rPr>
    </w:lvl>
    <w:lvl w:ilvl="1">
      <w:start w:val="1"/>
      <w:pStyle w:val="Heading2"/>
      <w:numFmt w:val="upperLetter"/>
      <w:lvlText w:val="%2."/>
      <w:lvlJc w:val="start"/>
      <w:pPr>
        <w:tabs>
          <w:tab w:val="num" w:pos="1440"/>
        </w:tabs>
        <w:ind w:start="0" w:firstLine="720"/>
      </w:pPr>
      <w:rPr>
        <w:sz w:val="24"/>
        <w:rFonts w:ascii="Times New Roman" w:hAnsi="Times New Roman" w:cs="Times New Roman"/>
        <w:color w:val="auto"/>
      </w:rPr>
    </w:lvl>
    <w:lvl w:ilvl="2">
      <w:start w:val="1"/>
      <w:pStyle w:val="Heading3"/>
      <w:numFmt w:val="decimal"/>
      <w:lvlText w:val="%3."/>
      <w:lvlJc w:val="start"/>
      <w:pPr>
        <w:tabs>
          <w:tab w:val="num" w:pos="2160"/>
        </w:tabs>
        <w:ind w:start="0" w:firstLine="1440"/>
      </w:pPr>
      <w:rPr>
        <w:sz w:val="24"/>
        <w:rFonts w:ascii="Times New Roman" w:hAnsi="Times New Roman" w:cs="Times New Roman"/>
        <w:color w:val="auto"/>
      </w:rPr>
    </w:lvl>
    <w:lvl w:ilvl="3">
      <w:start w:val="1"/>
      <w:pStyle w:val="Heading4"/>
      <w:numFmt w:val="decimal"/>
      <w:lvlText w:val="%4"/>
      <w:lvlJc w:val="start"/>
      <w:pPr>
        <w:tabs>
          <w:tab w:val="num" w:pos="1440"/>
        </w:tabs>
        <w:ind w:start="1440" w:hanging="360"/>
      </w:pPr>
      <w:rPr>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LastListTemplate" w:val="A"/>
    <w:docVar w:name="MaxTemplate" w:val="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rFonts w:ascii="Times New Roman" w:hAnsi="Times New Roman" w:cs="Times New Roman"/>
      <w:color w:val="auto"/>
      <w:sz w:val="24"/>
    </w:rPr>
  </w:style>
  <w:style w:type="character" w:styleId="WW8Num1z3">
    <w:name w:val="WW8Num1z3"/>
    <w:qFormat/>
    <w:rPr>
      <w:color w:val="auto"/>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480" w:after="240"/>
      <w:jc w:val="center"/>
    </w:pPr>
    <w:rPr>
      <w:caps/>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spacing w:before="0" w:after="720"/>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FootnoteText">
    <w:name w:val="footnote text"/>
    <w:basedOn w:val="Normal"/>
    <w:pPr/>
    <w:rPr>
      <w:sz w:val="20"/>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2001-09-24T14:08:00Z</dcterms:created>
  <dc:creator> </dc:creator>
  <dc:description>HOU01:665102.3
00B398.0119</dc:description>
  <dc:language>en-CA</dc:language>
  <cp:lastModifiedBy>reicken</cp:lastModifiedBy>
  <cp:lastPrinted>2001-09-24T11:38:00Z</cp:lastPrinted>
  <dcterms:modified xsi:type="dcterms:W3CDTF">2001-09-24T14:08:00Z</dcterms:modified>
  <cp:revision>2</cp:revision>
  <dc:subject/>
  <dc:title>(ENRON)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