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lang w:eastAsia="en-US"/>
        </w:rPr>
      </w:pPr>
      <w:r>
        <w:rPr>
          <w:rFonts w:cs="Courier New" w:ascii="Courier New" w:hAnsi="Courier New"/>
          <w:lang w:eastAsia="en-US"/>
        </w:rPr>
        <w:t xml:space="preserve">A core purpose of restructuring through AB1890 was to decrease reliance on regulation and increase reliance on the market to allocate resources in the California electric power market.  However, as it is now written, the letter to the Governor does not include any direct reference to the way forward markets can address the problem of high and volatile prices.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 xml:space="preserve">Several reports have expressed serious reservations about the CalPX and CAISO use of “call auctions”.  An example of a call auction is the CalPX’s daily auction that sets a single price for electricity in each hour of the next day.  The CAISO uses several call auctions for real-time energy and ancillary service procurement.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A call auction provides no opportunity for market participants to react to each other’s bids.  A call auction lacks the feedback from offer to counter-offer which is the source of efficiency in forward markets.  Because a call auction lacks feedback and clears at a single price, it is more likely that attempts to manipulate the single price will be more successful and will have a greater impact because all transactions are at the same price.</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 xml:space="preserve">Instead, all other commodity markets rely on continuously traded forward markets, which allow participants to use price feedback and gradually develop their contract positions.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 xml:space="preserve">APX recommends that the Letter include the following: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 xml:space="preserve">The CAISO has recently announced its intent to acquire up to 3000 MW of ancillary services through forward contracts of at least a year.   The CPUC has recently granted both PGE and SCE the opportunity to make contracts through 2005 to serve their load.  These policies represent a wise shift from the almost exclusive reliance on short-term (day-head and hourly) markets by both the CAISO and the UDCs.  However, adoption of such policies will tend to create a bifurcated market with very short-term markets and long-term contracts.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In most commodity markets, participants can trade a variety of contracts of different duration.  Contracts are standardized so that the published prices of these traded contracts are meaningful.  Trade occurs continuously, which allows continuous price discovery.  The efficiency of the power market improves considerably when such continuous forward trading occurs and the opportunities for price manipulation are less.  And the existence of such forward markets provide the basis to establish the prudence of both forward and spot purchases of power by the UDCs.</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 xml:space="preserve">As an example, encouraging loads to participate in continuous forward markets will dampen price volatility because as the forward price rises load will begin to reduce its demand by not contracting or by selling back previously contracted positions.  Generators can use forward markets to support decisions to invest in new power plants and properly time maintenance decisions to reduce the impacts on prices.  Open, continuous forward markets with published prices will allow all West Coast buyers and sellers to contribute to market stability and lower prices in California. </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t>The CAISO does not need to provide such continuous forward markets but can encourage their development and use by encouraging inter-SC trades and self-provision of ancillary services.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2000-08-25T13:32:00Z</dcterms:created>
  <dc:creator>Edward G. Cazalet</dc:creator>
  <dc:description/>
  <dc:language>en-CA</dc:language>
  <cp:lastModifiedBy>Edward G. Cazalet</cp:lastModifiedBy>
  <dcterms:modified xsi:type="dcterms:W3CDTF">2000-08-25T13:32:00Z</dcterms:modified>
  <cp:revision>2</cp:revision>
  <dc:subject/>
  <dc:title>Forward Markets</dc:title>
</cp:coreProperties>
</file>