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pacing w:before="0" w:after="120"/>
              <w:jc w:val="both"/>
              <w:rPr>
                <w:b/>
              </w:rPr>
            </w:pPr>
            <w:r>
              <w:rPr>
                <w:b/>
              </w:rPr>
              <w:drawing>
                <wp:inline distT="0" distB="0" distL="0" distR="0">
                  <wp:extent cx="1682750" cy="400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92" r="-21" b="-92"/>
                          <a:stretch>
                            <a:fillRect/>
                          </a:stretch>
                        </pic:blipFill>
                        <pic:spPr bwMode="auto">
                          <a:xfrm>
                            <a:off x="0" y="0"/>
                            <a:ext cx="1682750" cy="400050"/>
                          </a:xfrm>
                          <a:prstGeom prst="rect">
                            <a:avLst/>
                          </a:prstGeom>
                          <a:noFill/>
                        </pic:spPr>
                      </pic:pic>
                    </a:graphicData>
                  </a:graphic>
                </wp:inline>
              </w:drawing>
            </w:r>
          </w:p>
          <w:p>
            <w:pPr>
              <w:pStyle w:val="Normal"/>
              <w:spacing w:before="0" w:after="120"/>
              <w:jc w:val="both"/>
              <w:rPr>
                <w:b/>
              </w:rPr>
            </w:pPr>
            <w:r>
              <w:rPr>
                <w:b/>
              </w:rPr>
              <w:t>Confirmation of Forward Stock Purchase Transaction</w:t>
            </w:r>
          </w:p>
        </w:tc>
        <w:tc>
          <w:tcPr>
            <w:tcW w:w="4428" w:type="dxa"/>
            <w:tcBorders/>
          </w:tcPr>
          <w:p>
            <w:pPr>
              <w:pStyle w:val="Normal"/>
              <w:snapToGrid w:val="false"/>
              <w:spacing w:before="0" w:after="240"/>
              <w:jc w:val="both"/>
              <w:rPr>
                <w:b/>
              </w:rPr>
            </w:pPr>
            <w:r>
              <w:rPr>
                <w:b/>
              </w:rPr>
            </w:r>
          </w:p>
        </w:tc>
      </w:tr>
    </w:tbl>
    <w:p>
      <w:pPr>
        <w:pStyle w:val="Normal"/>
        <w:ind w:end="1552"/>
        <w:jc w:val="both"/>
        <w:rPr>
          <w:b/>
        </w:rPr>
      </w:pPr>
      <w:r>
        <w:rPr>
          <w:b/>
        </w:rPr>
      </w:r>
    </w:p>
    <w:p>
      <w:pPr>
        <w:pStyle w:val="Normal"/>
        <w:ind w:end="1552"/>
        <w:jc w:val="both"/>
        <w:rPr>
          <w:b/>
        </w:rPr>
      </w:pPr>
      <w:r>
        <w:rPr>
          <w:b/>
        </w:rPr>
        <w:tab/>
        <w:tab/>
        <w:tab/>
        <w:tab/>
        <w:tab/>
        <w:t>DRAFT COPY</w:t>
      </w:r>
    </w:p>
    <w:p>
      <w:pPr>
        <w:pStyle w:val="Normal"/>
        <w:ind w:end="1552"/>
        <w:jc w:val="both"/>
        <w:rPr>
          <w:b/>
        </w:rPr>
      </w:pPr>
      <w:r>
        <w:rPr>
          <w:b/>
        </w:rPr>
      </w:r>
    </w:p>
    <w:p>
      <w:pPr>
        <w:pStyle w:val="Normal"/>
        <w:ind w:hanging="6300" w:start="6300" w:end="0"/>
        <w:jc w:val="both"/>
        <w:rPr>
          <w:b/>
        </w:rPr>
      </w:pPr>
      <w:r>
        <w:rPr>
          <w:b/>
        </w:rPr>
        <w:t>Dated : [                 ]</w:t>
        <w:tab/>
        <w:t xml:space="preserve">ML Ref : [               ]  </w:t>
      </w:r>
    </w:p>
    <w:p>
      <w:pPr>
        <w:pStyle w:val="Normal"/>
        <w:ind w:hanging="2880" w:start="2880" w:end="2686"/>
        <w:jc w:val="both"/>
        <w:rPr>
          <w:b/>
        </w:rPr>
      </w:pPr>
      <w:r>
        <w:rPr>
          <w:b/>
        </w:rPr>
      </w:r>
    </w:p>
    <w:p>
      <w:pPr>
        <w:pStyle w:val="Normal"/>
        <w:ind w:hanging="2880" w:start="2880" w:end="1206"/>
        <w:rPr/>
      </w:pPr>
      <w:r>
        <w:rPr>
          <w:b/>
        </w:rPr>
        <w:t>To :</w:t>
      </w:r>
      <w:r>
        <w:rPr/>
        <w:t xml:space="preserve"> </w:t>
        <w:tab/>
      </w:r>
      <w:r>
        <w:rPr>
          <w:b/>
        </w:rPr>
        <w:t xml:space="preserve">[                                 ] (“Counterparty” “Company” and </w:t>
        <w:br/>
        <w:t xml:space="preserve"> “[                 ]”)</w:t>
        <w:br/>
      </w:r>
    </w:p>
    <w:p>
      <w:pPr>
        <w:pStyle w:val="Normal"/>
        <w:ind w:hanging="2835" w:start="2835" w:end="0"/>
        <w:jc w:val="both"/>
        <w:rPr/>
      </w:pPr>
      <w:r>
        <w:rPr>
          <w:b/>
        </w:rPr>
        <w:t>Attention :</w:t>
      </w:r>
      <w:r>
        <w:rPr/>
        <w:t xml:space="preserve"> </w:t>
        <w:tab/>
      </w:r>
      <w:r>
        <w:rPr>
          <w:b/>
        </w:rPr>
        <w:t>[                       ]</w:t>
      </w:r>
    </w:p>
    <w:p>
      <w:pPr>
        <w:pStyle w:val="Normal"/>
        <w:ind w:hanging="2835" w:start="2835" w:end="0"/>
        <w:jc w:val="both"/>
        <w:rPr/>
      </w:pPr>
      <w:r>
        <w:rPr/>
        <w:t xml:space="preserve"> </w:t>
      </w:r>
      <w:r>
        <w:rPr/>
        <w:tab/>
        <w:t xml:space="preserve">Telephone:  [             ]     Fax:  </w:t>
      </w:r>
      <w:r>
        <w:rPr>
          <w:b/>
        </w:rPr>
        <w:t xml:space="preserve"> [                     ]</w:t>
      </w:r>
    </w:p>
    <w:p>
      <w:pPr>
        <w:pStyle w:val="Normal"/>
        <w:ind w:hanging="2835" w:start="2835" w:end="0"/>
        <w:jc w:val="both"/>
        <w:rPr>
          <w:b/>
        </w:rPr>
      </w:pPr>
      <w:r>
        <w:rPr>
          <w:b/>
        </w:rPr>
      </w:r>
    </w:p>
    <w:p>
      <w:pPr>
        <w:pStyle w:val="Normal"/>
        <w:tabs>
          <w:tab w:val="clear" w:pos="720"/>
          <w:tab w:val="left" w:pos="2880" w:leader="none"/>
          <w:tab w:val="left" w:pos="3420" w:leader="none"/>
          <w:tab w:val="left" w:pos="5760" w:leader="none"/>
        </w:tabs>
        <w:rPr/>
      </w:pPr>
      <w:r>
        <w:rPr>
          <w:b/>
        </w:rPr>
        <w:t>To :</w:t>
      </w:r>
      <w:r>
        <w:rPr/>
        <w:tab/>
      </w:r>
      <w:r>
        <w:rPr>
          <w:b/>
        </w:rPr>
        <w:t>Merrill Lynch International (</w:t>
      </w:r>
      <w:r>
        <w:rPr/>
        <w:t>“</w:t>
      </w:r>
      <w:r>
        <w:rPr>
          <w:b/>
          <w:i/>
          <w:u w:val="single"/>
        </w:rPr>
        <w:t>ML</w:t>
      </w:r>
      <w:r>
        <w:rPr/>
        <w:t>”</w:t>
      </w:r>
      <w:r>
        <w:rPr>
          <w:b/>
        </w:rPr>
        <w:t>)</w:t>
      </w:r>
    </w:p>
    <w:p>
      <w:pPr>
        <w:pStyle w:val="Normal"/>
        <w:tabs>
          <w:tab w:val="clear" w:pos="720"/>
          <w:tab w:val="left" w:pos="2880" w:leader="none"/>
          <w:tab w:val="left" w:pos="3420" w:leader="none"/>
          <w:tab w:val="left" w:pos="5760" w:leader="none"/>
        </w:tabs>
        <w:spacing w:before="0" w:after="240"/>
        <w:rPr>
          <w:b/>
        </w:rPr>
      </w:pPr>
      <w:r>
        <w:rPr>
          <w:b/>
        </w:rPr>
        <w:tab/>
      </w:r>
      <w:r>
        <w:rPr/>
        <w:t>Ropemaker Place</w:t>
        <w:br/>
        <w:tab/>
        <w:t>25 Ropemaker Street</w:t>
        <w:br/>
        <w:tab/>
        <w:t>London EC2Y 9L4</w:t>
      </w:r>
    </w:p>
    <w:p>
      <w:pPr>
        <w:pStyle w:val="Normal"/>
        <w:tabs>
          <w:tab w:val="clear" w:pos="720"/>
          <w:tab w:val="left" w:pos="2880" w:leader="none"/>
          <w:tab w:val="left" w:pos="3420" w:leader="none"/>
          <w:tab w:val="left" w:pos="5760" w:leader="none"/>
        </w:tabs>
        <w:rPr/>
      </w:pPr>
      <w:r>
        <w:rPr>
          <w:b/>
        </w:rPr>
        <w:t>From :</w:t>
      </w:r>
      <w:r>
        <w:rPr/>
        <w:t xml:space="preserve"> </w:t>
        <w:tab/>
      </w:r>
      <w:r>
        <w:rPr>
          <w:b/>
        </w:rPr>
        <w:t xml:space="preserve">Merrill Lynch, Pierce, Fenner &amp; Smith Incorporated, </w:t>
      </w:r>
    </w:p>
    <w:p>
      <w:pPr>
        <w:pStyle w:val="Normal"/>
        <w:tabs>
          <w:tab w:val="clear" w:pos="720"/>
          <w:tab w:val="left" w:pos="4320" w:leader="none"/>
        </w:tabs>
        <w:ind w:hanging="2835" w:start="2835" w:end="5616"/>
        <w:jc w:val="both"/>
        <w:rPr>
          <w:b/>
        </w:rPr>
      </w:pPr>
      <w:r>
        <w:rPr>
          <w:b/>
        </w:rPr>
        <w:tab/>
        <w:t>Solely as Agent</w:t>
        <w:br/>
      </w:r>
    </w:p>
    <w:p>
      <w:pPr>
        <w:pStyle w:val="Normal"/>
        <w:ind w:hanging="993" w:start="993" w:end="0"/>
        <w:jc w:val="both"/>
        <w:rPr>
          <w:u w:val="single"/>
        </w:rPr>
      </w:pPr>
      <w:r>
        <w:rPr/>
        <w:t>_____________________________________________________________________________________</w:t>
      </w:r>
    </w:p>
    <w:p>
      <w:pPr>
        <w:pStyle w:val="Normal"/>
        <w:ind w:hanging="993" w:start="993" w:end="0"/>
        <w:jc w:val="both"/>
        <w:rPr>
          <w:b/>
        </w:rPr>
      </w:pPr>
      <w:r>
        <w:rPr>
          <w:b/>
        </w:rPr>
        <w:tab/>
      </w:r>
    </w:p>
    <w:p>
      <w:pPr>
        <w:pStyle w:val="Normal"/>
        <w:jc w:val="both"/>
        <w:rPr/>
      </w:pPr>
      <w:r>
        <w:rPr/>
        <w:t>Dear  Sir / Madam,</w:t>
      </w:r>
    </w:p>
    <w:p>
      <w:pPr>
        <w:pStyle w:val="Normal"/>
        <w:jc w:val="both"/>
        <w:rPr>
          <w:b/>
        </w:rPr>
      </w:pPr>
      <w:r>
        <w:rPr>
          <w:b/>
        </w:rPr>
      </w:r>
    </w:p>
    <w:p>
      <w:pPr>
        <w:pStyle w:val="Normal"/>
        <w:jc w:val="both"/>
        <w:rPr/>
      </w:pPr>
      <w:r>
        <w:rPr/>
        <w:t xml:space="preserve">The purpose of this letter agreement (this “Confirmation”) is to confirm the terms and conditions of the above referenced transaction entered into between Counterparty and ML, </w:t>
      </w:r>
      <w:r>
        <w:rPr>
          <w:b/>
          <w:i/>
        </w:rPr>
        <w:t xml:space="preserve">through its agent Merrill Lynch, Pierce, Fenner &amp; Smith Incorporated, </w:t>
      </w:r>
      <w:r>
        <w:rPr/>
        <w:t>on the Trade Date specified below (the “Transaction”).  This Confirmation constitutes a “Confirmation” as referred to in the ISDA Master Agreement specified below.</w:t>
      </w:r>
    </w:p>
    <w:p>
      <w:pPr>
        <w:pStyle w:val="Normal"/>
        <w:jc w:val="both"/>
        <w:rPr/>
      </w:pPr>
      <w:r>
        <w:rPr/>
      </w:r>
    </w:p>
    <w:p>
      <w:pPr>
        <w:pStyle w:val="Normal"/>
        <w:jc w:val="both"/>
        <w:rPr/>
      </w:pPr>
      <w:r>
        <w:rPr/>
        <w:t>The definitions and provisions contained in the 1991 ISDA Definitions (the “Swap Definitions”) and the 1996 ISDA Equity Derivatives Definitions (the “Equity Definitions” and together with the Swap Definitions, the “Definitions”) in each case as published by the International Swaps and Derivatives Association, Inc., are incorporated into this Confirmation.  In the event of any inconsistency between the Swap Definitions and the Equity Definitions, the Equity Definitions will govern and in the event of any inconsistency between either the Swap Definitions, the Equity Definitions and this Confirmation, this Confirmation will govern.</w:t>
      </w:r>
    </w:p>
    <w:p>
      <w:pPr>
        <w:pStyle w:val="Normal"/>
        <w:jc w:val="both"/>
        <w:rPr/>
      </w:pPr>
      <w:r>
        <w:rPr/>
      </w:r>
    </w:p>
    <w:p>
      <w:pPr>
        <w:pStyle w:val="Normal"/>
        <w:jc w:val="both"/>
        <w:rPr/>
      </w:pPr>
      <w:r>
        <w:rPr/>
        <w:t xml:space="preserve">This Confirmation supplements, forms part of, and is subject to, the ISDA Master Agreement dated as of </w:t>
      </w:r>
    </w:p>
    <w:p>
      <w:pPr>
        <w:pStyle w:val="Normal"/>
        <w:jc w:val="both"/>
        <w:rPr/>
      </w:pPr>
      <w:r>
        <w:rPr/>
        <w:t>[               ], as amended and supplemented from time to time (the “Agreement”), between you and us, with the obligations of ML under the Agreement guaranteed by Merrill Lynch &amp; Co., Inc. All provisions contained in the Agreement govern this Confirmation except as expressly modified below</w:t>
      </w:r>
      <w:r>
        <w:rPr>
          <w:b/>
        </w:rPr>
        <w:t>.</w:t>
      </w:r>
    </w:p>
    <w:p>
      <w:pPr>
        <w:pStyle w:val="Normal"/>
        <w:tabs>
          <w:tab w:val="left" w:pos="720" w:leader="none"/>
          <w:tab w:val="left" w:pos="1980" w:leader="none"/>
          <w:tab w:val="left" w:pos="2880" w:leader="none"/>
        </w:tabs>
        <w:ind w:hanging="2880" w:start="2880" w:end="0"/>
        <w:jc w:val="both"/>
        <w:rPr/>
      </w:pPr>
      <w:r>
        <w:rPr/>
      </w:r>
    </w:p>
    <w:p>
      <w:pPr>
        <w:pStyle w:val="Body"/>
        <w:jc w:val="both"/>
        <w:rPr>
          <w:sz w:val="20"/>
        </w:rPr>
      </w:pPr>
      <w:r>
        <w:rPr>
          <w:sz w:val="20"/>
        </w:rPr>
        <w:t>The terms of the particular Transaction to which this Confirmation relates are as follows:</w:t>
      </w:r>
    </w:p>
    <w:p>
      <w:pPr>
        <w:pStyle w:val="Body"/>
        <w:jc w:val="both"/>
        <w:rPr/>
      </w:pPr>
      <w:r>
        <w:rPr>
          <w:b/>
          <w:sz w:val="20"/>
        </w:rPr>
        <w:t>I.</w:t>
        <w:tab/>
      </w:r>
      <w:r>
        <w:rPr>
          <w:b/>
          <w:sz w:val="20"/>
          <w:u w:val="single"/>
        </w:rPr>
        <w:t>General Terms</w:t>
      </w:r>
      <w:r>
        <w:rPr>
          <w:sz w:val="20"/>
        </w:rPr>
        <w:t>:</w:t>
      </w:r>
    </w:p>
    <w:tbl>
      <w:tblPr>
        <w:tblW w:w="8676" w:type="dxa"/>
        <w:jc w:val="start"/>
        <w:tblInd w:w="828" w:type="dxa"/>
        <w:tblLayout w:type="fixed"/>
        <w:tblCellMar>
          <w:top w:w="0" w:type="dxa"/>
          <w:start w:w="108" w:type="dxa"/>
          <w:bottom w:w="0" w:type="dxa"/>
          <w:end w:w="108" w:type="dxa"/>
        </w:tblCellMar>
      </w:tblPr>
      <w:tblGrid>
        <w:gridCol w:w="3417"/>
        <w:gridCol w:w="5259"/>
      </w:tblGrid>
      <w:tr>
        <w:trPr/>
        <w:tc>
          <w:tcPr>
            <w:tcW w:w="3417" w:type="dxa"/>
            <w:tcBorders/>
          </w:tcPr>
          <w:p>
            <w:pPr>
              <w:pStyle w:val="Body"/>
              <w:spacing w:before="0" w:after="240"/>
              <w:jc w:val="both"/>
              <w:rPr>
                <w:sz w:val="20"/>
              </w:rPr>
            </w:pPr>
            <w:r>
              <w:rPr>
                <w:sz w:val="20"/>
              </w:rPr>
              <w:t>Trade Date:</w:t>
            </w:r>
          </w:p>
        </w:tc>
        <w:tc>
          <w:tcPr>
            <w:tcW w:w="5259" w:type="dxa"/>
            <w:tcBorders/>
          </w:tcPr>
          <w:p>
            <w:pPr>
              <w:pStyle w:val="Body"/>
              <w:spacing w:before="0" w:after="240"/>
              <w:jc w:val="both"/>
              <w:rPr>
                <w:sz w:val="20"/>
              </w:rPr>
            </w:pPr>
            <w:r>
              <w:rPr>
                <w:color w:val="0000FF"/>
                <w:sz w:val="20"/>
              </w:rPr>
              <w:t>[               ]</w:t>
            </w:r>
          </w:p>
        </w:tc>
      </w:tr>
      <w:tr>
        <w:trPr/>
        <w:tc>
          <w:tcPr>
            <w:tcW w:w="3417" w:type="dxa"/>
            <w:tcBorders/>
          </w:tcPr>
          <w:p>
            <w:pPr>
              <w:pStyle w:val="Body"/>
              <w:spacing w:before="0" w:after="240"/>
              <w:jc w:val="both"/>
              <w:rPr>
                <w:sz w:val="20"/>
              </w:rPr>
            </w:pPr>
            <w:r>
              <w:rPr>
                <w:sz w:val="20"/>
              </w:rPr>
              <w:t>Underlying Shares:</w:t>
            </w:r>
          </w:p>
        </w:tc>
        <w:tc>
          <w:tcPr>
            <w:tcW w:w="5259" w:type="dxa"/>
            <w:tcBorders/>
          </w:tcPr>
          <w:p>
            <w:pPr>
              <w:pStyle w:val="Body"/>
              <w:spacing w:before="0" w:after="240"/>
              <w:jc w:val="both"/>
              <w:rPr/>
            </w:pPr>
            <w:r>
              <w:rPr>
                <w:sz w:val="20"/>
              </w:rPr>
              <w:t xml:space="preserve">Initially [             ] shares of common stock, par value </w:t>
            </w:r>
            <w:r>
              <w:rPr>
                <w:color w:val="0000FF"/>
                <w:sz w:val="20"/>
              </w:rPr>
              <w:t>$[   ]</w:t>
            </w:r>
            <w:r>
              <w:rPr>
                <w:sz w:val="20"/>
              </w:rPr>
              <w:t xml:space="preserve"> per share, of Company (“</w:t>
            </w:r>
            <w:r>
              <w:rPr>
                <w:b/>
                <w:i/>
                <w:sz w:val="20"/>
                <w:u w:val="single"/>
              </w:rPr>
              <w:t>Common Shares</w:t>
            </w:r>
            <w:r>
              <w:rPr>
                <w:sz w:val="20"/>
              </w:rPr>
              <w:t xml:space="preserve">”).  </w:t>
            </w:r>
          </w:p>
        </w:tc>
      </w:tr>
      <w:tr>
        <w:trPr/>
        <w:tc>
          <w:tcPr>
            <w:tcW w:w="3417" w:type="dxa"/>
            <w:tcBorders/>
          </w:tcPr>
          <w:p>
            <w:pPr>
              <w:pStyle w:val="Body"/>
              <w:spacing w:before="0" w:after="240"/>
              <w:jc w:val="both"/>
              <w:rPr>
                <w:sz w:val="20"/>
              </w:rPr>
            </w:pPr>
            <w:r>
              <w:rPr>
                <w:sz w:val="20"/>
              </w:rPr>
              <w:t>Maturity Date:</w:t>
            </w:r>
          </w:p>
        </w:tc>
        <w:tc>
          <w:tcPr>
            <w:tcW w:w="5259" w:type="dxa"/>
            <w:tcBorders/>
          </w:tcPr>
          <w:p>
            <w:pPr>
              <w:pStyle w:val="Body"/>
              <w:spacing w:before="0" w:after="240"/>
              <w:jc w:val="both"/>
              <w:rPr/>
            </w:pPr>
            <w:r>
              <w:rPr>
                <w:color w:val="0000FF"/>
                <w:sz w:val="20"/>
              </w:rPr>
              <w:t>[             ]</w:t>
            </w:r>
            <w:r>
              <w:rPr>
                <w:sz w:val="20"/>
              </w:rPr>
              <w:t>, or if such day is not an Exchange Business Day, the next Exchange Business Day.</w:t>
            </w:r>
          </w:p>
        </w:tc>
      </w:tr>
      <w:tr>
        <w:trPr/>
        <w:tc>
          <w:tcPr>
            <w:tcW w:w="3417" w:type="dxa"/>
            <w:tcBorders/>
          </w:tcPr>
          <w:p>
            <w:pPr>
              <w:pStyle w:val="Body"/>
              <w:spacing w:before="0" w:after="240"/>
              <w:jc w:val="both"/>
              <w:rPr>
                <w:sz w:val="20"/>
              </w:rPr>
            </w:pPr>
            <w:r>
              <w:rPr>
                <w:sz w:val="20"/>
              </w:rPr>
              <w:t>Exchange:</w:t>
            </w:r>
          </w:p>
        </w:tc>
        <w:tc>
          <w:tcPr>
            <w:tcW w:w="5259" w:type="dxa"/>
            <w:tcBorders/>
          </w:tcPr>
          <w:p>
            <w:pPr>
              <w:pStyle w:val="Body"/>
              <w:spacing w:before="0" w:after="240"/>
              <w:jc w:val="both"/>
              <w:rPr>
                <w:sz w:val="20"/>
              </w:rPr>
            </w:pPr>
            <w:r>
              <w:rPr>
                <w:sz w:val="20"/>
              </w:rPr>
              <w:t>New York Stock Exchange.</w:t>
            </w:r>
          </w:p>
        </w:tc>
      </w:tr>
    </w:tbl>
    <w:p>
      <w:pPr>
        <w:pStyle w:val="Body"/>
        <w:jc w:val="both"/>
        <w:rPr>
          <w:sz w:val="20"/>
        </w:rPr>
      </w:pPr>
      <w:r>
        <w:rPr>
          <w:sz w:val="20"/>
        </w:rPr>
      </w:r>
    </w:p>
    <w:p>
      <w:pPr>
        <w:pStyle w:val="Body"/>
        <w:jc w:val="both"/>
        <w:rPr>
          <w:sz w:val="20"/>
        </w:rPr>
      </w:pPr>
      <w:r>
        <w:rPr>
          <w:sz w:val="20"/>
        </w:rPr>
        <w:t>The methods of settlement and related matters are set forth in paragraph II (“</w:t>
      </w:r>
      <w:r>
        <w:rPr>
          <w:b/>
          <w:sz w:val="20"/>
        </w:rPr>
        <w:t>Settlement Methods</w:t>
      </w:r>
      <w:r>
        <w:rPr>
          <w:sz w:val="20"/>
        </w:rPr>
        <w:t xml:space="preserve">”) below. </w:t>
      </w:r>
      <w:r>
        <w:rPr>
          <w:b/>
          <w:sz w:val="20"/>
        </w:rPr>
        <w:t>II.</w:t>
        <w:tab/>
      </w:r>
      <w:r>
        <w:rPr>
          <w:b/>
          <w:sz w:val="20"/>
          <w:u w:val="single"/>
        </w:rPr>
        <w:t>Settlement Methods</w:t>
      </w:r>
      <w:r>
        <w:rPr>
          <w:b/>
          <w:sz w:val="20"/>
        </w:rPr>
        <w:t>:</w:t>
      </w:r>
    </w:p>
    <w:p>
      <w:pPr>
        <w:pStyle w:val="Body"/>
        <w:jc w:val="both"/>
        <w:rPr/>
      </w:pPr>
      <w:r>
        <w:rPr>
          <w:sz w:val="20"/>
        </w:rPr>
        <w:t>1.</w:t>
        <w:tab/>
      </w:r>
      <w:r>
        <w:rPr>
          <w:b/>
          <w:sz w:val="20"/>
          <w:u w:val="single"/>
        </w:rPr>
        <w:t>Physical Settlement</w:t>
      </w:r>
      <w:r>
        <w:rPr>
          <w:sz w:val="20"/>
        </w:rPr>
        <w:t xml:space="preserve">.  </w:t>
      </w:r>
    </w:p>
    <w:p>
      <w:pPr>
        <w:pStyle w:val="Body"/>
        <w:ind w:start="720" w:end="0"/>
        <w:jc w:val="both"/>
        <w:rPr/>
      </w:pPr>
      <w:r>
        <w:rPr>
          <w:sz w:val="20"/>
        </w:rPr>
        <w:t>If physical settlement (“</w:t>
      </w:r>
      <w:r>
        <w:rPr>
          <w:b/>
          <w:i/>
          <w:sz w:val="20"/>
          <w:u w:val="single"/>
        </w:rPr>
        <w:t>Physical Settlement</w:t>
      </w:r>
      <w:r>
        <w:rPr>
          <w:sz w:val="20"/>
        </w:rPr>
        <w:t>”) applies to, on the related Physical Settlement Date:</w:t>
      </w:r>
    </w:p>
    <w:p>
      <w:pPr>
        <w:pStyle w:val="Body"/>
        <w:ind w:hanging="720" w:start="1440" w:end="0"/>
        <w:jc w:val="both"/>
        <w:rPr>
          <w:sz w:val="20"/>
        </w:rPr>
      </w:pPr>
      <w:r>
        <w:rPr>
          <w:sz w:val="20"/>
        </w:rPr>
        <w:t>(i)</w:t>
        <w:tab/>
        <w:t xml:space="preserve">ML shall deliver to Company the Settlement Shares for such Settlement Event; </w:t>
      </w:r>
      <w:r>
        <w:rPr>
          <w:sz w:val="20"/>
          <w:u w:val="single"/>
        </w:rPr>
        <w:t>and</w:t>
      </w:r>
    </w:p>
    <w:p>
      <w:pPr>
        <w:pStyle w:val="Body"/>
        <w:ind w:hanging="720" w:start="1440" w:end="0"/>
        <w:jc w:val="both"/>
        <w:rPr>
          <w:sz w:val="20"/>
        </w:rPr>
      </w:pPr>
      <w:r>
        <w:rPr>
          <w:sz w:val="20"/>
        </w:rPr>
        <w:t>(ii)</w:t>
        <w:tab/>
        <w:t>Company shall pay to ML the Settlement Amount for such Settlement Event,</w:t>
      </w:r>
    </w:p>
    <w:p>
      <w:pPr>
        <w:pStyle w:val="Body"/>
        <w:ind w:start="720" w:end="0"/>
        <w:jc w:val="both"/>
        <w:rPr>
          <w:sz w:val="20"/>
        </w:rPr>
      </w:pPr>
      <w:r>
        <w:rPr>
          <w:sz w:val="20"/>
        </w:rPr>
        <w:t>on a delivery versus payment basis.</w:t>
      </w:r>
    </w:p>
    <w:p>
      <w:pPr>
        <w:pStyle w:val="Body"/>
        <w:ind w:start="720" w:end="0"/>
        <w:jc w:val="both"/>
        <w:rPr/>
      </w:pPr>
      <w:r>
        <w:rPr>
          <w:sz w:val="20"/>
        </w:rPr>
        <w:t>In addition, , ML shall transfer to Company, promptly after the related dividend payment date, the amount, if any, of all dividends, with an ex-dividend date on or after the Trade Date and before the related Physical Settlement Date and a dividend payment date on or after such Physical Settlement Date, to which a holder of a number of Common Shares equal to the Settlement Shares for the  Settlement Event would be entitled, other than dividends resulting in an adjustment pursuant to paragraph IV.2. (“</w:t>
      </w:r>
      <w:r>
        <w:rPr>
          <w:b/>
          <w:sz w:val="20"/>
        </w:rPr>
        <w:t>Adjustments</w:t>
      </w:r>
      <w:r>
        <w:rPr>
          <w:sz w:val="20"/>
        </w:rPr>
        <w:t>”) below.  ML shall transfer such amount of dividends to Company in the same form in which such amount was distributed.</w:t>
      </w:r>
    </w:p>
    <w:p>
      <w:pPr>
        <w:pStyle w:val="Body"/>
        <w:jc w:val="both"/>
        <w:rPr/>
      </w:pPr>
      <w:r>
        <w:rPr>
          <w:sz w:val="20"/>
        </w:rPr>
        <w:t>2.</w:t>
        <w:tab/>
      </w:r>
      <w:r>
        <w:rPr>
          <w:b/>
          <w:sz w:val="20"/>
          <w:u w:val="single"/>
        </w:rPr>
        <w:t>Stock Settlement</w:t>
      </w:r>
      <w:r>
        <w:rPr>
          <w:sz w:val="20"/>
        </w:rPr>
        <w:t>.</w:t>
      </w:r>
    </w:p>
    <w:p>
      <w:pPr>
        <w:pStyle w:val="Body"/>
        <w:ind w:hanging="720" w:start="1440" w:end="0"/>
        <w:jc w:val="both"/>
        <w:rPr/>
      </w:pPr>
      <w:r>
        <w:rPr>
          <w:sz w:val="20"/>
        </w:rPr>
        <w:t>a.</w:t>
        <w:tab/>
      </w:r>
      <w:r>
        <w:rPr>
          <w:b/>
          <w:i/>
          <w:sz w:val="20"/>
          <w:u w:val="single"/>
        </w:rPr>
        <w:t>Company Stock Settlement Option</w:t>
      </w:r>
      <w:r>
        <w:rPr>
          <w:sz w:val="20"/>
        </w:rPr>
        <w:t>.  Subject to satisfaction of the following conditions, Company may elect that the parties satisfy their respective obligations in connection with a Settlement Event by stock settlement as described in paragraph II.2.b. (“</w:t>
      </w:r>
      <w:r>
        <w:rPr>
          <w:b/>
          <w:sz w:val="20"/>
        </w:rPr>
        <w:t>Stock Settlement Obligations</w:t>
      </w:r>
      <w:r>
        <w:rPr>
          <w:sz w:val="20"/>
        </w:rPr>
        <w:t>”) below (“</w:t>
      </w:r>
      <w:r>
        <w:rPr>
          <w:b/>
          <w:i/>
          <w:sz w:val="20"/>
          <w:u w:val="single"/>
        </w:rPr>
        <w:t>Stock Settlement</w:t>
      </w:r>
      <w:r>
        <w:rPr>
          <w:sz w:val="20"/>
        </w:rPr>
        <w:t>”):</w:t>
      </w:r>
    </w:p>
    <w:p>
      <w:pPr>
        <w:pStyle w:val="Body"/>
        <w:ind w:hanging="720" w:start="2160" w:end="0"/>
        <w:jc w:val="both"/>
        <w:rPr>
          <w:sz w:val="20"/>
        </w:rPr>
      </w:pPr>
      <w:r>
        <w:rPr>
          <w:sz w:val="20"/>
        </w:rPr>
        <w:t>(i)</w:t>
        <w:tab/>
        <w:t>Company shall have delivered a notice to ML electing Stock Settlement at least 10 Exchange Business Days prior to the  Stock Settlement Commencement Date;</w:t>
      </w:r>
    </w:p>
    <w:p>
      <w:pPr>
        <w:pStyle w:val="Body"/>
        <w:ind w:hanging="720" w:start="2160" w:end="0"/>
        <w:jc w:val="both"/>
        <w:rPr/>
      </w:pPr>
      <w:r>
        <w:rPr>
          <w:sz w:val="20"/>
        </w:rPr>
        <w:t>(ii)</w:t>
        <w:tab/>
        <w:t>prior to the  Stock Settlement Commencement Date, Company shall have made available to ML an effective registration statement (the “</w:t>
      </w:r>
      <w:r>
        <w:rPr>
          <w:b/>
          <w:i/>
          <w:sz w:val="20"/>
          <w:u w:val="single"/>
        </w:rPr>
        <w:t>Registration Statement</w:t>
      </w:r>
      <w:r>
        <w:rPr>
          <w:sz w:val="20"/>
        </w:rPr>
        <w:t>”) filed pursuant to Rule 415 under the Securities Act of 1933, as amended (the “</w:t>
      </w:r>
      <w:r>
        <w:rPr>
          <w:b/>
          <w:i/>
          <w:sz w:val="20"/>
          <w:u w:val="single"/>
        </w:rPr>
        <w:t>Securities Act</w:t>
      </w:r>
      <w:r>
        <w:rPr>
          <w:sz w:val="20"/>
        </w:rPr>
        <w:t>”) and such prospectuses as ML may reasonably request to comply with the applicable prospectus delivery requirements (the “</w:t>
      </w:r>
      <w:r>
        <w:rPr>
          <w:b/>
          <w:i/>
          <w:sz w:val="20"/>
          <w:u w:val="single"/>
        </w:rPr>
        <w:t>Prospectus</w:t>
      </w:r>
      <w:r>
        <w:rPr>
          <w:sz w:val="20"/>
        </w:rPr>
        <w:t>”) for the resale by ML of such number of Common Shares as ML shall specify (or, if greater, the number of Common Shares that Company shall specify), such Registration Statement to be effective and Prospectus to be current until the earliest of the date on which (A) all Common Shares delivered by Company in connection with such Settlement Event, and all Common Shares held by ML for hedging purposes in connection with the portion of the Transaction subject to such Settlement Event, have been sold by ML, (B) ML is able to sell such Common Shares pursuant to Rule 144(k) under the Securities Act, or (C) ML has advised Company that it no longer requires that such Registration Statement be effective (the “</w:t>
      </w:r>
      <w:r>
        <w:rPr>
          <w:b/>
          <w:i/>
          <w:sz w:val="20"/>
          <w:u w:val="single"/>
        </w:rPr>
        <w:t>Registration Period</w:t>
      </w:r>
      <w:r>
        <w:rPr>
          <w:sz w:val="20"/>
        </w:rPr>
        <w:t>”).  It is understood that the Registration Statement and Prospectus may cover a number of Common Shares equal to the number of Underlying Shares plus the aggregate number of Common Shares (if any) reasonably estimated by ML to be potentially deliverable by Company in connection with Stock Settlement hereunder;</w:t>
      </w:r>
    </w:p>
    <w:p>
      <w:pPr>
        <w:pStyle w:val="Body"/>
        <w:ind w:hanging="720" w:start="2160" w:end="0"/>
        <w:jc w:val="both"/>
        <w:rPr>
          <w:sz w:val="20"/>
        </w:rPr>
      </w:pPr>
      <w:r>
        <w:rPr>
          <w:sz w:val="20"/>
        </w:rPr>
        <w:t>(iii)</w:t>
        <w:tab/>
        <w:t>The following representation, which Company shall be deemed to make on each day during the Registration Period, shall be true and correct:</w:t>
      </w:r>
    </w:p>
    <w:p>
      <w:pPr>
        <w:pStyle w:val="Body"/>
        <w:ind w:start="2160" w:end="0"/>
        <w:jc w:val="both"/>
        <w:rPr/>
      </w:pPr>
      <w:r>
        <w:rPr>
          <w:sz w:val="20"/>
        </w:rPr>
        <w:t>Company represents that each of its filings under the Securities Act, the Securities Exchange Act of 1934, as amended (the “</w:t>
      </w:r>
      <w:r>
        <w:rPr>
          <w:b/>
          <w:i/>
          <w:sz w:val="20"/>
          <w:u w:val="single"/>
        </w:rPr>
        <w:t>Exchange Act</w:t>
      </w:r>
      <w:r>
        <w:rPr>
          <w:sz w:val="20"/>
        </w:rPr>
        <w:t>”), or other applicable securities laws that are required to be filed have been filed and that, as of the respective dates thereof and as of the date of this representation, there is no misstatement of a material fact contained therein or omission of a material fact required to be stated therein or necessary to make the statements therein not misleading;</w:t>
      </w:r>
    </w:p>
    <w:p>
      <w:pPr>
        <w:pStyle w:val="Body"/>
        <w:ind w:hanging="720" w:start="2160" w:end="0"/>
        <w:jc w:val="both"/>
        <w:rPr>
          <w:sz w:val="20"/>
        </w:rPr>
      </w:pPr>
      <w:r>
        <w:rPr>
          <w:sz w:val="20"/>
        </w:rPr>
        <w:t>(iv)</w:t>
        <w:tab/>
        <w:t xml:space="preserve">Company shall have entered into a registration rights agreement with ML in the form of Exhibit A hereto and shall have satisfied the conditions contained therein; </w:t>
      </w:r>
      <w:r>
        <w:rPr>
          <w:sz w:val="20"/>
          <w:u w:val="single"/>
        </w:rPr>
        <w:t>and</w:t>
      </w:r>
    </w:p>
    <w:p>
      <w:pPr>
        <w:pStyle w:val="Body"/>
        <w:ind w:hanging="720" w:start="2160" w:end="0"/>
        <w:jc w:val="both"/>
        <w:rPr>
          <w:sz w:val="20"/>
        </w:rPr>
      </w:pPr>
      <w:r>
        <w:rPr>
          <w:sz w:val="20"/>
        </w:rPr>
        <w:t>(v)</w:t>
        <w:tab/>
        <w:t>Company shall have, in the reasonable determination of the Calculation Agent, a sufficient number of Common Shares that are authorized, but not outstanding and not reserved for other purposes, to effect such settlement.</w:t>
      </w:r>
    </w:p>
    <w:p>
      <w:pPr>
        <w:pStyle w:val="Body"/>
        <w:ind w:start="1440" w:end="0"/>
        <w:jc w:val="both"/>
        <w:rPr>
          <w:sz w:val="20"/>
        </w:rPr>
      </w:pPr>
      <w:r>
        <w:rPr>
          <w:sz w:val="20"/>
        </w:rPr>
        <w:t>Unless Company has timely complied with the conditions set forth above for electing Stock Settlement in connection with the Settlement Event, Physical Settlement shall apply with respect to the Settlement Event.</w:t>
      </w:r>
    </w:p>
    <w:p>
      <w:pPr>
        <w:pStyle w:val="Body"/>
        <w:ind w:hanging="720" w:start="1440" w:end="0"/>
        <w:jc w:val="both"/>
        <w:rPr/>
      </w:pPr>
      <w:r>
        <w:rPr>
          <w:sz w:val="20"/>
        </w:rPr>
        <w:t>b.</w:t>
        <w:tab/>
      </w:r>
      <w:r>
        <w:rPr>
          <w:b/>
          <w:i/>
          <w:sz w:val="20"/>
          <w:u w:val="single"/>
        </w:rPr>
        <w:t>Stock Settlement Obligations</w:t>
      </w:r>
      <w:r>
        <w:rPr>
          <w:sz w:val="20"/>
        </w:rPr>
        <w:t>.  If Stock Settlement applies:</w:t>
      </w:r>
    </w:p>
    <w:p>
      <w:pPr>
        <w:pStyle w:val="Body"/>
        <w:ind w:hanging="720" w:start="2160" w:end="0"/>
        <w:jc w:val="both"/>
        <w:rPr>
          <w:sz w:val="20"/>
        </w:rPr>
      </w:pPr>
      <w:r>
        <w:rPr>
          <w:sz w:val="20"/>
        </w:rPr>
        <w:t>(i)</w:t>
        <w:tab/>
        <w:t>on each  Stock Settlement Datefor the Stock Settlement Period, , ML shall deliver to Company the Daily Settlement Shares for such Stock Settlement Date;</w:t>
      </w:r>
    </w:p>
    <w:p>
      <w:pPr>
        <w:pStyle w:val="Body"/>
        <w:ind w:hanging="720" w:start="2160" w:end="0"/>
        <w:jc w:val="both"/>
        <w:rPr>
          <w:sz w:val="20"/>
        </w:rPr>
      </w:pPr>
      <w:r>
        <w:rPr>
          <w:sz w:val="20"/>
        </w:rPr>
        <w:t>(ii)</w:t>
        <w:tab/>
        <w:t xml:space="preserve">on each Stock Settlement Date for the  Stock Settlement Period, Company shall deliver to ML a number of Common Shares equal to the Daily Settlement Amount for such Stock Settlement Date </w:t>
      </w:r>
      <w:r>
        <w:rPr>
          <w:sz w:val="20"/>
          <w:u w:val="single"/>
        </w:rPr>
        <w:t>divided</w:t>
      </w:r>
      <w:r>
        <w:rPr>
          <w:sz w:val="20"/>
        </w:rPr>
        <w:t xml:space="preserve"> </w:t>
      </w:r>
      <w:r>
        <w:rPr>
          <w:sz w:val="20"/>
          <w:u w:val="single"/>
        </w:rPr>
        <w:t>by</w:t>
      </w:r>
      <w:r>
        <w:rPr>
          <w:sz w:val="20"/>
        </w:rPr>
        <w:t xml:space="preserve"> the Settlement Price for the related Stock Settlement Pricing Date; </w:t>
      </w:r>
      <w:r>
        <w:rPr>
          <w:sz w:val="20"/>
          <w:u w:val="single"/>
        </w:rPr>
        <w:t>and</w:t>
      </w:r>
    </w:p>
    <w:p>
      <w:pPr>
        <w:pStyle w:val="Body"/>
        <w:ind w:hanging="720" w:start="2160" w:end="0"/>
        <w:jc w:val="both"/>
        <w:rPr>
          <w:sz w:val="20"/>
        </w:rPr>
      </w:pPr>
      <w:r>
        <w:rPr>
          <w:sz w:val="20"/>
        </w:rPr>
        <w:t>(iii)</w:t>
        <w:tab/>
        <w:t>on the final Stock Settlement Date for the  Stock Settlement Period, Company shall pay to ML the Stock Settlement Accretion Fee for the related Settlement Event;</w:t>
      </w:r>
    </w:p>
    <w:p>
      <w:pPr>
        <w:pStyle w:val="Body"/>
        <w:ind w:start="1440" w:end="0"/>
        <w:jc w:val="both"/>
        <w:rPr/>
      </w:pPr>
      <w:r>
        <w:rPr>
          <w:sz w:val="20"/>
          <w:u w:val="single"/>
        </w:rPr>
        <w:t>provided</w:t>
      </w:r>
      <w:r>
        <w:rPr>
          <w:sz w:val="20"/>
        </w:rPr>
        <w:t>, that, subject to paragraph II.2.d. (“</w:t>
      </w:r>
      <w:r>
        <w:rPr>
          <w:b/>
          <w:sz w:val="20"/>
        </w:rPr>
        <w:t>Suspension of Stock Settlement Period</w:t>
      </w:r>
      <w:r>
        <w:rPr>
          <w:sz w:val="20"/>
        </w:rPr>
        <w:t>”) below, if any of the conditions set forth in paragraph II.2.a. (“</w:t>
      </w:r>
      <w:r>
        <w:rPr>
          <w:b/>
          <w:sz w:val="20"/>
        </w:rPr>
        <w:t>Company Stock Settlement Option</w:t>
      </w:r>
      <w:r>
        <w:rPr>
          <w:sz w:val="20"/>
        </w:rPr>
        <w:t>”) above cease to be satisfied on any Stock Settlement Pricing Date, then Company shall immediately notify ML of such occurrence and, at ML’s election, on the related and each subsequent Stock Settlement Date for the related Stock Settlement Period and in lieu of the parties’ respective obligations under clauses (i) and (ii) above, (x) ML shall deliver to Company the number of Daily Settlement Shares for such Stock Settlement Date and (y) Company shall pay to ML the Daily Settlement Amount for such Stock Settlement Date, on a delivery versus payment basis.</w:t>
      </w:r>
    </w:p>
    <w:p>
      <w:pPr>
        <w:pStyle w:val="Body"/>
        <w:ind w:hanging="720" w:start="1440" w:end="0"/>
        <w:jc w:val="both"/>
        <w:rPr/>
      </w:pPr>
      <w:r>
        <w:rPr>
          <w:sz w:val="20"/>
        </w:rPr>
        <w:t>c.</w:t>
        <w:tab/>
      </w:r>
      <w:r>
        <w:rPr>
          <w:b/>
          <w:i/>
          <w:sz w:val="20"/>
          <w:u w:val="single"/>
        </w:rPr>
        <w:t>Stock Settlement Dividend Amount</w:t>
      </w:r>
      <w:r>
        <w:rPr>
          <w:sz w:val="20"/>
        </w:rPr>
        <w:t>.  In connection with the Stock Settlement Period, ML shall transfer to Company, promptly after the related dividend payment date, the amount, if any, of all dividends, with an ex-dividend date on or after the Trade Date and before the last Exchange Business Day of such Stock Settlement Period and a dividend payment date on or after the related Stock Settlement Commencement Date, to which a holder of a number of Common Shares equal to the Remaining Share Number on the applicable ex-dividend date would be entitled, other than dividends resulting in an adjustment pursuant to paragraph IV.2. (“</w:t>
      </w:r>
      <w:r>
        <w:rPr>
          <w:b/>
          <w:sz w:val="20"/>
        </w:rPr>
        <w:t>Adjustments</w:t>
      </w:r>
      <w:r>
        <w:rPr>
          <w:sz w:val="20"/>
        </w:rPr>
        <w:t>”) below.  ML shall transfer such amount of dividends to Company in the same form in which such amount was distributed.</w:t>
      </w:r>
    </w:p>
    <w:p>
      <w:pPr>
        <w:pStyle w:val="Body"/>
        <w:keepNext w:val="true"/>
        <w:ind w:hanging="720" w:start="2880" w:end="0"/>
        <w:jc w:val="both"/>
        <w:rPr>
          <w:sz w:val="20"/>
        </w:rPr>
      </w:pPr>
      <w:r>
        <w:rPr>
          <w:sz w:val="20"/>
        </w:rPr>
        <w:t>WHERE:</w:t>
      </w:r>
    </w:p>
    <w:p>
      <w:pPr>
        <w:pStyle w:val="Body"/>
        <w:keepNext w:val="true"/>
        <w:ind w:hanging="720" w:start="2160" w:end="0"/>
        <w:jc w:val="both"/>
        <w:rPr/>
      </w:pPr>
      <w:r>
        <w:rPr>
          <w:sz w:val="20"/>
        </w:rPr>
        <w:tab/>
        <w:t>“</w:t>
      </w:r>
      <w:r>
        <w:rPr>
          <w:b/>
          <w:i/>
          <w:sz w:val="20"/>
          <w:u w:val="single"/>
        </w:rPr>
        <w:t>Remaining Share Number</w:t>
      </w:r>
      <w:r>
        <w:rPr>
          <w:sz w:val="20"/>
        </w:rPr>
        <w:t xml:space="preserve">” means, for any ex-dividend date, (i) the number of Settlement Shares for theSettlement Event </w:t>
      </w:r>
      <w:r>
        <w:rPr>
          <w:sz w:val="20"/>
          <w:u w:val="single"/>
        </w:rPr>
        <w:t>minus</w:t>
      </w:r>
      <w:r>
        <w:rPr>
          <w:sz w:val="20"/>
        </w:rPr>
        <w:t xml:space="preserve"> (ii) the number of Daily Settlement Shares for the  Stock Settlement Period </w:t>
      </w:r>
      <w:r>
        <w:rPr>
          <w:sz w:val="20"/>
          <w:u w:val="single"/>
        </w:rPr>
        <w:t>multiplied</w:t>
      </w:r>
      <w:r>
        <w:rPr>
          <w:sz w:val="20"/>
        </w:rPr>
        <w:t xml:space="preserve"> </w:t>
      </w:r>
      <w:r>
        <w:rPr>
          <w:sz w:val="20"/>
          <w:u w:val="single"/>
        </w:rPr>
        <w:t>by</w:t>
      </w:r>
      <w:r>
        <w:rPr>
          <w:sz w:val="20"/>
        </w:rPr>
        <w:t xml:space="preserve"> the number of  Stock Settlement Pricing Dates occurring on or before such ex-dividend date.</w:t>
      </w:r>
    </w:p>
    <w:p>
      <w:pPr>
        <w:pStyle w:val="Body"/>
        <w:ind w:hanging="720" w:start="1440" w:end="0"/>
        <w:jc w:val="both"/>
        <w:rPr/>
      </w:pPr>
      <w:r>
        <w:rPr>
          <w:sz w:val="20"/>
        </w:rPr>
        <w:t>d.</w:t>
        <w:tab/>
      </w:r>
      <w:r>
        <w:rPr>
          <w:b/>
          <w:i/>
          <w:sz w:val="20"/>
          <w:u w:val="single"/>
        </w:rPr>
        <w:t>Suspension of Stock Settlement Period</w:t>
      </w:r>
      <w:r>
        <w:rPr>
          <w:sz w:val="20"/>
        </w:rPr>
        <w:t>.  Company shall be entitled, by notice to ML prior to 8:30 a.m. New York time on any Exchange Business Day during the Stock Settlement Period, to suspend such Stock Settlement Period for up to 10 days in the aggregate based on the advice of counsel respecting applicable federal securities laws that such Stock Settlement Period should be suspended.  ML will adjust any term of this Transaction to reflect such suspension to the extent appropriate to effectuate the fundamental economic terms of this Transaction.</w:t>
      </w:r>
    </w:p>
    <w:p>
      <w:pPr>
        <w:pStyle w:val="Normal"/>
        <w:spacing w:before="0" w:after="240"/>
        <w:rPr/>
      </w:pPr>
      <w:r>
        <w:rPr/>
        <w:t>3.</w:t>
        <w:tab/>
      </w:r>
      <w:r>
        <w:rPr>
          <w:b/>
          <w:u w:val="single"/>
        </w:rPr>
        <w:t>Netting of Obligations; Rounding; Cash Settlement</w:t>
      </w:r>
      <w:r>
        <w:rPr/>
        <w:t>.</w:t>
      </w:r>
    </w:p>
    <w:p>
      <w:pPr>
        <w:pStyle w:val="Normal"/>
        <w:ind w:hanging="720" w:start="1440" w:end="0"/>
        <w:jc w:val="both"/>
        <w:rPr/>
      </w:pPr>
      <w:r>
        <w:rPr/>
        <w:t>a.</w:t>
        <w:tab/>
      </w:r>
      <w:r>
        <w:rPr>
          <w:b/>
          <w:i/>
          <w:u w:val="single"/>
        </w:rPr>
        <w:t>Netting and Rounding</w:t>
      </w:r>
      <w:r>
        <w:rPr/>
        <w:t>.  The respective delivery and cash payment obligations on any day of Company, on the one hand, and ML, on the other hand, shall be netted.  The resulting Common Share delivery obligation of a party upon such netting (the “</w:t>
      </w:r>
      <w:r>
        <w:rPr>
          <w:b/>
          <w:i/>
          <w:u w:val="single"/>
        </w:rPr>
        <w:t>Net Number of Common Shares</w:t>
      </w:r>
      <w:r>
        <w:rPr/>
        <w:t>”) shall be rounded down to the nearest number of whole Common Shares, such that neither party shall be required to deliver any fractional Common Shares.</w:t>
      </w:r>
    </w:p>
    <w:p>
      <w:pPr>
        <w:pStyle w:val="Normal"/>
        <w:rPr/>
      </w:pPr>
      <w:r>
        <w:rPr/>
        <w:tab/>
      </w:r>
    </w:p>
    <w:p>
      <w:pPr>
        <w:pStyle w:val="Normal"/>
        <w:spacing w:before="0" w:after="240"/>
        <w:ind w:hanging="720" w:start="1440" w:end="0"/>
        <w:jc w:val="both"/>
        <w:rPr/>
      </w:pPr>
      <w:r>
        <w:rPr/>
        <w:t>b.</w:t>
        <w:tab/>
      </w:r>
      <w:r>
        <w:rPr>
          <w:b/>
          <w:i/>
          <w:u w:val="single"/>
        </w:rPr>
        <w:t>Cash Settlement</w:t>
      </w:r>
      <w:r>
        <w:rPr/>
        <w:t>.  Company may, upon written notice to ML 10 Exchange Business Days prior to the Stock Settlement Commencement Date for a Stock Settlement Period, elect to pay or receive, as the case may be, an amount in cash in lieu of the delivery or receipt, as the case may be, of the Net Number of Common Shares deliverable on each Stock Settlement Date in connection with such Stock Settlement Period (“</w:t>
      </w:r>
      <w:r>
        <w:rPr>
          <w:b/>
          <w:i/>
          <w:u w:val="single"/>
        </w:rPr>
        <w:t>Cash Settlement</w:t>
      </w:r>
      <w:r>
        <w:rPr/>
        <w:t xml:space="preserve">”).  If Company so elects, the cash amount so payable or receivable, as the case may be, on each such Stock Settlement Date shall be an amount in U.S. dollars equal to such Net Number of Common Shares </w:t>
      </w:r>
      <w:r>
        <w:rPr>
          <w:u w:val="single"/>
        </w:rPr>
        <w:t>multiplied</w:t>
      </w:r>
      <w:r>
        <w:rPr/>
        <w:t xml:space="preserve"> </w:t>
      </w:r>
      <w:r>
        <w:rPr>
          <w:u w:val="single"/>
        </w:rPr>
        <w:t>by</w:t>
      </w:r>
      <w:r>
        <w:rPr/>
        <w:t xml:space="preserve"> the Settlement Price for the related Stock Settlement Pricing Date.</w:t>
      </w:r>
    </w:p>
    <w:p>
      <w:pPr>
        <w:pStyle w:val="Body"/>
        <w:jc w:val="both"/>
        <w:rPr/>
      </w:pPr>
      <w:r>
        <w:rPr>
          <w:sz w:val="20"/>
        </w:rPr>
        <w:t>4.</w:t>
        <w:tab/>
      </w:r>
      <w:r>
        <w:rPr>
          <w:b/>
          <w:sz w:val="20"/>
          <w:u w:val="single"/>
        </w:rPr>
        <w:t>Definitions</w:t>
      </w:r>
      <w:r>
        <w:rPr>
          <w:sz w:val="20"/>
        </w:rPr>
        <w:t>.</w:t>
      </w:r>
    </w:p>
    <w:p>
      <w:pPr>
        <w:pStyle w:val="Body"/>
        <w:ind w:start="720" w:end="0"/>
        <w:jc w:val="both"/>
        <w:rPr/>
      </w:pPr>
      <w:r>
        <w:rPr>
          <w:sz w:val="20"/>
        </w:rPr>
        <w:t>“</w:t>
      </w:r>
      <w:r>
        <w:rPr>
          <w:b/>
          <w:i/>
          <w:sz w:val="20"/>
          <w:u w:val="single"/>
        </w:rPr>
        <w:t>Closing Price</w:t>
      </w:r>
      <w:r>
        <w:rPr>
          <w:sz w:val="20"/>
        </w:rPr>
        <w:t>” means the last reported sale price on the Exchange on any Exchange Trading Date.</w:t>
      </w:r>
    </w:p>
    <w:p>
      <w:pPr>
        <w:pStyle w:val="Body"/>
        <w:ind w:start="720" w:end="0"/>
        <w:jc w:val="both"/>
        <w:rPr/>
      </w:pPr>
      <w:bookmarkStart w:id="0" w:name="xx"/>
      <w:bookmarkEnd w:id="0"/>
      <w:r>
        <w:rPr>
          <w:sz w:val="20"/>
        </w:rPr>
        <w:t>“</w:t>
      </w:r>
      <w:r>
        <w:rPr>
          <w:b/>
          <w:i/>
          <w:sz w:val="20"/>
          <w:u w:val="single"/>
        </w:rPr>
        <w:t>Daily Settlement Amount</w:t>
      </w:r>
      <w:r>
        <w:rPr>
          <w:sz w:val="20"/>
        </w:rPr>
        <w:t>” means, for a Stock Settlement Date, the Settlement Amount for the  Settlement Event divided by the number of Stock Settlement Pricing Dates in the  Stock Settlement Period.</w:t>
      </w:r>
    </w:p>
    <w:p>
      <w:pPr>
        <w:pStyle w:val="Body"/>
        <w:ind w:start="720" w:end="0"/>
        <w:jc w:val="both"/>
        <w:rPr/>
      </w:pPr>
      <w:r>
        <w:rPr>
          <w:sz w:val="20"/>
        </w:rPr>
        <w:t>“</w:t>
      </w:r>
      <w:r>
        <w:rPr>
          <w:b/>
          <w:i/>
          <w:sz w:val="20"/>
          <w:u w:val="single"/>
        </w:rPr>
        <w:t>Daily Settlement Shares</w:t>
      </w:r>
      <w:r>
        <w:rPr>
          <w:sz w:val="20"/>
        </w:rPr>
        <w:t xml:space="preserve">” means, for a Stock Settlement Date, a number of Common Shares equal to the Settlement Shares for the  Settlement Event </w:t>
      </w:r>
      <w:r>
        <w:rPr>
          <w:sz w:val="20"/>
          <w:u w:val="single"/>
        </w:rPr>
        <w:t>divided</w:t>
      </w:r>
      <w:r>
        <w:rPr>
          <w:sz w:val="20"/>
        </w:rPr>
        <w:t xml:space="preserve"> </w:t>
      </w:r>
      <w:r>
        <w:rPr>
          <w:sz w:val="20"/>
          <w:u w:val="single"/>
        </w:rPr>
        <w:t>by</w:t>
      </w:r>
      <w:r>
        <w:rPr>
          <w:sz w:val="20"/>
        </w:rPr>
        <w:t xml:space="preserve"> the number of Stock Settlement Pricing Dates in the  Stock Settlement Period.</w:t>
      </w:r>
    </w:p>
    <w:p>
      <w:pPr>
        <w:pStyle w:val="Body"/>
        <w:ind w:start="720" w:end="0"/>
        <w:jc w:val="both"/>
        <w:rPr/>
      </w:pPr>
      <w:r>
        <w:rPr>
          <w:sz w:val="20"/>
        </w:rPr>
        <w:t>“</w:t>
      </w:r>
      <w:r>
        <w:rPr>
          <w:b/>
          <w:i/>
          <w:sz w:val="20"/>
          <w:u w:val="single"/>
        </w:rPr>
        <w:t>Forward Price</w:t>
      </w:r>
      <w:r>
        <w:rPr>
          <w:sz w:val="20"/>
        </w:rPr>
        <w:t xml:space="preserve">” means, for a Settlement/Settlement Commencement Date, the Initial Price </w:t>
      </w:r>
      <w:r>
        <w:rPr>
          <w:sz w:val="20"/>
          <w:u w:val="single"/>
        </w:rPr>
        <w:t>plus</w:t>
      </w:r>
      <w:r>
        <w:rPr>
          <w:sz w:val="20"/>
        </w:rPr>
        <w:t xml:space="preserve"> the Interest Component for such Settlement/Settlement Commencement Date </w:t>
      </w:r>
      <w:r>
        <w:rPr>
          <w:sz w:val="20"/>
          <w:u w:val="single"/>
        </w:rPr>
        <w:t>minus</w:t>
      </w:r>
      <w:r>
        <w:rPr>
          <w:sz w:val="20"/>
        </w:rPr>
        <w:t xml:space="preserve"> the Dividend Component for such Settlement/Settlement Commencement Date </w:t>
      </w:r>
      <w:r>
        <w:rPr>
          <w:sz w:val="20"/>
          <w:u w:val="single"/>
        </w:rPr>
        <w:t>plus</w:t>
      </w:r>
      <w:r>
        <w:rPr>
          <w:sz w:val="20"/>
        </w:rPr>
        <w:t xml:space="preserve"> Breakage Amounts for such Settlement/Settlement Commencement Date.</w:t>
      </w:r>
    </w:p>
    <w:p>
      <w:pPr>
        <w:pStyle w:val="Body"/>
        <w:keepNext w:val="true"/>
        <w:ind w:start="1440" w:end="0"/>
        <w:jc w:val="both"/>
        <w:rPr>
          <w:sz w:val="20"/>
        </w:rPr>
      </w:pPr>
      <w:r>
        <w:rPr>
          <w:sz w:val="20"/>
        </w:rPr>
        <w:t>WHERE:</w:t>
      </w:r>
    </w:p>
    <w:p>
      <w:pPr>
        <w:pStyle w:val="Body"/>
        <w:keepNext w:val="true"/>
        <w:ind w:start="1440" w:end="0"/>
        <w:jc w:val="both"/>
        <w:rPr>
          <w:sz w:val="20"/>
        </w:rPr>
      </w:pPr>
      <w:r>
        <w:rPr>
          <w:sz w:val="20"/>
        </w:rPr>
        <w:t>“</w:t>
      </w:r>
      <w:r>
        <w:rPr>
          <w:b/>
          <w:i/>
          <w:sz w:val="20"/>
          <w:u w:val="single"/>
        </w:rPr>
        <w:t>Initial Price</w:t>
      </w:r>
      <w:r>
        <w:rPr>
          <w:sz w:val="20"/>
        </w:rPr>
        <w:t xml:space="preserve">” means </w:t>
      </w:r>
      <w:r>
        <w:rPr>
          <w:color w:val="0000FF"/>
          <w:sz w:val="20"/>
        </w:rPr>
        <w:t>$[           ]</w:t>
      </w:r>
    </w:p>
    <w:p>
      <w:pPr>
        <w:pStyle w:val="Body"/>
        <w:ind w:start="1440" w:end="0"/>
        <w:jc w:val="both"/>
        <w:rPr/>
      </w:pPr>
      <w:r>
        <w:rPr>
          <w:sz w:val="20"/>
        </w:rPr>
        <w:t>“</w:t>
      </w:r>
      <w:r>
        <w:rPr>
          <w:b/>
          <w:i/>
          <w:sz w:val="20"/>
          <w:u w:val="single"/>
        </w:rPr>
        <w:t>Interest Component</w:t>
      </w:r>
      <w:r>
        <w:rPr>
          <w:sz w:val="20"/>
        </w:rPr>
        <w:t>” means, for a Settlement/Settlement Commencement Date, interest on the Initial Price at the applicable Floating Rate, compounded on each Reset Date using a Day Count Fraction of Actual/360, for the period from and including the Trade Date to but excluding such Settlement/Settlement Commencement Date.</w:t>
      </w:r>
    </w:p>
    <w:p>
      <w:pPr>
        <w:pStyle w:val="Body"/>
        <w:ind w:start="1440" w:end="0"/>
        <w:jc w:val="both"/>
        <w:rPr/>
      </w:pPr>
      <w:r>
        <w:rPr>
          <w:sz w:val="20"/>
        </w:rPr>
        <w:t>“</w:t>
      </w:r>
      <w:r>
        <w:rPr>
          <w:b/>
          <w:i/>
          <w:sz w:val="20"/>
          <w:u w:val="single"/>
        </w:rPr>
        <w:t>Dividend Component</w:t>
      </w:r>
      <w:r>
        <w:rPr>
          <w:sz w:val="20"/>
        </w:rPr>
        <w:t>” means, for a Settlement/Settlement Commencement Date, the amount of all dividends (other than dividends resulting in an adjustment pursuant to paragraph IV.2. (“</w:t>
      </w:r>
      <w:r>
        <w:rPr>
          <w:b/>
          <w:sz w:val="20"/>
        </w:rPr>
        <w:t>Adjustments</w:t>
      </w:r>
      <w:r>
        <w:rPr>
          <w:sz w:val="20"/>
        </w:rPr>
        <w:t>”) below) to which a holder of one Common Share would be entitled, with an ex-dividend date on or after the Trade Date and paid before such Settlement/Settlement Commencement Date.  The value of any assets distributed other than cash shall be determined by the Calculation Agent in good faith and in a commercially reasonable manner.</w:t>
      </w:r>
    </w:p>
    <w:p>
      <w:pPr>
        <w:pStyle w:val="Body"/>
        <w:ind w:start="1440" w:end="0"/>
        <w:jc w:val="both"/>
        <w:rPr/>
      </w:pPr>
      <w:r>
        <w:rPr>
          <w:sz w:val="20"/>
        </w:rPr>
        <w:t xml:space="preserve"> “</w:t>
      </w:r>
      <w:r>
        <w:rPr>
          <w:b/>
          <w:i/>
          <w:sz w:val="20"/>
          <w:u w:val="single"/>
        </w:rPr>
        <w:t>Floating Rate</w:t>
      </w:r>
      <w:r>
        <w:rPr>
          <w:sz w:val="20"/>
        </w:rPr>
        <w:t>” means, for a Reset Date, USD-LIBOR-BBA, with a Designated Maturity of 1 month, .  The Floating Rate until the first Reset Date (exclusive of the spread) shall be [    ]%.</w:t>
      </w:r>
    </w:p>
    <w:p>
      <w:pPr>
        <w:pStyle w:val="Body"/>
        <w:ind w:start="1440" w:end="0"/>
        <w:jc w:val="both"/>
        <w:rPr/>
      </w:pPr>
      <w:r>
        <w:rPr>
          <w:sz w:val="20"/>
        </w:rPr>
        <w:t>“</w:t>
      </w:r>
      <w:r>
        <w:rPr>
          <w:b/>
          <w:i/>
          <w:sz w:val="20"/>
          <w:u w:val="single"/>
        </w:rPr>
        <w:t>Reset Date</w:t>
      </w:r>
      <w:r>
        <w:rPr>
          <w:sz w:val="20"/>
        </w:rPr>
        <w:t>” means [     ], or if such day is not a London Banking Day, the next following London Banking Day.</w:t>
      </w:r>
    </w:p>
    <w:p>
      <w:pPr>
        <w:pStyle w:val="Body"/>
        <w:ind w:start="720" w:end="0"/>
        <w:jc w:val="both"/>
        <w:rPr/>
      </w:pPr>
      <w:r>
        <w:rPr>
          <w:sz w:val="20"/>
        </w:rPr>
        <w:t xml:space="preserve"> “</w:t>
      </w:r>
      <w:r>
        <w:rPr>
          <w:b/>
          <w:i/>
          <w:sz w:val="20"/>
          <w:u w:val="single"/>
        </w:rPr>
        <w:t>Settlement Amount</w:t>
      </w:r>
      <w:r>
        <w:rPr>
          <w:sz w:val="20"/>
        </w:rPr>
        <w:t xml:space="preserve">” means, for a Settlement Event, an amount in U.S. dollars equal to the Forward Price for the  Settlement/Settlement Commencement Date </w:t>
      </w:r>
      <w:r>
        <w:rPr>
          <w:sz w:val="20"/>
          <w:u w:val="single"/>
        </w:rPr>
        <w:t>multiplied</w:t>
      </w:r>
      <w:r>
        <w:rPr>
          <w:sz w:val="20"/>
        </w:rPr>
        <w:t xml:space="preserve"> </w:t>
      </w:r>
      <w:r>
        <w:rPr>
          <w:sz w:val="20"/>
          <w:u w:val="single"/>
        </w:rPr>
        <w:t>by</w:t>
      </w:r>
      <w:r>
        <w:rPr>
          <w:sz w:val="20"/>
        </w:rPr>
        <w:t xml:space="preserve"> the Settlement Shares for such Settlement Event.</w:t>
      </w:r>
    </w:p>
    <w:p>
      <w:pPr>
        <w:pStyle w:val="Body"/>
        <w:ind w:start="720" w:end="0"/>
        <w:jc w:val="both"/>
        <w:rPr/>
      </w:pPr>
      <w:r>
        <w:rPr>
          <w:sz w:val="20"/>
        </w:rPr>
        <w:t>“</w:t>
      </w:r>
      <w:r>
        <w:rPr>
          <w:b/>
          <w:i/>
          <w:sz w:val="20"/>
          <w:u w:val="single"/>
        </w:rPr>
        <w:t>Settlement Price</w:t>
      </w:r>
      <w:r>
        <w:rPr>
          <w:sz w:val="20"/>
        </w:rPr>
        <w:t>” means, for any Stock Settlement Date, the weighted average price, net of transaction costs, at which ML sells Common Shares on the Exchange (or, to the extent the Company is unable to effect the listing of any Common Shares delivered by it on the Exchange, a price determined by ML in a commercially reasonable manner) on the  Stock Settlement Pricing Date (i) in the case of Stock Settlement, with a value equal to the Daily Settlement Amount for such Stock Settlement Date or (ii) in the case of Cash Settlement, of a number equal to the Daily Settlement Shares for such Stock Settlement Date.</w:t>
      </w:r>
    </w:p>
    <w:p>
      <w:pPr>
        <w:pStyle w:val="Body"/>
        <w:ind w:start="720" w:end="0"/>
        <w:jc w:val="both"/>
        <w:rPr/>
      </w:pPr>
      <w:r>
        <w:rPr>
          <w:sz w:val="20"/>
        </w:rPr>
        <w:t>“</w:t>
      </w:r>
      <w:r>
        <w:rPr>
          <w:b/>
          <w:i/>
          <w:sz w:val="20"/>
          <w:u w:val="single"/>
        </w:rPr>
        <w:t>Settlement/Settlement Commencement Date</w:t>
      </w:r>
      <w:r>
        <w:rPr>
          <w:sz w:val="20"/>
        </w:rPr>
        <w:t>” means the Physical Settlement Date or the Stock Settlement Commencement Date for the Settlement Event.</w:t>
      </w:r>
    </w:p>
    <w:p>
      <w:pPr>
        <w:pStyle w:val="Body"/>
        <w:ind w:start="720" w:end="0"/>
        <w:jc w:val="both"/>
        <w:rPr/>
      </w:pPr>
      <w:r>
        <w:rPr>
          <w:sz w:val="20"/>
        </w:rPr>
        <w:t>“</w:t>
      </w:r>
      <w:r>
        <w:rPr>
          <w:b/>
          <w:i/>
          <w:sz w:val="20"/>
          <w:u w:val="single"/>
        </w:rPr>
        <w:t>Stock Settlement Accretion Fee</w:t>
      </w:r>
      <w:r>
        <w:rPr>
          <w:sz w:val="20"/>
        </w:rPr>
        <w:t xml:space="preserve">” means, for a Settlement Event that is not settled by Physical Settlement, the Settlement Amount for such Settlement Event </w:t>
      </w:r>
      <w:r>
        <w:rPr>
          <w:sz w:val="20"/>
          <w:u w:val="single"/>
        </w:rPr>
        <w:t>multiplied</w:t>
      </w:r>
      <w:r>
        <w:rPr>
          <w:sz w:val="20"/>
        </w:rPr>
        <w:t xml:space="preserve"> </w:t>
      </w:r>
      <w:r>
        <w:rPr>
          <w:sz w:val="20"/>
          <w:u w:val="single"/>
        </w:rPr>
        <w:t>by</w:t>
      </w:r>
      <w:r>
        <w:rPr>
          <w:sz w:val="20"/>
        </w:rPr>
        <w:t xml:space="preserve"> the Floating Rate determined as of the related Stock Settlement Commencement Date with a Designated Maturity of 1 month (plus [60</w:t>
      </w:r>
      <w:r>
        <w:rPr>
          <w:color w:val="0000FF"/>
          <w:sz w:val="20"/>
        </w:rPr>
        <w:t>%</w:t>
      </w:r>
      <w:r>
        <w:rPr>
          <w:sz w:val="20"/>
        </w:rPr>
        <w:t xml:space="preserve"> per annum) </w:t>
      </w:r>
      <w:r>
        <w:rPr>
          <w:sz w:val="20"/>
          <w:u w:val="single"/>
        </w:rPr>
        <w:t>multiplied</w:t>
      </w:r>
      <w:r>
        <w:rPr>
          <w:sz w:val="20"/>
        </w:rPr>
        <w:t xml:space="preserve"> </w:t>
      </w:r>
      <w:r>
        <w:rPr>
          <w:sz w:val="20"/>
          <w:u w:val="single"/>
        </w:rPr>
        <w:t>by</w:t>
      </w:r>
      <w:r>
        <w:rPr>
          <w:sz w:val="20"/>
        </w:rPr>
        <w:t xml:space="preserve"> the number of calendar days in the related Stock Settlement Period </w:t>
      </w:r>
      <w:r>
        <w:rPr>
          <w:sz w:val="20"/>
          <w:u w:val="single"/>
        </w:rPr>
        <w:t>divided</w:t>
      </w:r>
      <w:r>
        <w:rPr>
          <w:sz w:val="20"/>
        </w:rPr>
        <w:t xml:space="preserve"> </w:t>
      </w:r>
      <w:r>
        <w:rPr>
          <w:sz w:val="20"/>
          <w:u w:val="single"/>
        </w:rPr>
        <w:t>by</w:t>
      </w:r>
      <w:r>
        <w:rPr>
          <w:sz w:val="20"/>
        </w:rPr>
        <w:t xml:space="preserve"> 360 [</w:t>
      </w:r>
      <w:r>
        <w:rPr>
          <w:sz w:val="20"/>
          <w:u w:val="single"/>
        </w:rPr>
        <w:t>divided</w:t>
      </w:r>
      <w:r>
        <w:rPr>
          <w:sz w:val="20"/>
        </w:rPr>
        <w:t xml:space="preserve"> </w:t>
      </w:r>
      <w:r>
        <w:rPr>
          <w:sz w:val="20"/>
          <w:u w:val="single"/>
        </w:rPr>
        <w:t>by</w:t>
      </w:r>
      <w:r>
        <w:rPr>
          <w:sz w:val="20"/>
        </w:rPr>
        <w:t xml:space="preserve"> two?}*****</w:t>
      </w:r>
    </w:p>
    <w:p>
      <w:pPr>
        <w:pStyle w:val="Body"/>
        <w:spacing w:before="0" w:after="0"/>
        <w:ind w:start="720" w:end="0"/>
        <w:jc w:val="both"/>
        <w:rPr/>
      </w:pPr>
      <w:r>
        <w:rPr>
          <w:sz w:val="20"/>
        </w:rPr>
        <w:t>“</w:t>
      </w:r>
      <w:r>
        <w:rPr>
          <w:b/>
          <w:i/>
          <w:sz w:val="20"/>
          <w:u w:val="single"/>
        </w:rPr>
        <w:t>Stock Settlement Date</w:t>
      </w:r>
      <w:r>
        <w:rPr>
          <w:sz w:val="20"/>
        </w:rPr>
        <w:t>” means, for a Stock Settlement Period, the third Exchange Business Day following each Stock Settlement Pricing Date in the Stock Settlement Period.</w:t>
      </w:r>
    </w:p>
    <w:p>
      <w:pPr>
        <w:pStyle w:val="Body"/>
        <w:spacing w:before="240" w:after="240"/>
        <w:ind w:start="720" w:end="0"/>
        <w:jc w:val="both"/>
        <w:rPr/>
      </w:pPr>
      <w:r>
        <w:rPr>
          <w:sz w:val="20"/>
        </w:rPr>
        <w:t>“</w:t>
      </w:r>
      <w:r>
        <w:rPr>
          <w:b/>
          <w:i/>
          <w:sz w:val="20"/>
          <w:u w:val="single"/>
        </w:rPr>
        <w:t>Stock Settlement Pricing Date</w:t>
      </w:r>
      <w:r>
        <w:rPr>
          <w:sz w:val="20"/>
        </w:rPr>
        <w:t>” means, for a Stock Settlement Period and subject to paragraph II.2.d. (“</w:t>
      </w:r>
      <w:r>
        <w:rPr>
          <w:b/>
          <w:sz w:val="20"/>
        </w:rPr>
        <w:t>Suspension of Stock Settlement Period</w:t>
      </w:r>
      <w:r>
        <w:rPr>
          <w:sz w:val="20"/>
        </w:rPr>
        <w:t>”) above and paragraph IV.1. (“</w:t>
      </w:r>
      <w:r>
        <w:rPr>
          <w:b/>
          <w:sz w:val="20"/>
        </w:rPr>
        <w:t>Market Disruption Events</w:t>
      </w:r>
      <w:r>
        <w:rPr>
          <w:sz w:val="20"/>
        </w:rPr>
        <w:t>”) below, each Exchange Business Day in such Stock Settlement Period.</w:t>
      </w:r>
    </w:p>
    <w:p>
      <w:pPr>
        <w:pStyle w:val="Body"/>
        <w:keepNext w:val="true"/>
        <w:jc w:val="both"/>
        <w:rPr/>
      </w:pPr>
      <w:r>
        <w:rPr>
          <w:b/>
          <w:sz w:val="20"/>
        </w:rPr>
        <w:t>III.</w:t>
        <w:tab/>
      </w:r>
      <w:r>
        <w:rPr>
          <w:b/>
          <w:sz w:val="20"/>
          <w:u w:val="single"/>
        </w:rPr>
        <w:t>Settlement Events and Related Matters</w:t>
      </w:r>
      <w:r>
        <w:rPr>
          <w:sz w:val="20"/>
        </w:rPr>
        <w:t>:</w:t>
      </w:r>
    </w:p>
    <w:p>
      <w:pPr>
        <w:pStyle w:val="Body"/>
        <w:keepNext w:val="true"/>
        <w:jc w:val="both"/>
        <w:rPr>
          <w:b/>
          <w:sz w:val="20"/>
        </w:rPr>
      </w:pPr>
      <w:r>
        <w:rPr>
          <w:sz w:val="20"/>
        </w:rPr>
        <w:t>A “</w:t>
      </w:r>
      <w:r>
        <w:rPr>
          <w:b/>
          <w:i/>
          <w:sz w:val="20"/>
          <w:u w:val="single"/>
        </w:rPr>
        <w:t>Settlement Event</w:t>
      </w:r>
      <w:r>
        <w:rPr>
          <w:sz w:val="20"/>
        </w:rPr>
        <w:t>” shall occur  as provided in “</w:t>
      </w:r>
      <w:r>
        <w:rPr>
          <w:b/>
          <w:sz w:val="20"/>
          <w:u w:val="single"/>
        </w:rPr>
        <w:t>Maturity Settlement</w:t>
      </w:r>
      <w:r>
        <w:rPr>
          <w:sz w:val="20"/>
        </w:rPr>
        <w:t>” below.  For the Settlement Event, the Company shall have the right to determine the Settlement Method as provided in and subject to the terms and conditions set forth in paragraph II hereof.  The number of “</w:t>
      </w:r>
      <w:r>
        <w:rPr>
          <w:b/>
          <w:i/>
          <w:sz w:val="20"/>
          <w:u w:val="single"/>
        </w:rPr>
        <w:t>Settlement Shares</w:t>
      </w:r>
      <w:r>
        <w:rPr>
          <w:sz w:val="20"/>
        </w:rPr>
        <w:t>”, the “</w:t>
      </w:r>
      <w:r>
        <w:rPr>
          <w:b/>
          <w:i/>
          <w:sz w:val="20"/>
          <w:u w:val="single"/>
        </w:rPr>
        <w:t>Physical Settlement Date</w:t>
      </w:r>
      <w:r>
        <w:rPr>
          <w:sz w:val="20"/>
        </w:rPr>
        <w:t>” (in the case of Physical Settlement) or the “</w:t>
      </w:r>
      <w:r>
        <w:rPr>
          <w:b/>
          <w:i/>
          <w:sz w:val="20"/>
          <w:u w:val="single"/>
        </w:rPr>
        <w:t>Stock Settlement Commencement Date</w:t>
      </w:r>
      <w:r>
        <w:rPr>
          <w:sz w:val="20"/>
        </w:rPr>
        <w:t>” and “</w:t>
      </w:r>
      <w:r>
        <w:rPr>
          <w:b/>
          <w:i/>
          <w:sz w:val="20"/>
          <w:u w:val="single"/>
        </w:rPr>
        <w:t>Stock Settlement Period</w:t>
      </w:r>
      <w:r>
        <w:rPr>
          <w:sz w:val="20"/>
        </w:rPr>
        <w:t>” (in the case of Stock Settlement) shall be determined as provided in the relevant provision.</w:t>
      </w:r>
    </w:p>
    <w:p>
      <w:pPr>
        <w:pStyle w:val="Body"/>
        <w:ind w:firstLine="720" w:end="0"/>
        <w:jc w:val="both"/>
        <w:rPr>
          <w:b/>
          <w:sz w:val="20"/>
        </w:rPr>
      </w:pPr>
      <w:r>
        <w:rPr>
          <w:b/>
          <w:sz w:val="20"/>
        </w:rPr>
      </w:r>
    </w:p>
    <w:p>
      <w:pPr>
        <w:pStyle w:val="Body"/>
        <w:keepNext w:val="true"/>
        <w:jc w:val="both"/>
        <w:rPr/>
      </w:pPr>
      <w:r>
        <w:rPr>
          <w:sz w:val="20"/>
        </w:rPr>
        <w:tab/>
      </w:r>
      <w:r>
        <w:rPr>
          <w:b/>
          <w:sz w:val="20"/>
          <w:u w:val="single"/>
        </w:rPr>
        <w:t>Maturity Settlement</w:t>
      </w:r>
      <w:r>
        <w:rPr>
          <w:sz w:val="20"/>
        </w:rPr>
        <w:t>.</w:t>
      </w:r>
    </w:p>
    <w:p>
      <w:pPr>
        <w:pStyle w:val="Body"/>
        <w:ind w:start="720" w:end="0"/>
        <w:jc w:val="both"/>
        <w:rPr/>
      </w:pPr>
      <w:r>
        <w:rPr>
          <w:sz w:val="20"/>
        </w:rPr>
        <w:t>On the Maturity Date a settlement shall occur with the  Underlying Shares being deemed the “</w:t>
      </w:r>
      <w:r>
        <w:rPr>
          <w:b/>
          <w:i/>
          <w:sz w:val="20"/>
          <w:u w:val="single"/>
        </w:rPr>
        <w:t>Settlement Shares</w:t>
      </w:r>
      <w:r>
        <w:rPr>
          <w:sz w:val="20"/>
        </w:rPr>
        <w:t>.” The Company shall, as provided in and subject to the terms and conditions set forth in paragraph II hereof, determine the Settlement Method to be used and shall notify ML of such determination.  Unless the parties otherwise agree, the “</w:t>
      </w:r>
      <w:r>
        <w:rPr>
          <w:b/>
          <w:i/>
          <w:sz w:val="20"/>
          <w:u w:val="single"/>
        </w:rPr>
        <w:t>Physical Settlement Date</w:t>
      </w:r>
      <w:r>
        <w:rPr>
          <w:sz w:val="20"/>
        </w:rPr>
        <w:t>” or the “</w:t>
      </w:r>
      <w:r>
        <w:rPr>
          <w:b/>
          <w:i/>
          <w:sz w:val="20"/>
          <w:u w:val="single"/>
        </w:rPr>
        <w:t>Stock Settlement Commencement Date</w:t>
      </w:r>
      <w:r>
        <w:rPr>
          <w:sz w:val="20"/>
        </w:rPr>
        <w:t>,” as the case may be, shall be the Maturity Date.  If Stock Settlement is applicable to such settlement, the “</w:t>
      </w:r>
      <w:r>
        <w:rPr>
          <w:b/>
          <w:i/>
          <w:sz w:val="20"/>
          <w:u w:val="single"/>
        </w:rPr>
        <w:t>Stock Settlement Period</w:t>
      </w:r>
      <w:r>
        <w:rPr>
          <w:sz w:val="20"/>
        </w:rPr>
        <w:t>” shall be the 10 Exchange Business Day period beginning on the applicable Stock Settlement Commencement Date, except as otherwise agreed by the parties prior to the applicable Stock Settlement Commencement Date.</w:t>
      </w:r>
    </w:p>
    <w:p>
      <w:pPr>
        <w:pStyle w:val="Body"/>
        <w:keepNext w:val="true"/>
        <w:rPr>
          <w:sz w:val="20"/>
        </w:rPr>
      </w:pPr>
      <w:r>
        <w:rPr>
          <w:b/>
          <w:sz w:val="20"/>
        </w:rPr>
        <w:t>IV.</w:t>
        <w:tab/>
      </w:r>
      <w:r>
        <w:rPr>
          <w:b/>
          <w:sz w:val="20"/>
          <w:u w:val="single"/>
        </w:rPr>
        <w:t>Market Disruptions, Adjustments and Merger Events</w:t>
      </w:r>
      <w:r>
        <w:rPr>
          <w:b/>
          <w:sz w:val="20"/>
        </w:rPr>
        <w:t>:</w:t>
      </w:r>
    </w:p>
    <w:p>
      <w:pPr>
        <w:pStyle w:val="Body"/>
        <w:keepNext w:val="true"/>
        <w:jc w:val="both"/>
        <w:rPr/>
      </w:pPr>
      <w:r>
        <w:rPr>
          <w:b/>
          <w:sz w:val="20"/>
          <w:u w:val="single"/>
        </w:rPr>
        <w:t>Market Disruption Events</w:t>
      </w:r>
      <w:r>
        <w:rPr>
          <w:sz w:val="20"/>
        </w:rPr>
        <w:t>.</w:t>
      </w:r>
    </w:p>
    <w:p>
      <w:pPr>
        <w:pStyle w:val="Body"/>
        <w:ind w:start="720" w:end="0"/>
        <w:jc w:val="both"/>
        <w:rPr>
          <w:sz w:val="20"/>
        </w:rPr>
      </w:pPr>
      <w:r>
        <w:rPr>
          <w:sz w:val="20"/>
        </w:rPr>
        <w:t>As promptly as practicable after the occurrence of a Market Disruption Event, the Calculation Agent shall adjust any term of this Transaction relating to a Stock Settlement Period or other Exchange Business Day or otherwise to the extent appropriate to effectuate the fundamental economic terms of this Transaction and shall notify Company of any such adjustment.</w:t>
      </w:r>
    </w:p>
    <w:p>
      <w:pPr>
        <w:pStyle w:val="Body"/>
        <w:keepNext w:val="true"/>
        <w:ind w:start="1440" w:end="0"/>
        <w:jc w:val="both"/>
        <w:rPr>
          <w:sz w:val="20"/>
        </w:rPr>
      </w:pPr>
      <w:r>
        <w:rPr>
          <w:sz w:val="20"/>
        </w:rPr>
        <w:t>WHERE:</w:t>
      </w:r>
    </w:p>
    <w:p>
      <w:pPr>
        <w:pStyle w:val="Body"/>
        <w:keepNext w:val="true"/>
        <w:ind w:start="1440" w:end="0"/>
        <w:jc w:val="both"/>
        <w:rPr/>
      </w:pPr>
      <w:r>
        <w:rPr>
          <w:sz w:val="20"/>
        </w:rPr>
        <w:t>“</w:t>
      </w:r>
      <w:r>
        <w:rPr>
          <w:b/>
          <w:i/>
          <w:sz w:val="20"/>
          <w:u w:val="single"/>
        </w:rPr>
        <w:t>Market Disruption Event</w:t>
      </w:r>
      <w:r>
        <w:rPr>
          <w:sz w:val="20"/>
        </w:rPr>
        <w:t>” means the occurrence or existence on any Exchange Business Day of any suspension of or material limitation imposed on trading (by reason of movements in price exceeding limits permitted by the Exchange or otherwise) in the Common Shares on the Exchange if that suspension or limitation is, in the determination of the Calculation Agent, material.</w:t>
      </w:r>
    </w:p>
    <w:p>
      <w:pPr>
        <w:pStyle w:val="Body"/>
        <w:keepNext w:val="true"/>
        <w:jc w:val="both"/>
        <w:rPr/>
      </w:pPr>
      <w:r>
        <w:rPr>
          <w:sz w:val="20"/>
        </w:rPr>
        <w:t>2.</w:t>
        <w:tab/>
      </w:r>
      <w:r>
        <w:rPr>
          <w:b/>
          <w:sz w:val="20"/>
          <w:u w:val="single"/>
        </w:rPr>
        <w:t>Adjustments</w:t>
      </w:r>
      <w:r>
        <w:rPr>
          <w:sz w:val="20"/>
        </w:rPr>
        <w:t>.</w:t>
      </w:r>
    </w:p>
    <w:tbl>
      <w:tblPr>
        <w:tblW w:w="8622" w:type="dxa"/>
        <w:jc w:val="start"/>
        <w:tblInd w:w="738" w:type="dxa"/>
        <w:tblLayout w:type="fixed"/>
        <w:tblCellMar>
          <w:top w:w="0" w:type="dxa"/>
          <w:start w:w="108" w:type="dxa"/>
          <w:bottom w:w="0" w:type="dxa"/>
          <w:end w:w="108" w:type="dxa"/>
        </w:tblCellMar>
      </w:tblPr>
      <w:tblGrid>
        <w:gridCol w:w="3913"/>
        <w:gridCol w:w="4709"/>
      </w:tblGrid>
      <w:tr>
        <w:trPr/>
        <w:tc>
          <w:tcPr>
            <w:tcW w:w="3913" w:type="dxa"/>
            <w:tcBorders/>
          </w:tcPr>
          <w:p>
            <w:pPr>
              <w:pStyle w:val="Body"/>
              <w:spacing w:before="0" w:after="240"/>
              <w:jc w:val="both"/>
              <w:rPr>
                <w:sz w:val="20"/>
              </w:rPr>
            </w:pPr>
            <w:r>
              <w:rPr>
                <w:sz w:val="20"/>
              </w:rPr>
              <w:t>Method of Adjustment:</w:t>
            </w:r>
          </w:p>
        </w:tc>
        <w:tc>
          <w:tcPr>
            <w:tcW w:w="4709" w:type="dxa"/>
            <w:tcBorders/>
          </w:tcPr>
          <w:p>
            <w:pPr>
              <w:pStyle w:val="Body"/>
              <w:spacing w:before="0" w:after="240"/>
              <w:jc w:val="both"/>
              <w:rPr>
                <w:sz w:val="20"/>
              </w:rPr>
            </w:pPr>
            <w:r>
              <w:rPr>
                <w:sz w:val="20"/>
              </w:rPr>
              <w:t>Calculation Agent Adjustment.</w:t>
            </w:r>
          </w:p>
        </w:tc>
      </w:tr>
    </w:tbl>
    <w:p>
      <w:pPr>
        <w:pStyle w:val="Body"/>
        <w:keepNext w:val="true"/>
        <w:jc w:val="both"/>
        <w:rPr/>
      </w:pPr>
      <w:r>
        <w:rPr>
          <w:sz w:val="20"/>
        </w:rPr>
        <w:t>3.</w:t>
        <w:tab/>
      </w:r>
      <w:r>
        <w:rPr>
          <w:b/>
          <w:sz w:val="20"/>
          <w:u w:val="single"/>
        </w:rPr>
        <w:t>Consequences of Merger Events</w:t>
      </w:r>
      <w:r>
        <w:rPr>
          <w:sz w:val="20"/>
        </w:rPr>
        <w:t>.</w:t>
      </w:r>
    </w:p>
    <w:p>
      <w:pPr>
        <w:pStyle w:val="Normal"/>
        <w:tabs>
          <w:tab w:val="left" w:pos="720" w:leader="none"/>
          <w:tab w:val="left" w:pos="1980" w:leader="none"/>
          <w:tab w:val="left" w:pos="2880" w:leader="none"/>
        </w:tabs>
        <w:ind w:hanging="2160" w:start="2880" w:end="0"/>
        <w:jc w:val="both"/>
        <w:rPr>
          <w:b/>
        </w:rPr>
      </w:pPr>
      <w:r>
        <w:rPr/>
        <w:t>(a) Share-for-Share:</w:t>
        <w:tab/>
        <w:t xml:space="preserve">Cancellation and Payment; </w:t>
      </w:r>
      <w:r>
        <w:rPr>
          <w:i/>
        </w:rPr>
        <w:t>provided however,</w:t>
      </w:r>
      <w:r>
        <w:rPr/>
        <w:t xml:space="preserve"> if the New Shares are publicly traded on a nationally recognized exchange or on NASDAQ, Alternative Obligation shall apply.</w:t>
      </w:r>
    </w:p>
    <w:p>
      <w:pPr>
        <w:pStyle w:val="BodyText2"/>
        <w:ind w:hanging="2160" w:end="0"/>
        <w:rPr/>
      </w:pPr>
      <w:r>
        <w:rPr/>
        <w:tab/>
      </w:r>
    </w:p>
    <w:p>
      <w:pPr>
        <w:pStyle w:val="BodyText2"/>
        <w:tabs>
          <w:tab w:val="left" w:pos="720" w:leader="none"/>
          <w:tab w:val="left" w:pos="1980" w:leader="none"/>
          <w:tab w:val="left" w:pos="2880" w:leader="none"/>
          <w:tab w:val="left" w:pos="3600" w:leader="none"/>
        </w:tabs>
        <w:ind w:hanging="2160" w:end="0"/>
        <w:rPr/>
      </w:pPr>
      <w:r>
        <w:rPr/>
        <w:tab/>
        <w:tab/>
      </w:r>
      <w:r>
        <w:rPr>
          <w:b w:val="false"/>
        </w:rPr>
        <w:t>(b) Share-for-Other:</w:t>
        <w:tab/>
        <w:t>Cancellation and Payment.</w:t>
      </w:r>
    </w:p>
    <w:p>
      <w:pPr>
        <w:pStyle w:val="BodyText2"/>
        <w:ind w:hanging="2160" w:end="0"/>
        <w:rPr>
          <w:b w:val="false"/>
        </w:rPr>
      </w:pPr>
      <w:r>
        <w:rPr>
          <w:b w:val="false"/>
        </w:rPr>
      </w:r>
    </w:p>
    <w:p>
      <w:pPr>
        <w:pStyle w:val="Normal"/>
        <w:tabs>
          <w:tab w:val="clear" w:pos="720"/>
          <w:tab w:val="left" w:pos="-1440" w:leader="none"/>
          <w:tab w:val="left" w:pos="-720" w:leader="none"/>
          <w:tab w:val="left" w:pos="2880" w:leader="none"/>
          <w:tab w:val="left" w:pos="2970" w:leader="none"/>
        </w:tabs>
        <w:suppressAutoHyphens w:val="true"/>
        <w:spacing w:before="0" w:after="240"/>
        <w:ind w:hanging="2160" w:start="2880" w:end="0"/>
        <w:rPr/>
      </w:pPr>
      <w:r>
        <w:rPr/>
        <w:t>(c) Share-for-Combined:</w:t>
        <w:tab/>
        <w:t xml:space="preserve">Cancellation and Payment; </w:t>
      </w:r>
      <w:r>
        <w:rPr>
          <w:i/>
        </w:rPr>
        <w:t>provided however,</w:t>
      </w:r>
      <w:r>
        <w:rPr/>
        <w:t xml:space="preserve"> if any portion of the consideration for the relevant shares consists of equity securities that are publicly traded on a nationally recognized exchange or on NASDAQ (the “Publicly Traded Securities Consideration”), Alternative Obligation shall apply only to that portion of the Transaction corresponding to the Publicly Traded Securities Consideration</w:t>
      </w:r>
    </w:p>
    <w:p>
      <w:pPr>
        <w:pStyle w:val="Normal"/>
        <w:tabs>
          <w:tab w:val="clear" w:pos="720"/>
          <w:tab w:val="left" w:pos="-1440" w:leader="none"/>
          <w:tab w:val="left" w:pos="-720" w:leader="none"/>
        </w:tabs>
        <w:suppressAutoHyphens w:val="true"/>
        <w:spacing w:before="0" w:after="240"/>
        <w:ind w:firstLine="720" w:end="0"/>
        <w:rPr/>
      </w:pPr>
      <w:r>
        <w:rPr/>
        <w:t xml:space="preserve">in each case as if the Transaction were a “Share Swap Transaction,” and the references in </w:t>
        <w:tab/>
        <w:t>Section 9.3 of the Equity Definitions to “Number of Shares” referred to Underlying Shares.</w:t>
      </w:r>
    </w:p>
    <w:p>
      <w:pPr>
        <w:pStyle w:val="Normal"/>
        <w:tabs>
          <w:tab w:val="clear" w:pos="720"/>
          <w:tab w:val="left" w:pos="-1440" w:leader="none"/>
          <w:tab w:val="left" w:pos="-720" w:leader="none"/>
        </w:tabs>
        <w:suppressAutoHyphens w:val="true"/>
        <w:spacing w:before="0" w:after="240"/>
        <w:rPr/>
      </w:pPr>
      <w:r>
        <w:rPr>
          <w:b/>
        </w:rPr>
        <w:t>V.</w:t>
        <w:tab/>
      </w:r>
      <w:r>
        <w:rPr>
          <w:b/>
          <w:u w:val="single"/>
        </w:rPr>
        <w:t>Matters Relating to Agent</w:t>
      </w:r>
      <w:r>
        <w:rPr>
          <w:b/>
        </w:rPr>
        <w:t>:</w:t>
      </w:r>
    </w:p>
    <w:p>
      <w:pPr>
        <w:pStyle w:val="Normal"/>
        <w:tabs>
          <w:tab w:val="clear" w:pos="720"/>
          <w:tab w:val="left" w:pos="-1440" w:leader="none"/>
          <w:tab w:val="left" w:pos="-720" w:leader="none"/>
        </w:tabs>
        <w:suppressAutoHyphens w:val="true"/>
        <w:spacing w:before="0" w:after="240"/>
        <w:ind w:hanging="720" w:start="720" w:end="0"/>
        <w:jc w:val="both"/>
        <w:rPr/>
      </w:pPr>
      <w:r>
        <w:rPr/>
        <w:t>1.</w:t>
        <w:tab/>
        <w:t>In connection with the Transaction confirmed hereby, the Agent, a broker-dealer registered under the Exchange Act, will be responsible for: (a) effecting the Transaction (though the Agent shall not be responsible for negotiating the terms of the Transaction), (b) issuing all required confirmations and statements to Company relating to the Transaction, (c) as between ML and the Agent, extending or arranging for the extension of any credit to Company in connection with the Transaction, (d) maintaining required books and records relating to the Transaction, (e) complying, to the extent applicable, with Rule 15c3-1 under the Exchange Act, and (f) unless otherwise permitted under applicable law or applicable interpretations thereof, receiving, delivering and safeguarding funds and securities in compliance with Rule 15c3-3 under the Exchange Act.</w:t>
      </w:r>
    </w:p>
    <w:p>
      <w:pPr>
        <w:pStyle w:val="Normal"/>
        <w:tabs>
          <w:tab w:val="clear" w:pos="720"/>
          <w:tab w:val="left" w:pos="-1440" w:leader="none"/>
          <w:tab w:val="left" w:pos="-720" w:leader="none"/>
        </w:tabs>
        <w:suppressAutoHyphens w:val="true"/>
        <w:spacing w:before="0" w:after="240"/>
        <w:ind w:hanging="720" w:start="720" w:end="0"/>
        <w:jc w:val="both"/>
        <w:rPr/>
      </w:pPr>
      <w:r>
        <w:rPr/>
        <w:t>2.</w:t>
        <w:tab/>
        <w:t>The Agent is acting hereunder solely in its capacity as agent (and not as principal or guarantor) in connection with the Transaction entered into between Company and ML, pursuant to instructions received from Company and ML, and shall have no responsibility or liability to Company or ML arising from any failure by either of them to pay or perform any obligation hereunder.  Each of Company and ML acknowledges the foregoing and agrees that it will proceed solely against the other to collect or recover any funds or securities owing to it in connection with or arising from the Transaction.  The Agent shall not be deemed to have endorsed or guaranteed the Transaction confirmed hereby and shall have no responsibility or liability to either Company or ML except for gross negligence or willful misconduct in the performance of its duties as agent.</w:t>
      </w:r>
    </w:p>
    <w:p>
      <w:pPr>
        <w:pStyle w:val="Normal"/>
        <w:tabs>
          <w:tab w:val="clear" w:pos="720"/>
          <w:tab w:val="left" w:pos="-1440" w:leader="none"/>
          <w:tab w:val="left" w:pos="-720" w:leader="none"/>
        </w:tabs>
        <w:suppressAutoHyphens w:val="true"/>
        <w:spacing w:before="0" w:after="240"/>
        <w:ind w:hanging="720" w:start="720" w:end="0"/>
        <w:jc w:val="both"/>
        <w:rPr/>
      </w:pPr>
      <w:r>
        <w:rPr/>
        <w:t>3.</w:t>
        <w:tab/>
        <w:t>Notwithstanding anything to the contrary that may be contained herein, all notices, communications, demands or deliveries of funds or securities hereunder between Company and ML shall be effected through the Agent at the address and to the accounts set forth below:</w:t>
      </w:r>
    </w:p>
    <w:p>
      <w:pPr>
        <w:pStyle w:val="Normal"/>
        <w:tabs>
          <w:tab w:val="clear" w:pos="720"/>
          <w:tab w:val="left" w:pos="-1440" w:leader="none"/>
          <w:tab w:val="left" w:pos="-720" w:leader="none"/>
        </w:tabs>
        <w:suppressAutoHyphens w:val="true"/>
        <w:rPr/>
      </w:pPr>
      <w:r>
        <w:rPr/>
        <w:tab/>
        <w:tab/>
        <w:t>Merrill Lynch, Pierce, Fenner &amp; Smith Incorporated</w:t>
      </w:r>
    </w:p>
    <w:p>
      <w:pPr>
        <w:pStyle w:val="Normal"/>
        <w:tabs>
          <w:tab w:val="clear" w:pos="720"/>
          <w:tab w:val="left" w:pos="-1440" w:leader="none"/>
          <w:tab w:val="left" w:pos="-720" w:leader="none"/>
        </w:tabs>
        <w:suppressAutoHyphens w:val="true"/>
        <w:spacing w:before="0" w:after="240"/>
        <w:rPr/>
      </w:pPr>
      <w:r>
        <w:rPr/>
        <w:tab/>
        <w:tab/>
        <w:tab/>
        <w:t>as Agent</w:t>
      </w:r>
    </w:p>
    <w:p>
      <w:pPr>
        <w:pStyle w:val="Normal"/>
        <w:tabs>
          <w:tab w:val="clear" w:pos="720"/>
          <w:tab w:val="left" w:pos="-1440" w:leader="none"/>
          <w:tab w:val="left" w:pos="-720" w:leader="none"/>
        </w:tabs>
        <w:suppressAutoHyphens w:val="true"/>
        <w:spacing w:before="0" w:after="240"/>
        <w:rPr/>
      </w:pPr>
      <w:r>
        <w:rPr/>
        <w:tab/>
        <w:tab/>
        <w:t>World Financial Center</w:t>
        <w:br/>
        <w:tab/>
        <w:tab/>
        <w:t>North Tower</w:t>
        <w:br/>
        <w:tab/>
        <w:tab/>
        <w:t>New York, NY 10281-1305</w:t>
        <w:br/>
        <w:tab/>
        <w:tab/>
        <w:t>Attention: Corporate Clients Strategy Group</w:t>
        <w:br/>
        <w:tab/>
        <w:tab/>
        <w:t>tel: (212) 449-6763</w:t>
        <w:br/>
        <w:tab/>
        <w:tab/>
        <w:t>fax: (212) 449-7909</w:t>
      </w:r>
    </w:p>
    <w:p>
      <w:pPr>
        <w:pStyle w:val="Normal"/>
        <w:tabs>
          <w:tab w:val="clear" w:pos="720"/>
          <w:tab w:val="left" w:pos="-1440" w:leader="none"/>
          <w:tab w:val="left" w:pos="-720" w:leader="none"/>
        </w:tabs>
        <w:suppressAutoHyphens w:val="true"/>
        <w:spacing w:before="0" w:after="240"/>
        <w:rPr/>
      </w:pPr>
      <w:r>
        <w:rPr>
          <w:b/>
        </w:rPr>
        <w:t>VI.</w:t>
        <w:tab/>
      </w:r>
      <w:r>
        <w:rPr>
          <w:b/>
          <w:u w:val="single"/>
        </w:rPr>
        <w:t>Account Details:</w:t>
      </w:r>
    </w:p>
    <w:tbl>
      <w:tblPr>
        <w:tblW w:w="8550" w:type="dxa"/>
        <w:jc w:val="start"/>
        <w:tblInd w:w="828" w:type="dxa"/>
        <w:tblLayout w:type="fixed"/>
        <w:tblCellMar>
          <w:top w:w="0" w:type="dxa"/>
          <w:start w:w="108" w:type="dxa"/>
          <w:bottom w:w="0" w:type="dxa"/>
          <w:end w:w="108" w:type="dxa"/>
        </w:tblCellMar>
      </w:tblPr>
      <w:tblGrid>
        <w:gridCol w:w="3870"/>
        <w:gridCol w:w="4680"/>
      </w:tblGrid>
      <w:tr>
        <w:trPr/>
        <w:tc>
          <w:tcPr>
            <w:tcW w:w="3870" w:type="dxa"/>
            <w:tcBorders/>
          </w:tcPr>
          <w:p>
            <w:pPr>
              <w:pStyle w:val="Normal"/>
              <w:tabs>
                <w:tab w:val="clear" w:pos="720"/>
                <w:tab w:val="left" w:pos="-1440" w:leader="none"/>
                <w:tab w:val="left" w:pos="-720" w:leader="none"/>
              </w:tabs>
              <w:suppressAutoHyphens w:val="true"/>
              <w:spacing w:before="0" w:after="240"/>
              <w:rPr/>
            </w:pPr>
            <w:r>
              <w:rPr/>
              <w:t>Account for payments to Company:</w:t>
            </w:r>
          </w:p>
        </w:tc>
        <w:tc>
          <w:tcPr>
            <w:tcW w:w="4680" w:type="dxa"/>
            <w:tcBorders/>
          </w:tcPr>
          <w:p>
            <w:pPr>
              <w:pStyle w:val="Normal"/>
              <w:tabs>
                <w:tab w:val="clear" w:pos="720"/>
                <w:tab w:val="left" w:pos="-1440" w:leader="none"/>
                <w:tab w:val="left" w:pos="-720" w:leader="none"/>
              </w:tabs>
              <w:suppressAutoHyphens w:val="true"/>
              <w:spacing w:before="0" w:after="240"/>
              <w:rPr/>
            </w:pPr>
            <w:r>
              <w:rPr/>
              <w:t>Please advise</w:t>
            </w:r>
          </w:p>
        </w:tc>
      </w:tr>
      <w:tr>
        <w:trPr/>
        <w:tc>
          <w:tcPr>
            <w:tcW w:w="3870" w:type="dxa"/>
            <w:tcBorders/>
          </w:tcPr>
          <w:p>
            <w:pPr>
              <w:pStyle w:val="Normal"/>
              <w:tabs>
                <w:tab w:val="clear" w:pos="720"/>
                <w:tab w:val="left" w:pos="-1440" w:leader="none"/>
                <w:tab w:val="left" w:pos="-720" w:leader="none"/>
              </w:tabs>
              <w:suppressAutoHyphens w:val="true"/>
              <w:spacing w:before="0" w:after="240"/>
              <w:rPr/>
            </w:pPr>
            <w:r>
              <w:rPr/>
              <w:t>Account for delivery of Common Shares to Company:</w:t>
            </w:r>
          </w:p>
        </w:tc>
        <w:tc>
          <w:tcPr>
            <w:tcW w:w="4680" w:type="dxa"/>
            <w:tcBorders/>
          </w:tcPr>
          <w:p>
            <w:pPr>
              <w:pStyle w:val="Normal"/>
              <w:tabs>
                <w:tab w:val="clear" w:pos="720"/>
                <w:tab w:val="left" w:pos="-1440" w:leader="none"/>
                <w:tab w:val="left" w:pos="-720" w:leader="none"/>
              </w:tabs>
              <w:suppressAutoHyphens w:val="true"/>
              <w:spacing w:before="0" w:after="240"/>
              <w:rPr/>
            </w:pPr>
            <w:r>
              <w:rPr/>
              <w:t>Please advise</w:t>
            </w:r>
          </w:p>
        </w:tc>
      </w:tr>
      <w:tr>
        <w:trPr/>
        <w:tc>
          <w:tcPr>
            <w:tcW w:w="3870" w:type="dxa"/>
            <w:tcBorders/>
          </w:tcPr>
          <w:p>
            <w:pPr>
              <w:pStyle w:val="Normal"/>
              <w:tabs>
                <w:tab w:val="clear" w:pos="720"/>
                <w:tab w:val="left" w:pos="-1440" w:leader="none"/>
                <w:tab w:val="left" w:pos="-720" w:leader="none"/>
              </w:tabs>
              <w:suppressAutoHyphens w:val="true"/>
              <w:spacing w:before="0" w:after="240"/>
              <w:rPr/>
            </w:pPr>
            <w:r>
              <w:rPr/>
              <w:t>Account for payments to ML:</w:t>
            </w:r>
          </w:p>
        </w:tc>
        <w:tc>
          <w:tcPr>
            <w:tcW w:w="4680" w:type="dxa"/>
            <w:tcBorders/>
          </w:tcPr>
          <w:p>
            <w:pPr>
              <w:pStyle w:val="Normal"/>
              <w:tabs>
                <w:tab w:val="clear" w:pos="720"/>
                <w:tab w:val="left" w:pos="-1440" w:leader="none"/>
                <w:tab w:val="left" w:pos="-720" w:leader="none"/>
              </w:tabs>
              <w:suppressAutoHyphens w:val="true"/>
              <w:rPr/>
            </w:pPr>
            <w:r>
              <w:rPr/>
              <w:t>Chase Manhattan Bank, New York</w:t>
            </w:r>
          </w:p>
          <w:p>
            <w:pPr>
              <w:pStyle w:val="Normal"/>
              <w:tabs>
                <w:tab w:val="clear" w:pos="720"/>
                <w:tab w:val="left" w:pos="-1440" w:leader="none"/>
                <w:tab w:val="left" w:pos="-720" w:leader="none"/>
              </w:tabs>
              <w:suppressAutoHyphens w:val="true"/>
              <w:rPr/>
            </w:pPr>
            <w:r>
              <w:rPr/>
              <w:t>ABA: 02100021</w:t>
            </w:r>
          </w:p>
          <w:p>
            <w:pPr>
              <w:pStyle w:val="Normal"/>
              <w:tabs>
                <w:tab w:val="clear" w:pos="720"/>
                <w:tab w:val="left" w:pos="-1440" w:leader="none"/>
                <w:tab w:val="left" w:pos="-720" w:leader="none"/>
              </w:tabs>
              <w:suppressAutoHyphens w:val="true"/>
              <w:rPr/>
            </w:pPr>
            <w:r>
              <w:rPr/>
              <w:t>FAO: ML Equity Derivatives</w:t>
            </w:r>
          </w:p>
          <w:p>
            <w:pPr>
              <w:pStyle w:val="Normal"/>
              <w:tabs>
                <w:tab w:val="clear" w:pos="720"/>
                <w:tab w:val="left" w:pos="-1440" w:leader="none"/>
                <w:tab w:val="left" w:pos="-720" w:leader="none"/>
              </w:tabs>
              <w:suppressAutoHyphens w:val="true"/>
              <w:rPr/>
            </w:pPr>
            <w:r>
              <w:rPr/>
              <w:t>A/C: 066213118</w:t>
            </w:r>
          </w:p>
        </w:tc>
      </w:tr>
      <w:tr>
        <w:trPr/>
        <w:tc>
          <w:tcPr>
            <w:tcW w:w="3870" w:type="dxa"/>
            <w:tcBorders/>
          </w:tcPr>
          <w:p>
            <w:pPr>
              <w:pStyle w:val="Normal"/>
              <w:tabs>
                <w:tab w:val="clear" w:pos="720"/>
                <w:tab w:val="left" w:pos="-1440" w:leader="none"/>
                <w:tab w:val="left" w:pos="-720" w:leader="none"/>
              </w:tabs>
              <w:suppressAutoHyphens w:val="true"/>
              <w:spacing w:before="0" w:after="240"/>
              <w:rPr/>
            </w:pPr>
            <w:r>
              <w:rPr/>
              <w:t>Account for delivery of Common Shares to ML:</w:t>
            </w:r>
          </w:p>
        </w:tc>
        <w:tc>
          <w:tcPr>
            <w:tcW w:w="4680" w:type="dxa"/>
            <w:tcBorders/>
          </w:tcPr>
          <w:p>
            <w:pPr>
              <w:pStyle w:val="FootnoteText"/>
              <w:tabs>
                <w:tab w:val="clear" w:pos="720"/>
                <w:tab w:val="left" w:pos="-1440" w:leader="none"/>
                <w:tab w:val="left" w:pos="-720" w:leader="none"/>
              </w:tabs>
              <w:suppressAutoHyphens w:val="true"/>
              <w:spacing w:before="0" w:after="240"/>
              <w:rPr/>
            </w:pPr>
            <w:r>
              <w:rPr/>
              <w:t>To be advised</w:t>
            </w:r>
          </w:p>
        </w:tc>
      </w:tr>
    </w:tbl>
    <w:p>
      <w:pPr>
        <w:pStyle w:val="Body"/>
        <w:keepNext w:val="true"/>
        <w:jc w:val="both"/>
        <w:rPr>
          <w:b/>
          <w:sz w:val="20"/>
        </w:rPr>
      </w:pPr>
      <w:r>
        <w:rPr>
          <w:b/>
          <w:sz w:val="20"/>
        </w:rPr>
      </w:r>
    </w:p>
    <w:p>
      <w:pPr>
        <w:pStyle w:val="Body"/>
        <w:keepNext w:val="true"/>
        <w:jc w:val="both"/>
        <w:rPr/>
      </w:pPr>
      <w:r>
        <w:rPr>
          <w:b/>
          <w:sz w:val="20"/>
        </w:rPr>
        <w:t>VII.</w:t>
        <w:tab/>
      </w:r>
      <w:r>
        <w:rPr>
          <w:b/>
          <w:sz w:val="20"/>
          <w:u w:val="single"/>
        </w:rPr>
        <w:t>Other Provisions</w:t>
      </w:r>
      <w:r>
        <w:rPr/>
        <w:t>:</w:t>
      </w:r>
    </w:p>
    <w:tbl>
      <w:tblPr>
        <w:tblW w:w="8557" w:type="dxa"/>
        <w:jc w:val="start"/>
        <w:tblInd w:w="828" w:type="dxa"/>
        <w:tblLayout w:type="fixed"/>
        <w:tblCellMar>
          <w:top w:w="0" w:type="dxa"/>
          <w:start w:w="108" w:type="dxa"/>
          <w:bottom w:w="0" w:type="dxa"/>
          <w:end w:w="108" w:type="dxa"/>
        </w:tblCellMar>
      </w:tblPr>
      <w:tblGrid>
        <w:gridCol w:w="2250"/>
        <w:gridCol w:w="6300"/>
      </w:tblGrid>
      <w:tr>
        <w:trPr/>
        <w:tc>
          <w:tcPr>
            <w:tcW w:w="2250" w:type="dxa"/>
            <w:tcBorders/>
          </w:tcPr>
          <w:p>
            <w:pPr>
              <w:pStyle w:val="Body"/>
              <w:keepNext w:val="true"/>
              <w:spacing w:before="0" w:after="240"/>
              <w:rPr>
                <w:sz w:val="20"/>
              </w:rPr>
            </w:pPr>
            <w:r>
              <w:rPr>
                <w:sz w:val="20"/>
              </w:rPr>
              <w:t>Early Termination:</w:t>
            </w:r>
          </w:p>
        </w:tc>
        <w:tc>
          <w:tcPr>
            <w:tcW w:w="6300" w:type="dxa"/>
            <w:tcBorders/>
          </w:tcPr>
          <w:p>
            <w:pPr>
              <w:pStyle w:val="Body"/>
              <w:keepNext w:val="true"/>
              <w:spacing w:before="0" w:after="240"/>
              <w:jc w:val="both"/>
              <w:rPr>
                <w:sz w:val="20"/>
              </w:rPr>
            </w:pPr>
            <w:r>
              <w:rPr>
                <w:sz w:val="20"/>
              </w:rPr>
              <w:t>The parties agree that for purposes of Section 6(e) of the Agreement, Second Method and Loss will apply to this Transaction.</w:t>
            </w:r>
          </w:p>
        </w:tc>
      </w:tr>
      <w:tr>
        <w:trPr/>
        <w:tc>
          <w:tcPr>
            <w:tcW w:w="2250" w:type="dxa"/>
            <w:tcBorders/>
          </w:tcPr>
          <w:p>
            <w:pPr>
              <w:pStyle w:val="Body"/>
              <w:spacing w:before="0" w:after="240"/>
              <w:rPr>
                <w:sz w:val="20"/>
              </w:rPr>
            </w:pPr>
            <w:r>
              <w:rPr>
                <w:sz w:val="20"/>
              </w:rPr>
              <w:t>Calculation Agent:</w:t>
            </w:r>
          </w:p>
        </w:tc>
        <w:tc>
          <w:tcPr>
            <w:tcW w:w="6300" w:type="dxa"/>
            <w:tcBorders/>
          </w:tcPr>
          <w:p>
            <w:pPr>
              <w:pStyle w:val="Body"/>
              <w:spacing w:before="0" w:after="240"/>
              <w:jc w:val="both"/>
              <w:rPr>
                <w:sz w:val="20"/>
              </w:rPr>
            </w:pPr>
            <w:r>
              <w:rPr>
                <w:sz w:val="20"/>
              </w:rPr>
              <w:t>As per the Master Agreement.</w:t>
            </w:r>
          </w:p>
        </w:tc>
      </w:tr>
      <w:tr>
        <w:trPr/>
        <w:tc>
          <w:tcPr>
            <w:tcW w:w="2250" w:type="dxa"/>
            <w:tcBorders/>
          </w:tcPr>
          <w:p>
            <w:pPr>
              <w:pStyle w:val="Body"/>
              <w:spacing w:before="0" w:after="240"/>
              <w:rPr>
                <w:sz w:val="20"/>
              </w:rPr>
            </w:pPr>
            <w:r>
              <w:rPr>
                <w:sz w:val="20"/>
              </w:rPr>
              <w:t>Clearance System and Settlement:</w:t>
            </w:r>
          </w:p>
        </w:tc>
        <w:tc>
          <w:tcPr>
            <w:tcW w:w="6300" w:type="dxa"/>
            <w:tcBorders/>
          </w:tcPr>
          <w:p>
            <w:pPr>
              <w:pStyle w:val="Body"/>
              <w:spacing w:before="0" w:after="240"/>
              <w:jc w:val="both"/>
              <w:rPr>
                <w:sz w:val="20"/>
              </w:rPr>
            </w:pPr>
            <w:r>
              <w:rPr>
                <w:sz w:val="20"/>
              </w:rPr>
              <w:t>The Clearance System shall be The Depository Trust Company.  Settlement of the delivery of Common Shares on any Settlement Date shall be through the Clearance System, unless the Clearance System is not permitted to clear the Common Shares, in which case, the parties shall negotiate in good faith to determine a commercially reasonable manner for delivery.  If a Settlement Disruption Event prevents delivery on such a date, Section 6.2 of the Equity Definitions shall apply.</w:t>
            </w:r>
          </w:p>
        </w:tc>
      </w:tr>
      <w:tr>
        <w:trPr/>
        <w:tc>
          <w:tcPr>
            <w:tcW w:w="2250" w:type="dxa"/>
            <w:tcBorders/>
          </w:tcPr>
          <w:p>
            <w:pPr>
              <w:pStyle w:val="Body"/>
              <w:spacing w:before="0" w:after="240"/>
              <w:rPr>
                <w:sz w:val="20"/>
              </w:rPr>
            </w:pPr>
            <w:r>
              <w:rPr>
                <w:sz w:val="20"/>
              </w:rPr>
              <w:t>Regulatory Compliance:</w:t>
            </w:r>
          </w:p>
        </w:tc>
        <w:tc>
          <w:tcPr>
            <w:tcW w:w="6300" w:type="dxa"/>
            <w:tcBorders/>
          </w:tcPr>
          <w:p>
            <w:pPr>
              <w:pStyle w:val="Body"/>
              <w:spacing w:before="0" w:after="240"/>
              <w:jc w:val="both"/>
              <w:rPr/>
            </w:pPr>
            <w:r>
              <w:rPr>
                <w:sz w:val="20"/>
              </w:rPr>
              <w:t>The parties agree that if the delivery</w:t>
            </w:r>
            <w:r>
              <w:rPr>
                <w:b/>
                <w:sz w:val="20"/>
              </w:rPr>
              <w:t xml:space="preserve"> </w:t>
            </w:r>
            <w:r>
              <w:rPr>
                <w:sz w:val="20"/>
              </w:rPr>
              <w:t xml:space="preserve">of Common Shares upon settlement is subject to any restriction imposed by a regulatory authority, the parties will negotiate in good faith a procedure to effect settlement of such shares in a manner which complies with any relevant rules of such regulatory authority and which is satisfactory in form and substance to their respective counsel.  So long as such restriction is applicable, the failure to make such delivery (or related payments or deliveries) shall not be an Event of Default.  If the parties do not agree on a mutually satisfactory procedure within </w:t>
            </w:r>
            <w:r>
              <w:rPr>
                <w:color w:val="0000FF"/>
                <w:sz w:val="20"/>
              </w:rPr>
              <w:t>5</w:t>
            </w:r>
            <w:r>
              <w:rPr>
                <w:sz w:val="20"/>
              </w:rPr>
              <w:t xml:space="preserve"> Exchange Trading Days, the failure to make such delivery shall be an Additional Termination Event (with this Transaction as the sole Affected Transaction and the party whose regulatory authority imposed the restriction as the Affected Party).</w:t>
            </w:r>
          </w:p>
        </w:tc>
      </w:tr>
      <w:tr>
        <w:trPr/>
        <w:tc>
          <w:tcPr>
            <w:tcW w:w="2250" w:type="dxa"/>
            <w:tcBorders/>
          </w:tcPr>
          <w:p>
            <w:pPr>
              <w:pStyle w:val="Body"/>
              <w:spacing w:before="0" w:after="240"/>
              <w:rPr>
                <w:sz w:val="20"/>
              </w:rPr>
            </w:pPr>
            <w:r>
              <w:rPr>
                <w:sz w:val="20"/>
              </w:rPr>
              <w:t>Default Interest:</w:t>
            </w:r>
          </w:p>
        </w:tc>
        <w:tc>
          <w:tcPr>
            <w:tcW w:w="6300" w:type="dxa"/>
            <w:tcBorders/>
          </w:tcPr>
          <w:p>
            <w:pPr>
              <w:pStyle w:val="Body"/>
              <w:spacing w:before="0" w:after="240"/>
              <w:jc w:val="both"/>
              <w:rPr>
                <w:sz w:val="20"/>
              </w:rPr>
            </w:pPr>
            <w:r>
              <w:rPr>
                <w:sz w:val="20"/>
              </w:rPr>
              <w:t>Section 6.10 of the Equity Definitions shall apply to this Transaction.</w:t>
            </w:r>
          </w:p>
        </w:tc>
      </w:tr>
      <w:tr>
        <w:trPr/>
        <w:tc>
          <w:tcPr>
            <w:tcW w:w="2250" w:type="dxa"/>
            <w:tcBorders/>
          </w:tcPr>
          <w:p>
            <w:pPr>
              <w:pStyle w:val="Body"/>
              <w:spacing w:before="0" w:after="240"/>
              <w:rPr>
                <w:sz w:val="20"/>
              </w:rPr>
            </w:pPr>
            <w:r>
              <w:rPr>
                <w:sz w:val="20"/>
              </w:rPr>
              <w:t>Compliance with Securities Laws:</w:t>
            </w:r>
          </w:p>
        </w:tc>
        <w:tc>
          <w:tcPr>
            <w:tcW w:w="6300" w:type="dxa"/>
            <w:tcBorders/>
          </w:tcPr>
          <w:p>
            <w:pPr>
              <w:pStyle w:val="Body"/>
              <w:spacing w:before="0" w:after="240"/>
              <w:jc w:val="both"/>
              <w:rPr/>
            </w:pPr>
            <w:r>
              <w:rPr>
                <w:sz w:val="20"/>
              </w:rPr>
              <w:t xml:space="preserve">Each party represents and agrees that it has complied, and will comply, in connection with this Transaction and all related or contemporaneous sales and purchases of Common Shares, with the applicable provisions of the Securities Act, the Exchange Act, and the rules and regulations thereunder, including, without limitation, Rules 10b-5 and 10b-18 and Regulation M under the Exchange Act, provided that each party shall be entitled to rely conclusively on any information communicated by the other party concerning such other party’s market activities.  Without limiting the foregoing, Company represents that it has coordinated (and has caused its “affiliated purchasers” (as defined in Rule 10b-18 under the Exchange Act) to coordinate) any purchases of Common Shares with purchases by ML of its hedge in connection with this Transaction in order to comply with Rule 10b-18 on each of the </w:t>
            </w:r>
            <w:r>
              <w:rPr>
                <w:color w:val="0000FF"/>
                <w:sz w:val="20"/>
              </w:rPr>
              <w:t>[       ]</w:t>
            </w:r>
            <w:r>
              <w:rPr>
                <w:sz w:val="20"/>
              </w:rPr>
              <w:t xml:space="preserve"> Exchange Business Days preceding the Trade Date.</w:t>
            </w:r>
          </w:p>
        </w:tc>
      </w:tr>
      <w:tr>
        <w:trPr/>
        <w:tc>
          <w:tcPr>
            <w:tcW w:w="2250" w:type="dxa"/>
            <w:tcBorders/>
          </w:tcPr>
          <w:p>
            <w:pPr>
              <w:pStyle w:val="Body"/>
              <w:snapToGrid w:val="false"/>
              <w:spacing w:before="0" w:after="240"/>
              <w:rPr>
                <w:sz w:val="20"/>
              </w:rPr>
            </w:pPr>
            <w:r>
              <w:rPr>
                <w:sz w:val="20"/>
              </w:rPr>
            </w:r>
          </w:p>
        </w:tc>
        <w:tc>
          <w:tcPr>
            <w:tcW w:w="6300" w:type="dxa"/>
            <w:tcBorders/>
          </w:tcPr>
          <w:p>
            <w:pPr>
              <w:pStyle w:val="Normal"/>
              <w:spacing w:before="0" w:after="240"/>
              <w:rPr/>
            </w:pPr>
            <w:r>
              <w:rPr/>
              <w:t>Company further represents that:</w:t>
            </w:r>
          </w:p>
        </w:tc>
      </w:tr>
      <w:tr>
        <w:trPr/>
        <w:tc>
          <w:tcPr>
            <w:tcW w:w="2250" w:type="dxa"/>
            <w:tcBorders/>
          </w:tcPr>
          <w:p>
            <w:pPr>
              <w:pStyle w:val="Body"/>
              <w:snapToGrid w:val="false"/>
              <w:spacing w:before="0" w:after="240"/>
              <w:rPr>
                <w:sz w:val="20"/>
              </w:rPr>
            </w:pPr>
            <w:r>
              <w:rPr>
                <w:sz w:val="20"/>
              </w:rPr>
            </w:r>
          </w:p>
        </w:tc>
        <w:tc>
          <w:tcPr>
            <w:tcW w:w="6300" w:type="dxa"/>
            <w:tcBorders/>
          </w:tcPr>
          <w:p>
            <w:pPr>
              <w:pStyle w:val="Normal"/>
              <w:spacing w:before="0" w:after="240"/>
              <w:jc w:val="both"/>
              <w:rPr/>
            </w:pPr>
            <w:r>
              <w:rPr/>
              <w:t>(a) each of its filings under the Securities Act, the Exchange Act, or other applicable securities laws that are required to be filed have been filed and that, as of the respective dates thereof, and as of each of the third Exchange Business Days preceding the Trade Date, there is no misstatement of material fact contained therein or omission of a material fact required to be stated therein or necessary to make the statements therein not misleading;</w:t>
            </w:r>
          </w:p>
        </w:tc>
      </w:tr>
      <w:tr>
        <w:trPr/>
        <w:tc>
          <w:tcPr>
            <w:tcW w:w="2250" w:type="dxa"/>
            <w:tcBorders/>
          </w:tcPr>
          <w:p>
            <w:pPr>
              <w:pStyle w:val="Body"/>
              <w:snapToGrid w:val="false"/>
              <w:spacing w:before="0" w:after="240"/>
              <w:rPr>
                <w:sz w:val="20"/>
              </w:rPr>
            </w:pPr>
            <w:r>
              <w:rPr>
                <w:sz w:val="20"/>
              </w:rPr>
            </w:r>
          </w:p>
        </w:tc>
        <w:tc>
          <w:tcPr>
            <w:tcW w:w="6300" w:type="dxa"/>
            <w:tcBorders/>
          </w:tcPr>
          <w:p>
            <w:pPr>
              <w:pStyle w:val="Normal"/>
              <w:spacing w:before="0" w:after="240"/>
              <w:jc w:val="both"/>
              <w:rPr/>
            </w:pPr>
            <w:r>
              <w:rPr/>
              <w:t xml:space="preserve">(b) if Company were to have purchased a number of Common Shares equal to the Underlying Shares using Merrill Lynch, Pierce, Fenner &amp; Smith Incorporated as broker, such purchase(s) would have complied with (i) all laws and regulations applicable to Company, and (ii) all contractual obligations of Company; </w:t>
            </w:r>
            <w:r>
              <w:rPr>
                <w:u w:val="single"/>
              </w:rPr>
              <w:t>and</w:t>
            </w:r>
          </w:p>
        </w:tc>
      </w:tr>
      <w:tr>
        <w:trPr/>
        <w:tc>
          <w:tcPr>
            <w:tcW w:w="2250" w:type="dxa"/>
            <w:tcBorders/>
          </w:tcPr>
          <w:p>
            <w:pPr>
              <w:pStyle w:val="Body"/>
              <w:snapToGrid w:val="false"/>
              <w:spacing w:before="0" w:after="240"/>
              <w:rPr>
                <w:sz w:val="20"/>
              </w:rPr>
            </w:pPr>
            <w:r>
              <w:rPr>
                <w:sz w:val="20"/>
              </w:rPr>
            </w:r>
          </w:p>
        </w:tc>
        <w:tc>
          <w:tcPr>
            <w:tcW w:w="6300" w:type="dxa"/>
            <w:tcBorders/>
          </w:tcPr>
          <w:p>
            <w:pPr>
              <w:pStyle w:val="Normal"/>
              <w:spacing w:before="0" w:after="240"/>
              <w:jc w:val="both"/>
              <w:rPr/>
            </w:pPr>
            <w:r>
              <w:rPr/>
              <w:t>(c) if Company purchases any Common Shares pursuant to this Transaction, such purchase(s) will comply with (i) all laws and regulations applicable to Company, and (ii) all contractual obligations of Company.</w:t>
            </w:r>
          </w:p>
          <w:p>
            <w:pPr>
              <w:pStyle w:val="Normal"/>
              <w:spacing w:before="0" w:after="240"/>
              <w:jc w:val="both"/>
              <w:rPr/>
            </w:pPr>
            <w:r>
              <w:rPr/>
              <w:t>(d) the Company is not entering into this Agreement to facilitate a distribution of the common stock (or any security convertible into or exchangeable for common stock)  or in connection with a future issuance of securities except pursuant to the Company’s employee benefut plans (including stock option plans) and dividend reinvestment plan.</w:t>
            </w:r>
          </w:p>
          <w:p>
            <w:pPr>
              <w:pStyle w:val="Normal"/>
              <w:spacing w:before="0" w:after="240"/>
              <w:jc w:val="both"/>
              <w:rPr/>
            </w:pPr>
            <w:r>
              <w:rPr/>
              <w:t>(e) the Company Is not entering into this Agreement to create actual or apparent trading activity in the common stock (or any security convertible into or exchangeable for common stock) or to manipulate the price of the common stock (or any security convertible into or exchangeable for common stock)</w:t>
            </w:r>
          </w:p>
        </w:tc>
      </w:tr>
      <w:tr>
        <w:trPr/>
        <w:tc>
          <w:tcPr>
            <w:tcW w:w="2250" w:type="dxa"/>
            <w:tcBorders/>
          </w:tcPr>
          <w:p>
            <w:pPr>
              <w:pStyle w:val="Body"/>
              <w:spacing w:before="0" w:after="240"/>
              <w:rPr>
                <w:sz w:val="20"/>
              </w:rPr>
            </w:pPr>
            <w:r>
              <w:rPr>
                <w:sz w:val="20"/>
              </w:rPr>
              <w:t>Agreement regarding Common Shares:</w:t>
            </w:r>
          </w:p>
        </w:tc>
        <w:tc>
          <w:tcPr>
            <w:tcW w:w="6300" w:type="dxa"/>
            <w:tcBorders/>
          </w:tcPr>
          <w:p>
            <w:pPr>
              <w:pStyle w:val="Body"/>
              <w:spacing w:before="0" w:after="240"/>
              <w:jc w:val="both"/>
              <w:rPr>
                <w:sz w:val="20"/>
              </w:rPr>
            </w:pPr>
            <w:r>
              <w:rPr>
                <w:sz w:val="20"/>
              </w:rPr>
              <w:t>Each party agrees with the other that, in respect of any Common Shares delivered to the other party, (i) in the case of ML, it will, at the time of delivery, be the legal and beneficial owner thereof, free of liens and other encumbrances and (ii) in the case of Company, such Common Shares shall be, upon such delivery, duly and validly authorized, issued and outstanding, fully paid and nonassessable and subject to no adverse claims of any other party.  The issuance of such Common Shares does not and will not require the consent, approval, authorization, registration or qualification of any government authority, except such as shall have been obtained on or before the delivery date in connection with any Registration Statement filed with respect to any Common Shares.</w:t>
            </w:r>
          </w:p>
        </w:tc>
      </w:tr>
      <w:tr>
        <w:trPr/>
        <w:tc>
          <w:tcPr>
            <w:tcW w:w="2250" w:type="dxa"/>
            <w:tcBorders/>
          </w:tcPr>
          <w:p>
            <w:pPr>
              <w:pStyle w:val="Body"/>
              <w:spacing w:before="0" w:after="240"/>
              <w:rPr>
                <w:sz w:val="20"/>
              </w:rPr>
            </w:pPr>
            <w:r>
              <w:rPr>
                <w:sz w:val="20"/>
              </w:rPr>
              <w:t>Settlement Intent:</w:t>
            </w:r>
          </w:p>
        </w:tc>
        <w:tc>
          <w:tcPr>
            <w:tcW w:w="6300" w:type="dxa"/>
            <w:tcBorders/>
          </w:tcPr>
          <w:p>
            <w:pPr>
              <w:pStyle w:val="Body"/>
              <w:spacing w:before="0" w:after="240"/>
              <w:jc w:val="both"/>
              <w:rPr>
                <w:sz w:val="20"/>
              </w:rPr>
            </w:pPr>
            <w:r>
              <w:rPr>
                <w:sz w:val="20"/>
              </w:rPr>
              <w:t>Company represents to ML that it has not formed a present intention to settle this Transaction pursuant to Cash Settlement.  The Company represents that it has not entered into any obligation that would contractually prohibit it from effecting Stock Settlement or Cash Settlement under this Transaction and it agrees not to enter into any such obligation during the term of this Transaction.</w:t>
            </w:r>
          </w:p>
        </w:tc>
      </w:tr>
      <w:tr>
        <w:trPr/>
        <w:tc>
          <w:tcPr>
            <w:tcW w:w="2250" w:type="dxa"/>
            <w:tcBorders/>
          </w:tcPr>
          <w:p>
            <w:pPr>
              <w:pStyle w:val="Body"/>
              <w:spacing w:before="0" w:after="240"/>
              <w:rPr>
                <w:sz w:val="20"/>
              </w:rPr>
            </w:pPr>
            <w:r>
              <w:rPr>
                <w:sz w:val="20"/>
              </w:rPr>
              <w:t>Non-Reliance:</w:t>
            </w:r>
          </w:p>
        </w:tc>
        <w:tc>
          <w:tcPr>
            <w:tcW w:w="6300" w:type="dxa"/>
            <w:tcBorders/>
          </w:tcPr>
          <w:p>
            <w:pPr>
              <w:pStyle w:val="Body"/>
              <w:spacing w:before="0" w:after="240"/>
              <w:jc w:val="both"/>
              <w:rPr>
                <w:sz w:val="20"/>
              </w:rPr>
            </w:pPr>
            <w:r>
              <w:rPr>
                <w:sz w:val="20"/>
              </w:rPr>
              <w:t>Each party represents to the other party that it is acting for its own account, and has made its own independent decisions to enter into this Transaction and as to whether this Transaction is appropriate or proper for it based on its own judgment and upon advice from such advisors as it has deemed necessary.  It is not relying on any communication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tc>
      </w:tr>
      <w:tr>
        <w:trPr/>
        <w:tc>
          <w:tcPr>
            <w:tcW w:w="2250" w:type="dxa"/>
            <w:tcBorders/>
          </w:tcPr>
          <w:p>
            <w:pPr>
              <w:pStyle w:val="Body"/>
              <w:spacing w:before="0" w:after="240"/>
              <w:rPr>
                <w:sz w:val="20"/>
              </w:rPr>
            </w:pPr>
            <w:r>
              <w:rPr>
                <w:sz w:val="20"/>
              </w:rPr>
              <w:t>Market Impact of Hedge:</w:t>
            </w:r>
          </w:p>
        </w:tc>
        <w:tc>
          <w:tcPr>
            <w:tcW w:w="6300" w:type="dxa"/>
            <w:tcBorders/>
          </w:tcPr>
          <w:p>
            <w:pPr>
              <w:pStyle w:val="Body"/>
              <w:spacing w:before="0" w:after="240"/>
              <w:jc w:val="both"/>
              <w:rPr>
                <w:sz w:val="20"/>
              </w:rPr>
            </w:pPr>
            <w:r>
              <w:rPr>
                <w:sz w:val="20"/>
              </w:rPr>
              <w:t>Company acknowledges that the proprietary trading and other activities and transactions of ML and its affiliates, including purchases and sales of the Common Shares in connection with this Transaction (including purchases occurring prior to the date of this Confirmation), may adversely affect the Initial Price, the Settlement Price and/or the closing price of the Common Shares.</w:t>
            </w:r>
          </w:p>
        </w:tc>
      </w:tr>
      <w:tr>
        <w:trPr/>
        <w:tc>
          <w:tcPr>
            <w:tcW w:w="2250" w:type="dxa"/>
            <w:tcBorders/>
          </w:tcPr>
          <w:p>
            <w:pPr>
              <w:pStyle w:val="Body"/>
              <w:spacing w:before="0" w:after="240"/>
              <w:rPr>
                <w:sz w:val="20"/>
              </w:rPr>
            </w:pPr>
            <w:r>
              <w:rPr>
                <w:sz w:val="20"/>
              </w:rPr>
              <w:t>Transfer:</w:t>
            </w:r>
          </w:p>
        </w:tc>
        <w:tc>
          <w:tcPr>
            <w:tcW w:w="6300" w:type="dxa"/>
            <w:tcBorders/>
          </w:tcPr>
          <w:p>
            <w:pPr>
              <w:pStyle w:val="Body"/>
              <w:spacing w:before="0" w:after="240"/>
              <w:jc w:val="both"/>
              <w:rPr>
                <w:sz w:val="20"/>
              </w:rPr>
            </w:pPr>
            <w:r>
              <w:rPr>
                <w:sz w:val="20"/>
              </w:rPr>
              <w:t>As per the Master Agreement.</w:t>
            </w:r>
          </w:p>
        </w:tc>
      </w:tr>
      <w:tr>
        <w:trPr/>
        <w:tc>
          <w:tcPr>
            <w:tcW w:w="2250" w:type="dxa"/>
            <w:tcBorders/>
          </w:tcPr>
          <w:p>
            <w:pPr>
              <w:pStyle w:val="Body"/>
              <w:spacing w:before="0" w:after="240"/>
              <w:rPr>
                <w:sz w:val="20"/>
              </w:rPr>
            </w:pPr>
            <w:r>
              <w:rPr>
                <w:sz w:val="20"/>
              </w:rPr>
              <w:t>Trading Authorization:</w:t>
            </w:r>
          </w:p>
        </w:tc>
        <w:tc>
          <w:tcPr>
            <w:tcW w:w="6300" w:type="dxa"/>
            <w:tcBorders/>
          </w:tcPr>
          <w:p>
            <w:pPr>
              <w:pStyle w:val="Body"/>
              <w:spacing w:before="0" w:after="240"/>
              <w:jc w:val="both"/>
              <w:rPr>
                <w:sz w:val="20"/>
              </w:rPr>
            </w:pPr>
            <w:r>
              <w:rPr>
                <w:sz w:val="20"/>
              </w:rPr>
              <w:t>Company agrees that the following individuals and any individual authorized in writing by the Treasurer of Company are authorized by Company to provide trading instructions to ML with regard to this Transaction:   Please advise.</w:t>
            </w:r>
          </w:p>
        </w:tc>
      </w:tr>
      <w:tr>
        <w:trPr/>
        <w:tc>
          <w:tcPr>
            <w:tcW w:w="2250" w:type="dxa"/>
            <w:tcBorders/>
          </w:tcPr>
          <w:p>
            <w:pPr>
              <w:pStyle w:val="Body"/>
              <w:spacing w:before="0" w:after="240"/>
              <w:rPr>
                <w:sz w:val="20"/>
              </w:rPr>
            </w:pPr>
            <w:r>
              <w:rPr>
                <w:sz w:val="20"/>
              </w:rPr>
              <w:t>Relating to ML:</w:t>
            </w:r>
          </w:p>
        </w:tc>
        <w:tc>
          <w:tcPr>
            <w:tcW w:w="6300" w:type="dxa"/>
            <w:tcBorders/>
          </w:tcPr>
          <w:p>
            <w:pPr>
              <w:pStyle w:val="Body"/>
              <w:spacing w:before="0" w:after="240"/>
              <w:jc w:val="both"/>
              <w:rPr>
                <w:sz w:val="20"/>
              </w:rPr>
            </w:pPr>
            <w:r>
              <w:rPr>
                <w:sz w:val="20"/>
              </w:rPr>
              <w:t>ML is regulated by The Securities and Futures Authority Limited and has entered into this Transaction as principal.</w:t>
            </w:r>
          </w:p>
        </w:tc>
      </w:tr>
      <w:tr>
        <w:trPr/>
        <w:tc>
          <w:tcPr>
            <w:tcW w:w="2250" w:type="dxa"/>
            <w:tcBorders/>
          </w:tcPr>
          <w:p>
            <w:pPr>
              <w:pStyle w:val="Body"/>
              <w:spacing w:before="0" w:after="240"/>
              <w:rPr>
                <w:sz w:val="20"/>
              </w:rPr>
            </w:pPr>
            <w:r>
              <w:rPr>
                <w:sz w:val="20"/>
              </w:rPr>
              <w:t>Governing Law:</w:t>
            </w:r>
          </w:p>
        </w:tc>
        <w:tc>
          <w:tcPr>
            <w:tcW w:w="6300" w:type="dxa"/>
            <w:tcBorders/>
          </w:tcPr>
          <w:p>
            <w:pPr>
              <w:pStyle w:val="Body"/>
              <w:spacing w:before="0" w:after="240"/>
              <w:jc w:val="both"/>
              <w:rPr>
                <w:sz w:val="20"/>
              </w:rPr>
            </w:pPr>
            <w:r>
              <w:rPr>
                <w:sz w:val="20"/>
              </w:rPr>
              <w:t>The laws of the State of New York (without reference to choice of law doctrine).</w:t>
            </w:r>
          </w:p>
        </w:tc>
      </w:tr>
    </w:tbl>
    <w:p>
      <w:pPr>
        <w:pStyle w:val="BodyTextIndent2"/>
        <w:tabs>
          <w:tab w:val="clear" w:pos="720"/>
          <w:tab w:val="left" w:pos="990" w:leader="none"/>
        </w:tabs>
        <w:ind w:start="2340" w:end="0"/>
        <w:rPr/>
      </w:pPr>
      <w:r>
        <w:rPr/>
        <w:tab/>
      </w:r>
    </w:p>
    <w:p>
      <w:pPr>
        <w:pStyle w:val="BodyTextIndent2"/>
        <w:tabs>
          <w:tab w:val="clear" w:pos="720"/>
          <w:tab w:val="left" w:pos="990" w:leader="none"/>
        </w:tabs>
        <w:ind w:start="2340" w:end="0"/>
        <w:rPr>
          <w:b/>
        </w:rPr>
      </w:pPr>
      <w:r>
        <w:rPr>
          <w:b/>
        </w:rPr>
      </w:r>
    </w:p>
    <w:p>
      <w:pPr>
        <w:pStyle w:val="BodyTextIndent2"/>
        <w:tabs>
          <w:tab w:val="clear" w:pos="720"/>
          <w:tab w:val="left" w:pos="990" w:leader="none"/>
        </w:tabs>
        <w:ind w:start="2340" w:end="0"/>
        <w:rPr/>
      </w:pPr>
      <w:r>
        <w:rPr>
          <w:b/>
        </w:rPr>
        <w:t>Indemnification:</w:t>
      </w:r>
      <w:r>
        <w:rPr/>
        <w:t xml:space="preserve"> </w:t>
        <w:tab/>
        <w:t xml:space="preserve">(1)   The Company agrees to indemnify MLI and its affiliates and their respective directors, officers, employees, agents and controlling persons (MLI and each such person being an “Indemnified Party”) from and against any and all losses, claims, damages and liabilities, joint or several, to which such Indemnified Party may become subject under any applicable federal or state law, or otherwise, and related to or arising out of any of the transactions contemplated by the Agreement, and will reimburse any Indemnified Party for all expenses (including reasonable counsel fees and expenses) as they are incurred in connection with the investigation of, preparation for or defense or settlement of any pending or threatened claim or any action or proceeding arising therefrom, whether or not such Indemnified Party is a party and whether or not such claim, action or proceeding is initiated or brought by or on behalf of the Company.  The Company will not be liable under the foregoing indemnification provision to the extent that any loss, claim, damage, liability or expense is found in a nonappealable judgment by a court to have resulted from MLI’s bad faith willful misconduct or gross negligence.  The Company also agrees that no Indemnified Party shall have any liability (whether direct or indirect, in contract or tort or otherwise) to the Company or its security holders or creditors related to or arising out of the performance by MLI of its obligations in accordance with the terms and provisions of the Agreement as modified by the Confirmation, except to the extent that any loss, claim, damage or liability is found in a nonappealable judgment by a court to have resulted from MLI’s bad faith, willful misconduct or gross negligence. The provisions of this Section shall survive any termination of the Agreement or Confirmation or completion of the transactions contemplated thereby.  </w:t>
      </w:r>
    </w:p>
    <w:p>
      <w:pPr>
        <w:pStyle w:val="Normal"/>
        <w:tabs>
          <w:tab w:val="left" w:pos="720" w:leader="none"/>
        </w:tabs>
        <w:ind w:hanging="2340" w:start="2340" w:end="0"/>
        <w:jc w:val="both"/>
        <w:rPr/>
      </w:pPr>
      <w:r>
        <w:rPr/>
      </w:r>
    </w:p>
    <w:p>
      <w:pPr>
        <w:pStyle w:val="BodyTextIndent3"/>
        <w:tabs>
          <w:tab w:val="clear" w:pos="1440"/>
          <w:tab w:val="left" w:pos="1170" w:leader="none"/>
        </w:tabs>
        <w:rPr/>
      </w:pPr>
      <w:r>
        <w:rPr/>
        <w:tab/>
        <w:t xml:space="preserve"> </w:t>
      </w:r>
    </w:p>
    <w:p>
      <w:pPr>
        <w:pStyle w:val="Normal"/>
        <w:tabs>
          <w:tab w:val="left" w:pos="720" w:leader="none"/>
        </w:tabs>
        <w:ind w:start="720" w:end="0"/>
        <w:jc w:val="both"/>
        <w:rPr/>
      </w:pPr>
      <w:r>
        <w:rPr/>
      </w:r>
    </w:p>
    <w:p>
      <w:pPr>
        <w:pStyle w:val="BodyTextIndent3"/>
        <w:tabs>
          <w:tab w:val="clear" w:pos="1440"/>
          <w:tab w:val="left" w:pos="1080" w:leader="none"/>
        </w:tabs>
        <w:rPr/>
      </w:pPr>
      <w:r>
        <w:rPr/>
        <w:t xml:space="preserve"> </w:t>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TextIndent3"/>
        <w:tabs>
          <w:tab w:val="clear" w:pos="1440"/>
          <w:tab w:val="left" w:pos="1080" w:leader="none"/>
        </w:tabs>
        <w:rPr/>
      </w:pPr>
      <w:r>
        <w:rPr/>
      </w:r>
    </w:p>
    <w:p>
      <w:pPr>
        <w:pStyle w:val="Body"/>
        <w:jc w:val="both"/>
        <w:rPr>
          <w:sz w:val="20"/>
        </w:rPr>
      </w:pPr>
      <w:r>
        <w:rPr>
          <w:sz w:val="20"/>
        </w:rPr>
      </w:r>
    </w:p>
    <w:p>
      <w:pPr>
        <w:pStyle w:val="Body"/>
        <w:jc w:val="both"/>
        <w:rPr>
          <w:sz w:val="20"/>
        </w:rPr>
      </w:pPr>
      <w:r>
        <w:rPr>
          <w:sz w:val="20"/>
        </w:rPr>
        <w:t>Please confirm that the foregoing correctly sets forth the terms of the agreement between Company and ML by executing the copy of this Confirmation enclosed for that purpose and returning it to the Agent by facsimile transmission to the Attention of: Dar Maanavi (Telecopier No. 212 449-7909).</w:t>
      </w:r>
    </w:p>
    <w:p>
      <w:pPr>
        <w:pStyle w:val="Normal"/>
        <w:tabs>
          <w:tab w:val="clear" w:pos="720"/>
          <w:tab w:val="right" w:pos="3240" w:leader="none"/>
        </w:tabs>
        <w:spacing w:before="240" w:after="240"/>
        <w:jc w:val="both"/>
        <w:rPr/>
      </w:pPr>
      <w:r>
        <w:rPr/>
        <w:t>Confirmed as of the date first above written:</w:t>
      </w:r>
    </w:p>
    <w:p>
      <w:pPr>
        <w:pStyle w:val="Normal"/>
        <w:jc w:val="both"/>
        <w:rPr/>
      </w:pPr>
      <w:r>
        <w:rPr/>
      </w:r>
    </w:p>
    <w:p>
      <w:pPr>
        <w:pStyle w:val="Normal"/>
        <w:jc w:val="both"/>
        <w:rPr>
          <w:b/>
        </w:rPr>
      </w:pPr>
      <w:r>
        <w:rPr>
          <w:b/>
        </w:rPr>
        <w:t>Merrill Lynch International</w:t>
      </w:r>
    </w:p>
    <w:p>
      <w:pPr>
        <w:pStyle w:val="Normal"/>
        <w:jc w:val="both"/>
        <w:rPr/>
      </w:pPr>
      <w:r>
        <w:rPr/>
      </w:r>
    </w:p>
    <w:p>
      <w:pPr>
        <w:pStyle w:val="Normal"/>
        <w:jc w:val="both"/>
        <w:rPr/>
      </w:pPr>
      <w:r>
        <w:rPr/>
        <w:t xml:space="preserve">By: </w:t>
      </w:r>
    </w:p>
    <w:p>
      <w:pPr>
        <w:pStyle w:val="Normal"/>
        <w:jc w:val="both"/>
        <w:rPr/>
      </w:pPr>
      <w:r>
        <w:rPr/>
      </w:r>
    </w:p>
    <w:p>
      <w:pPr>
        <w:pStyle w:val="Normal"/>
        <w:jc w:val="both"/>
        <w:rPr/>
      </w:pPr>
      <w:r>
        <w:rPr/>
        <w:t>_______________________</w:t>
      </w:r>
    </w:p>
    <w:p>
      <w:pPr>
        <w:pStyle w:val="Normal"/>
        <w:jc w:val="both"/>
        <w:rPr/>
      </w:pPr>
      <w:r>
        <w:rPr/>
        <w:t>Name:</w:t>
      </w:r>
    </w:p>
    <w:p>
      <w:pPr>
        <w:pStyle w:val="Normal"/>
        <w:jc w:val="both"/>
        <w:rPr/>
      </w:pPr>
      <w:r>
        <w:rPr/>
        <w:t>Title:</w:t>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                        ]</w:t>
      </w:r>
    </w:p>
    <w:p>
      <w:pPr>
        <w:pStyle w:val="Normal"/>
        <w:jc w:val="both"/>
        <w:rPr/>
      </w:pPr>
      <w:r>
        <w:rPr/>
      </w:r>
    </w:p>
    <w:p>
      <w:pPr>
        <w:pStyle w:val="Normal"/>
        <w:jc w:val="both"/>
        <w:rPr/>
      </w:pPr>
      <w:r>
        <w:rPr/>
      </w:r>
    </w:p>
    <w:p>
      <w:pPr>
        <w:pStyle w:val="Normal"/>
        <w:jc w:val="both"/>
        <w:rPr/>
      </w:pPr>
      <w:r>
        <w:rPr/>
        <w:t>By: _____________________________</w:t>
      </w:r>
    </w:p>
    <w:p>
      <w:pPr>
        <w:pStyle w:val="Normal"/>
        <w:jc w:val="both"/>
        <w:rPr/>
      </w:pPr>
      <w:r>
        <w:rPr/>
        <w:t>Name:</w:t>
      </w:r>
    </w:p>
    <w:p>
      <w:pPr>
        <w:pStyle w:val="Normal"/>
        <w:jc w:val="both"/>
        <w:rPr/>
      </w:pPr>
      <w:r>
        <w:rPr/>
        <w:t>Title:</w:t>
      </w:r>
    </w:p>
    <w:p>
      <w:pPr>
        <w:pStyle w:val="Normal"/>
        <w:jc w:val="both"/>
        <w:rPr/>
      </w:pPr>
      <w:r>
        <w:rPr/>
      </w:r>
    </w:p>
    <w:p>
      <w:pPr>
        <w:pStyle w:val="SingleSpace"/>
        <w:ind w:hanging="0" w:end="0"/>
        <w:rPr>
          <w:sz w:val="20"/>
        </w:rPr>
      </w:pPr>
      <w:r>
        <w:rPr>
          <w:sz w:val="20"/>
        </w:rPr>
        <w:t>Acknowledged and agreed as to matters relating to the Agent:</w:t>
      </w:r>
    </w:p>
    <w:p>
      <w:pPr>
        <w:pStyle w:val="SingleSpace"/>
        <w:spacing w:before="0" w:after="0"/>
        <w:ind w:hanging="0" w:end="0"/>
        <w:rPr>
          <w:b/>
          <w:sz w:val="20"/>
        </w:rPr>
      </w:pPr>
      <w:r>
        <w:rPr>
          <w:b/>
          <w:sz w:val="20"/>
        </w:rPr>
        <w:t>Merrill Lynch, Pierce, Fenner &amp; Smith Incorporated,</w:t>
      </w:r>
    </w:p>
    <w:p>
      <w:pPr>
        <w:pStyle w:val="SingleSpace"/>
        <w:spacing w:before="0" w:after="360"/>
        <w:ind w:hanging="0" w:end="0"/>
        <w:rPr>
          <w:sz w:val="20"/>
        </w:rPr>
      </w:pPr>
      <w:r>
        <w:rPr>
          <w:sz w:val="20"/>
        </w:rPr>
        <w:tab/>
      </w:r>
      <w:r>
        <w:rPr>
          <w:i/>
          <w:sz w:val="20"/>
        </w:rPr>
        <w:t>solely in its capacity as Agent hereunder</w:t>
      </w:r>
    </w:p>
    <w:p>
      <w:pPr>
        <w:pStyle w:val="Normal"/>
        <w:tabs>
          <w:tab w:val="clear" w:pos="720"/>
          <w:tab w:val="right" w:pos="3240" w:leader="none"/>
        </w:tabs>
        <w:jc w:val="both"/>
        <w:rPr/>
      </w:pPr>
      <w:r>
        <w:rPr/>
        <w:t>By:</w:t>
      </w:r>
      <w:r>
        <w:rPr>
          <w:u w:val="single"/>
        </w:rPr>
        <w:tab/>
      </w:r>
    </w:p>
    <w:p>
      <w:pPr>
        <w:pStyle w:val="Normal"/>
        <w:tabs>
          <w:tab w:val="clear" w:pos="720"/>
          <w:tab w:val="right" w:pos="3240" w:leader="none"/>
        </w:tabs>
        <w:ind w:firstLine="270" w:end="0"/>
        <w:jc w:val="both"/>
        <w:rPr/>
      </w:pPr>
      <w:r>
        <w:rPr/>
        <w:t xml:space="preserve"> </w:t>
      </w:r>
      <w:r>
        <w:rPr/>
        <w:t>Name:</w:t>
      </w:r>
    </w:p>
    <w:p>
      <w:pPr>
        <w:pStyle w:val="SingleSpace"/>
        <w:ind w:firstLine="270" w:end="0"/>
        <w:rPr>
          <w:sz w:val="20"/>
        </w:rPr>
      </w:pPr>
      <w:r>
        <w:rPr>
          <w:sz w:val="20"/>
        </w:rPr>
        <w:t xml:space="preserve"> </w:t>
      </w:r>
      <w:r>
        <w:rPr>
          <w:sz w:val="20"/>
        </w:rPr>
        <w:t>Title:</w:t>
      </w:r>
      <w:r>
        <w:br w:type="page"/>
      </w:r>
    </w:p>
    <w:p>
      <w:pPr>
        <w:pStyle w:val="Normal"/>
        <w:suppressAutoHyphens w:val="true"/>
        <w:jc w:val="center"/>
        <w:rPr>
          <w:sz w:val="20"/>
        </w:rPr>
      </w:pPr>
      <w:r>
        <w:rPr>
          <w:sz w:val="20"/>
        </w:rPr>
      </w:r>
    </w:p>
    <w:p>
      <w:pPr>
        <w:pStyle w:val="Normal"/>
        <w:suppressAutoHyphens w:val="true"/>
        <w:jc w:val="center"/>
        <w:rPr>
          <w:b/>
        </w:rPr>
      </w:pPr>
      <w:r>
        <w:rPr>
          <w:b/>
          <w:u w:val="single"/>
        </w:rPr>
        <w:t>REGISTRATION RIGHTS AGREEMENT</w:t>
      </w:r>
    </w:p>
    <w:p>
      <w:pPr>
        <w:pStyle w:val="FootnoteText"/>
        <w:rPr>
          <w:b/>
        </w:rPr>
      </w:pPr>
      <w:r>
        <w:rPr>
          <w:b/>
        </w:rPr>
      </w:r>
    </w:p>
    <w:p>
      <w:pPr>
        <w:pStyle w:val="BodyText"/>
        <w:rPr/>
      </w:pPr>
      <w:r>
        <w:rPr/>
        <w:t>REGISTRATION RIGHTS AGREEMENT dated as of [               ] between  [        ]a  corporation  (the “Company”) and Merrill Lynch International (the “Shareholder”).</w:t>
      </w:r>
    </w:p>
    <w:p>
      <w:pPr>
        <w:pStyle w:val="Heading1"/>
        <w:rPr/>
      </w:pPr>
      <w:r>
        <w:rPr/>
      </w:r>
    </w:p>
    <w:p>
      <w:pPr>
        <w:pStyle w:val="Heading1"/>
        <w:rPr/>
      </w:pPr>
      <w:r>
        <w:rPr/>
        <w:t>ARTICLE I.</w:t>
        <w:br/>
        <w:br/>
        <w:t>DEFINITIONS</w:t>
      </w:r>
    </w:p>
    <w:p>
      <w:pPr>
        <w:pStyle w:val="Heading2"/>
        <w:ind w:hanging="0" w:start="0"/>
        <w:rPr/>
      </w:pPr>
      <w:r>
        <w:rPr>
          <w:sz w:val="20"/>
        </w:rPr>
        <w:t>Section 1.01.</w:t>
        <w:tab/>
      </w:r>
      <w:r>
        <w:rPr>
          <w:sz w:val="20"/>
          <w:u w:val="single"/>
        </w:rPr>
        <w:t>Definitions</w:t>
      </w:r>
      <w:r>
        <w:rPr>
          <w:sz w:val="20"/>
        </w:rPr>
        <w:t>.  The following terms, as used herein, have the following meanings:</w:t>
      </w:r>
    </w:p>
    <w:p>
      <w:pPr>
        <w:pStyle w:val="BodyText"/>
        <w:rPr/>
      </w:pPr>
      <w:r>
        <w:rPr/>
        <w:t>“</w:t>
      </w:r>
      <w:r>
        <w:rPr/>
        <w:t>1933 Act” means the Securities Act of 1933, as amended, and the rules and regulations thereunder.</w:t>
      </w:r>
    </w:p>
    <w:p>
      <w:pPr>
        <w:pStyle w:val="BodyText"/>
        <w:rPr/>
      </w:pPr>
      <w:r>
        <w:rPr/>
        <w:t>“</w:t>
      </w:r>
      <w:r>
        <w:rPr/>
        <w:t>1934 Act” means the Securities Exchange Act of 1934, as amended, and the rules and regulations thereunder.</w:t>
      </w:r>
    </w:p>
    <w:p>
      <w:pPr>
        <w:pStyle w:val="BodyText"/>
        <w:rPr/>
      </w:pPr>
      <w:r>
        <w:rPr/>
        <w:t>“</w:t>
      </w:r>
      <w:r>
        <w:rPr/>
        <w:t>Business Day” means any day except a Saturday, Sunday or other day on which commercial banks in New York are authorized by law to close.</w:t>
      </w:r>
    </w:p>
    <w:p>
      <w:pPr>
        <w:pStyle w:val="BodyText"/>
        <w:rPr/>
      </w:pPr>
      <w:r>
        <w:rPr/>
        <w:t>“</w:t>
      </w:r>
      <w:r>
        <w:rPr/>
        <w:t>Commission” means the Securities and Exchange Commission.</w:t>
      </w:r>
    </w:p>
    <w:p>
      <w:pPr>
        <w:pStyle w:val="BodyText"/>
        <w:rPr/>
      </w:pPr>
      <w:r>
        <w:rPr/>
        <w:t>“</w:t>
      </w:r>
      <w:r>
        <w:rPr/>
        <w:t>Common Stock” means the Company’s common stock, par value $[     ] per share and any securities of the Company or any successor which may be issued on or after the date of the Confirmation in respect of, or in exchange for, shares of Common Stock pursuant to a merger, consolidation, stock split, stock dividend, recapitalization of the Company or similar events.</w:t>
      </w:r>
    </w:p>
    <w:p>
      <w:pPr>
        <w:pStyle w:val="BodyText"/>
        <w:rPr/>
      </w:pPr>
      <w:r>
        <w:rPr/>
        <w:t>“</w:t>
      </w:r>
      <w:r>
        <w:rPr/>
        <w:t>Confirmation” means the Confirmation of Forward Stock Purchase Transaction between the Company and the Shareholder dated as of [       ].</w:t>
      </w:r>
    </w:p>
    <w:p>
      <w:pPr>
        <w:pStyle w:val="BodyText"/>
        <w:rPr/>
      </w:pPr>
      <w:r>
        <w:rPr/>
        <w:t>“</w:t>
      </w:r>
      <w:r>
        <w:rPr/>
        <w:t>Prospectus” shall mean the prospectus that is a part of the Shelf Registration Statement at all times after the effective date of the Shelf Registration Statement, as the same may be amended.</w:t>
      </w:r>
    </w:p>
    <w:p>
      <w:pPr>
        <w:pStyle w:val="BodyText"/>
        <w:rPr/>
      </w:pPr>
      <w:r>
        <w:rPr/>
        <w:t xml:space="preserve"> “</w:t>
      </w:r>
      <w:r>
        <w:rPr/>
        <w:t>Person” means an individual, a corporation, a partnership, limited liability company, an association, a trust or other entity or organization, including a government or political subdivision or an agency or instrumentality thereof.</w:t>
      </w:r>
    </w:p>
    <w:p>
      <w:pPr>
        <w:pStyle w:val="BodyText"/>
        <w:rPr/>
      </w:pPr>
      <w:r>
        <w:rPr/>
        <w:t>“</w:t>
      </w:r>
      <w:r>
        <w:rPr/>
        <w:t>Registrable Securities” means, for any Settlement Event, all shares of Common Stock to be delivered by the Company to the Shareholder in connection with such Settlement Event and all shares of Common Stock held by the Shareholder for hedging purposes in connection with the portion of the Transaction subject to such Settlement Event.</w:t>
      </w:r>
    </w:p>
    <w:p>
      <w:pPr>
        <w:pStyle w:val="BodyText"/>
        <w:rPr/>
      </w:pPr>
      <w:r>
        <w:rPr/>
        <w:t>“</w:t>
      </w:r>
      <w:r>
        <w:rPr/>
        <w:t>Shelf Registration Statement” means the Shelf Registration Statement as defined in Section 2.01.</w:t>
      </w:r>
    </w:p>
    <w:p>
      <w:pPr>
        <w:pStyle w:val="BodyText"/>
        <w:rPr/>
      </w:pPr>
      <w:r>
        <w:rPr/>
        <w:t>Capitalized terms used herein without definition have the meanings ascribed to them in the Confirmation.</w:t>
      </w:r>
    </w:p>
    <w:p>
      <w:pPr>
        <w:pStyle w:val="Heading1"/>
        <w:rPr/>
      </w:pPr>
      <w:r>
        <w:rPr/>
        <w:t>ARTICLE II.</w:t>
        <w:tab/>
      </w:r>
    </w:p>
    <w:p>
      <w:pPr>
        <w:pStyle w:val="Heading1"/>
        <w:rPr/>
      </w:pPr>
      <w:r>
        <w:rPr/>
        <w:t>REGISTRATION RIGHTS</w:t>
      </w:r>
    </w:p>
    <w:p>
      <w:pPr>
        <w:pStyle w:val="Heading2"/>
        <w:ind w:hanging="0" w:start="0"/>
        <w:rPr/>
      </w:pPr>
      <w:r>
        <w:rPr>
          <w:sz w:val="20"/>
        </w:rPr>
        <w:t>Section 2.01.</w:t>
        <w:tab/>
      </w:r>
      <w:r>
        <w:rPr>
          <w:sz w:val="20"/>
          <w:u w:val="single"/>
        </w:rPr>
        <w:t>Shelf Registration</w:t>
      </w:r>
      <w:r>
        <w:rPr>
          <w:sz w:val="20"/>
        </w:rPr>
        <w:t>.</w:t>
      </w:r>
      <w:r>
        <w:rPr>
          <w:rStyle w:val="ParaNum"/>
          <w:sz w:val="20"/>
        </w:rPr>
        <w:t xml:space="preserve">  </w:t>
      </w:r>
    </w:p>
    <w:p>
      <w:pPr>
        <w:pStyle w:val="Heading2"/>
        <w:ind w:hanging="0" w:start="0"/>
        <w:rPr/>
      </w:pPr>
      <w:r>
        <w:rPr>
          <w:sz w:val="20"/>
        </w:rPr>
        <w:t>The Company agrees, in connection with each Settlement Event for which Stock Settlement or Cash Settlement has been or will be elected, to prepare and file with the Commission a shelf registration statement (as amended and supplemented from time to time, the “Shelf Registration Statement”) relating to the Registrable Securities in accordance with Rule 415 under the 1933 Act, to cause such Shelf Registration Statement to be declared effective prior to the Stock Settlement Commencement Date related to that Settlement Event and to keep such Shelf Registration Statement continuously effective and in compliance with the 1933 Act and usable for resale of such Registrable Securities during the related Registration Period.</w:t>
      </w:r>
    </w:p>
    <w:p>
      <w:pPr>
        <w:pStyle w:val="Heading1"/>
        <w:rPr/>
      </w:pPr>
      <w:r>
        <w:rPr/>
        <w:t>ARTICLE III.</w:t>
        <w:br/>
        <w:br/>
        <w:t>REGISTRATION PROCEDURES; INDEMNIFICATION</w:t>
      </w:r>
    </w:p>
    <w:p>
      <w:pPr>
        <w:pStyle w:val="Heading2"/>
        <w:ind w:hanging="0" w:start="0"/>
        <w:rPr>
          <w:sz w:val="20"/>
          <w:u w:val="single"/>
        </w:rPr>
      </w:pPr>
      <w:r>
        <w:rPr>
          <w:sz w:val="20"/>
        </w:rPr>
        <w:t xml:space="preserve">Section 3.01. </w:t>
      </w:r>
      <w:r>
        <w:rPr>
          <w:sz w:val="20"/>
          <w:u w:val="single"/>
        </w:rPr>
        <w:t>Registration Procedures</w:t>
      </w:r>
      <w:r>
        <w:rPr>
          <w:sz w:val="20"/>
        </w:rPr>
        <w:t>.</w:t>
      </w:r>
    </w:p>
    <w:p>
      <w:pPr>
        <w:pStyle w:val="Heading2"/>
        <w:ind w:hanging="0" w:start="0"/>
        <w:rPr>
          <w:sz w:val="20"/>
        </w:rPr>
      </w:pPr>
      <w:r>
        <w:rPr>
          <w:sz w:val="20"/>
        </w:rPr>
        <w:t xml:space="preserve">In connection with any Shelf Registration Statement covering Registrable Securities: </w:t>
      </w:r>
    </w:p>
    <w:p>
      <w:pPr>
        <w:pStyle w:val="Body"/>
        <w:jc w:val="both"/>
        <w:rPr>
          <w:sz w:val="20"/>
        </w:rPr>
      </w:pPr>
      <w:r>
        <w:rPr>
          <w:sz w:val="20"/>
        </w:rPr>
        <w:t>(a)</w:t>
        <w:tab/>
        <w:t>The Company will notify the Shareholder immediately, and confirm the notice in writing, (i) when the Shelf Registration Statement, or any amendment or post-effective amendment to the Shelf Registration Statement, shall have become effective, or any supplement to the Prospectus or any amended Prospectus shall have been filed, (ii) of any request by the Commission or any other Federal or state governmental authority to amend the Shelf Registration Statement or amend or supplement the Prospectus or for additional information after the Shelf Registration Statement shall have become effective, (iii) of the issuance by the Commission of any stop order suspending the effectiveness of the Shelf Registration Statement or of any order preventing or suspending the use of any preliminary or final prospectus, or of the suspension of the qualification of the Registrable Securities for offering or sale in any jurisdiction, or of the institution or threat of any proceedings for any of such purposes and (iv) of the existence of any fact that results in the Shelf Registration Statement, the Prospectus or any document incorporated therein by reference containing an untrue statement of material fact or omitting to state a material fact required to be stated therein or necessary to make any statement therein not misleading.</w:t>
      </w:r>
    </w:p>
    <w:p>
      <w:pPr>
        <w:pStyle w:val="Body"/>
        <w:jc w:val="both"/>
        <w:rPr>
          <w:sz w:val="20"/>
        </w:rPr>
      </w:pPr>
      <w:r>
        <w:rPr>
          <w:sz w:val="20"/>
        </w:rPr>
        <w:t>(b)</w:t>
        <w:tab/>
        <w:t>The Company will use its best efforts to prevent the issuance of any stop order suspending the effectiveness of the Shelf Registration Statement or of any order preventing or suspending the use of any preliminary or final prospectus and, if any such order is issued, to obtain the lifting thereof at the earliest possible moment.  If the Shelf Registration Statement, the Prospectus or any document incorporated therein by reference contains an untrue statement of a material fact or omits to state a material fact required to be stated therein or necessary to make any statement therein not misleading, the Company will as promptly as practicable file any required document and prepare and furnish to Shareholder a reasonable number of copies of such supplement or amendment thereto as may be necessary so that the Prospectus, as thereafter delivered to the purchasers of the Registrable Securities, will not contain any untrue statement of a material fact or omit to state a material fact.</w:t>
      </w:r>
    </w:p>
    <w:p>
      <w:pPr>
        <w:pStyle w:val="Body"/>
        <w:jc w:val="both"/>
        <w:rPr>
          <w:sz w:val="20"/>
        </w:rPr>
      </w:pPr>
      <w:r>
        <w:rPr>
          <w:sz w:val="20"/>
        </w:rPr>
        <w:t>(c)</w:t>
        <w:tab/>
        <w:t>The Company will furnish to the Shareholder, without charge, as many signed copies of the Shelf Registration Statement (as originally filed) and of all amendments thereto, whether filed before or after the Shelf Registration Statement becomes effective, copies of all exhibits and documents filed therewith, including documents incorporated by reference into the Prospectus, prospectus supplements, and signed copies of all consents and certificates of experts, as the Shareholder may reasonably request. The Company will deliver to the Shareholder and each underwriter or agent participating in such offering, without charge, as many copies of each preliminary prospectus as the Shareholder or such underwriter or agent may reasonably request, and the Company hereby consents to the use of such copies for purposes permitted by the 1933 Act.  The Company will deliver to the Shareholder and each underwriter or agent participating in such offering, without charge, from time to time during the period when the Prospectus is required to be delivered under the 1933 Act, such number of copies of the Prospectus (as supplemented or amended) as the Shareholder or such underwriter or agent may reasonably request.</w:t>
      </w:r>
    </w:p>
    <w:p>
      <w:pPr>
        <w:pStyle w:val="Body"/>
        <w:jc w:val="both"/>
        <w:rPr>
          <w:sz w:val="20"/>
        </w:rPr>
      </w:pPr>
      <w:r>
        <w:rPr>
          <w:sz w:val="20"/>
        </w:rPr>
        <w:t>(d)</w:t>
        <w:tab/>
        <w:t xml:space="preserve">The Company will comply with the 1933 Act and the 1934 Act so as to permit the completion of the distribution of the Registrable Securities in accordance with the intended method or methods of distribution contemplated in the Prospectus, as indicated by the Shareholder.  The Company will use its best efforts to make generally available to its security holders, as soon as reasonably practicable (but not more than fifteen months) after the effective date of the Registration Statement, an earnings statement satisfying the provisions of Section 11(a) of the 1933 Act and the rules and regulations promulgated thereunder.  </w:t>
      </w:r>
    </w:p>
    <w:p>
      <w:pPr>
        <w:pStyle w:val="Body"/>
        <w:jc w:val="both"/>
        <w:rPr>
          <w:sz w:val="20"/>
        </w:rPr>
      </w:pPr>
      <w:r>
        <w:rPr>
          <w:sz w:val="20"/>
        </w:rPr>
        <w:t>(e)</w:t>
        <w:tab/>
        <w:t>The Company will use its best efforts, in cooperation with the Shareholder, to qualify the Registrable Securities for offering and sale under the applicable securities laws of such states and other jurisdictions as the Shareholder may designate; provided, however, that the Company shall not be obligated to qualify the Registrable Securities for offering and sale under the applicable securities laws of such states and other jurisdictions where the Company would be obligated to file any general consent to service of process or to qualify as a foreign corporation or as a broker or dealer in securities in any jurisdiction in which it is not so qualified or to subject itself to taxation in respect of doing business in any jurisdiction in which it is not otherwise so subject.  The Company will file such statements and reports as may be required by the laws of each jurisdiction in which the Registrable Securities have been qualified as above provided.</w:t>
      </w:r>
    </w:p>
    <w:p>
      <w:pPr>
        <w:pStyle w:val="Body"/>
        <w:jc w:val="both"/>
        <w:rPr>
          <w:sz w:val="20"/>
        </w:rPr>
      </w:pPr>
      <w:r>
        <w:rPr>
          <w:sz w:val="20"/>
        </w:rPr>
        <w:t>(f)</w:t>
        <w:tab/>
        <w:t>The Company will use its best efforts effect the listing of the Registrable Securities covered by a Shelf Registration Statement on the Exchange and each other securities exchange on which similar securities issued by the Company are then listed, or if no such securities of the Company are then listed on any securities exchange and if requested by the Shareholder, the Company will use its best efforts to effect such listing upon a national securities exchange.</w:t>
      </w:r>
    </w:p>
    <w:p>
      <w:pPr>
        <w:pStyle w:val="Body"/>
        <w:jc w:val="both"/>
        <w:rPr>
          <w:sz w:val="20"/>
        </w:rPr>
      </w:pPr>
      <w:r>
        <w:rPr>
          <w:sz w:val="20"/>
        </w:rPr>
        <w:t>(g)</w:t>
        <w:tab/>
        <w:t>If requested by the Shareholder, the Company will enter into such customary agreements, including a customary underwriting or agency agreement with the underwriters or agents, if any, selected by the Shareholder and take all such other actions in connection with the offering requested by the Shareholder or any underwriter or agent in order to expedite or facilitate the disposition of the Registrable Securities.</w:t>
      </w:r>
    </w:p>
    <w:p>
      <w:pPr>
        <w:pStyle w:val="Body"/>
        <w:jc w:val="both"/>
        <w:rPr>
          <w:sz w:val="20"/>
        </w:rPr>
      </w:pPr>
      <w:r>
        <w:rPr>
          <w:sz w:val="20"/>
        </w:rPr>
        <w:t>(h)</w:t>
        <w:tab/>
        <w:t>The Company will cooperate with the Shareholder and each underwriter or agent, if any, participating in the disposition of such Registrable and their respective counsel in connection with any filings required to be made with the National Association of Securities Dealers, Inc. (the "NASD").</w:t>
      </w:r>
    </w:p>
    <w:p>
      <w:pPr>
        <w:pStyle w:val="Body"/>
        <w:jc w:val="both"/>
        <w:rPr>
          <w:sz w:val="20"/>
        </w:rPr>
      </w:pPr>
      <w:r>
        <w:rPr>
          <w:sz w:val="20"/>
        </w:rPr>
        <w:t>(i)</w:t>
        <w:tab/>
        <w:t xml:space="preserve">The Company will pay and bear all costs and expenses incident to the performance of its obligations in connection with the Shelf Registration Statement, including, without limitation:  (i) the preparation, printing and filing of the Shelf Registration Statement (including financial statements and exhibits), as originally filed and as amended, any preliminary prospectuses and the Prospectus and any amendments or supplements thereto, and the cost of furnishing copies thereof to the Shareholder and any underwriters or agents; (ii) the preparation, printing and distribution of certificates representing the Registrable Securities (without any restrictive legends), any Blue Sky Survey and other documents relating to the performance of and compliance with this Agreement; (iii) the fees and disbursements of the Company’s counsel and accountants; (iv) the reasonable fees and expenses of any special experts retained in connection with the Shelf Registration Statement, if any; (v) the qualification of the Registrable Securities under applicable securities laws and any filing for review of the offering with the NASD, including filing fees and fees and disbursements of counsel for the Selling Shareholders or any underwriters or agents, as the case may be, in connection therewith and in connection with any Blue Sky Survey; (vi) all fees and expenses incurred in connection with the listing, if any, of any of the Registrable Securities on any securities exchange; and </w:t>
      </w:r>
      <w:bookmarkStart w:id="1" w:name="BWLevel4"/>
      <w:r>
        <w:rPr>
          <w:sz w:val="20"/>
        </w:rPr>
        <w:t>(vii)</w:t>
      </w:r>
      <w:bookmarkEnd w:id="1"/>
      <w:r>
        <w:rPr>
          <w:sz w:val="20"/>
        </w:rPr>
        <w:t xml:space="preserve"> the reasonable fees and disbursements of one counsel to review the Shelf Registration Statement on behalf of the Shareholder and any underwriters or agents and to provide a disclosure opinion thereon. </w:t>
      </w:r>
    </w:p>
    <w:p>
      <w:pPr>
        <w:pStyle w:val="Body"/>
        <w:jc w:val="both"/>
        <w:rPr>
          <w:sz w:val="20"/>
        </w:rPr>
      </w:pPr>
      <w:r>
        <w:rPr>
          <w:sz w:val="20"/>
        </w:rPr>
        <w:t>(j)</w:t>
        <w:tab/>
        <w:t>Upon the request of the Shareholder, or if required by the rules, regulations or instructions applicable to the registration form used by the Company, or by the 1933 Act in connection with the offering of Registrable Securities pursuant to the Shelf Registration Statement, the Company will prepare a prospectus supplement that complies with the 1933 Act and the rules and regulations of the Commission thereunder and that sets forth the aggregate amount of the Registrable Securities (specified by the Shareholder pursuant to paragraph II.2.a(ii) of the Confirmation) being sold, the name or names of any underwriters or agents participating in the offering, the price at which the Registrable Securities are to be sold, any discounts, commissions or other items constituting compensation, and such other information as the Shareholder and the Company deem appropriate in connection with the offering of the Registrable Securities prior to its being used or filed with the Commission.</w:t>
      </w:r>
    </w:p>
    <w:p>
      <w:pPr>
        <w:pStyle w:val="Body"/>
        <w:jc w:val="both"/>
        <w:rPr>
          <w:sz w:val="20"/>
        </w:rPr>
      </w:pPr>
      <w:r>
        <w:rPr>
          <w:sz w:val="20"/>
        </w:rPr>
        <w:t>(k)</w:t>
        <w:tab/>
        <w:t>On or prior to the Stock Settlement Commencement Date, the Company will furnish to the Shareholder and, if requested by the Shareholder, to any underwriter, a signed counterpart, addressed to the Shareholder and any such underwriter, of (i) an opinion or opinions of counsel to the Company reasonably acceptable to the Shareholder, (ii) a comfort letter or comfort letters from the Company’s independent public accountants, and (iii) a letter of representations and warranties signed by the Chief Financial Officer or Treasurer of the Company, each in customary form and covering such matters of the type customarily covered in connection with underwritten public offerings of equity securities by opinions, comfort letters, and representations and warranties, respectively, as the Shareholder reasonably requests.</w:t>
      </w:r>
    </w:p>
    <w:p>
      <w:pPr>
        <w:pStyle w:val="Body"/>
        <w:jc w:val="both"/>
        <w:rPr>
          <w:sz w:val="20"/>
        </w:rPr>
      </w:pPr>
      <w:r>
        <w:rPr>
          <w:sz w:val="20"/>
        </w:rPr>
        <w:t>(l)</w:t>
        <w:tab/>
        <w:t>In connection with the preparation and filing of each Shelf Registration Statement, the Company will give the Shareholder, its underwriters or agents, if any, and their respective counsel and accountants, the opportunity to participate in the preparation thereof, each prospectus included therein or filed with the Commission in connection therewith, and each amendment thereof or supplement thereto, will make the corrections reasonably requested by them prior to filing any such registration statement or amendment, and will give to each of them such reasonable access to its books and records and properties and such opportunities to discuss the business of the Company with its directors, officers and employees and the independent public accountants who have certified its financial statement and other experts as shall be necessary, in the opinion of the Shareholder's and such underwriters' or agents' respective counsel, to conduct a reasonable investigation within the meaning of the 1933 Act.</w:t>
      </w:r>
    </w:p>
    <w:p>
      <w:pPr>
        <w:pStyle w:val="Body"/>
        <w:jc w:val="both"/>
        <w:rPr>
          <w:sz w:val="20"/>
          <w:u w:val="single"/>
        </w:rPr>
      </w:pPr>
      <w:r>
        <w:rPr>
          <w:sz w:val="20"/>
        </w:rPr>
        <w:t xml:space="preserve">Section 3.02. </w:t>
      </w:r>
      <w:r>
        <w:rPr>
          <w:sz w:val="20"/>
          <w:u w:val="single"/>
        </w:rPr>
        <w:t>Indemnification and Contribution</w:t>
      </w:r>
      <w:r>
        <w:rPr>
          <w:sz w:val="20"/>
        </w:rPr>
        <w:t>.</w:t>
      </w:r>
    </w:p>
    <w:p>
      <w:pPr>
        <w:pStyle w:val="Body"/>
        <w:jc w:val="both"/>
        <w:rPr>
          <w:sz w:val="20"/>
        </w:rPr>
      </w:pPr>
      <w:r>
        <w:rPr>
          <w:sz w:val="20"/>
        </w:rPr>
        <w:t>(a)</w:t>
        <w:tab/>
        <w:t>The Company agrees to indemnify and hold harmless the Shareholder, its affiliates, each underwriter or agent participating in such offering, together with all officers, directors, agents, and employees of the Shareholder, its affiliates, each underwriter or agent, and each Person, if any, who controls the Shareholder or any such affiliate, underwriter or agent within the meaning of Section 15 of the 1933 Act as follows:</w:t>
      </w:r>
    </w:p>
    <w:p>
      <w:pPr>
        <w:pStyle w:val="Heading4"/>
        <w:ind w:firstLine="1440" w:start="720" w:end="0"/>
        <w:rPr>
          <w:sz w:val="20"/>
        </w:rPr>
      </w:pPr>
      <w:r>
        <w:rPr>
          <w:sz w:val="20"/>
        </w:rPr>
        <w:t>(i)</w:t>
        <w:tab/>
        <w:t>against any and all loss, liability, claim, damage, joint or several, and expense whatsoever, as incurred, arising out of an untrue statement or alleged untrue statement of a material fact contained in the Shelf Registration Statement (or any amendment thereto), or the omission or alleged omission therefrom of a material fact required to be stated therein or necessary to make the statements therein, in the light of the circumstances under which they were made, not misleading or arising out of an untrue statement of a material fact included in any preliminary prospectus or the Prospectus (or any amendment or supplement thereto) or the omission or alleged omission therefrom of a material fact necessary in order to make the statements therein, in the light of the circumstances under which they were made, not misleading;</w:t>
      </w:r>
    </w:p>
    <w:p>
      <w:pPr>
        <w:pStyle w:val="Heading4"/>
        <w:ind w:firstLine="1440" w:start="720" w:end="0"/>
        <w:rPr>
          <w:sz w:val="20"/>
        </w:rPr>
      </w:pPr>
      <w:r>
        <w:rPr>
          <w:sz w:val="20"/>
        </w:rPr>
        <w:t>(ii)</w:t>
        <w:tab/>
        <w:t>against any and all loss, liability, claim, damage, joint or several, and expense whatsoever, as incurred, to the extent of the aggregate amount paid in settlement of any litigation, or of any investigation or proceeding by any governmental agency or body, commenced or threatened, or of any claim whatsoever, based upon any such untrue statement or omission, or any such alleged untrue statement or omission, if such settlement is effected with the written consent of the Company which consent shall not be unreasonably withheld; and</w:t>
      </w:r>
    </w:p>
    <w:p>
      <w:pPr>
        <w:pStyle w:val="Heading4"/>
        <w:ind w:firstLine="1440" w:start="720" w:end="0"/>
        <w:rPr>
          <w:sz w:val="20"/>
        </w:rPr>
      </w:pPr>
      <w:r>
        <w:rPr>
          <w:sz w:val="20"/>
        </w:rPr>
        <w:t>(iii)</w:t>
        <w:tab/>
        <w:t>against any and all expense whatsoever, as incurred (including fees and disbursements of counsel chosen by the Shareholder and by the Underwriters or agents), reasonably incurred in investigating, preparing or defending against any litigation, or any investigation or proceeding by any governmental agency or body, commenced or threatened, or any claim whatsoever, based upon any such untrue statement or omission, or any such alleged untrue statement or omission, to the extent that any such expense is not paid under subparagraph (i) or (ii) above;</w:t>
      </w:r>
    </w:p>
    <w:p>
      <w:pPr>
        <w:pStyle w:val="BodyText"/>
        <w:rPr/>
      </w:pPr>
      <w:r>
        <w:rPr>
          <w:u w:val="single"/>
        </w:rPr>
        <w:t>provided</w:t>
      </w:r>
      <w:r>
        <w:rPr/>
        <w:t xml:space="preserve">, </w:t>
      </w:r>
      <w:r>
        <w:rPr>
          <w:u w:val="single"/>
        </w:rPr>
        <w:t>however</w:t>
      </w:r>
      <w:r>
        <w:rPr/>
        <w:t>, that this indemnity does not apply to any loss, liability, claim, damage or expense of the Shareholder, underwriter, or agent to the extent arising out of an untrue statement or omission or alleged untrue statement or omission made in reliance upon and in conformity with written information furnished to the Company by or on behalf of the Shareholder or such underwriter or agent expressly for use in the Shelf Registration Statement (or any amendment thereto), or any preliminary prospectus or the Prospectus (or any amendment or supplement thereto).</w:t>
      </w:r>
    </w:p>
    <w:p>
      <w:pPr>
        <w:pStyle w:val="Body"/>
        <w:jc w:val="both"/>
        <w:rPr>
          <w:sz w:val="20"/>
        </w:rPr>
      </w:pPr>
      <w:r>
        <w:rPr>
          <w:sz w:val="20"/>
        </w:rPr>
        <w:t>(b)</w:t>
        <w:tab/>
        <w:t>The Shareholder agrees to indemnify and hold harmless the Company, its directors, each of its officers who signed a Shelf Registration Statement, and each Person, if any, who controls the Company within the meaning of Section 15 of the 1933 Act, against any and all loss, liability, claim, damage and expense described in the indemnity contained in Section 3.02(a), as incurred, but only with respect to untrue statements or omissions, or alleged untrue statements or omissions, made in the Shelf Registration Statement (or any amendment thereto), or any preliminary prospectus or the Prospectus (or any amendment or supplement thereto) in reliance upon and in conformity with written information furnished to the Company by or on behalf of the Shareholder expressly for use in the Shelf Registration Statement (or any amendment thereto), or any preliminary prospectus or the Prospectus (or any amendment or supplement thereto).</w:t>
      </w:r>
    </w:p>
    <w:p>
      <w:pPr>
        <w:pStyle w:val="Body"/>
        <w:jc w:val="both"/>
        <w:rPr>
          <w:sz w:val="20"/>
        </w:rPr>
      </w:pPr>
      <w:r>
        <w:rPr>
          <w:sz w:val="20"/>
        </w:rPr>
        <w:t xml:space="preserve"> </w:t>
      </w:r>
      <w:r>
        <w:rPr>
          <w:sz w:val="20"/>
        </w:rPr>
        <w:t>(c)</w:t>
        <w:tab/>
        <w:t xml:space="preserve"> In order to provide for just and equitable contribution in circumstances under which the indemnity provided for in Sections 3.02(a) and (b) is for any reason held to be unenforceable by the indemnified parties although applicable in accordance with its terms, (i) as between the Company, on the one hand, and the Shareholder, on the other hand, the Company and the Shareholder shall contribute to the aggregate losses, liabilities, claims, damages and expenses of the nature contemplated by such indemnity incurred by the Company and the Shareholder, as incurred, in such proportion as is appropriate to reflect the relative fault of the Company on the one hand and of the Shareholder on the other hand in connection with the statements or omissions which resulted in such losses, liabilities, claims, damages or expenses, as well as any other relevant equitable considerations and (ii) as between the Company and the Shareholder, on the one hand, and any underwriters or agents on the other hand, in proportion such that (x) the underwriters or agents are responsible for that portion represented by the percentage that the underwriting discounts and commissions for the offering appearing on the cover page of the Prospectus (or, if not set forth on the cover page, that are applicable to the offering) bear to the initial public offering price appearing on the cover page (or, if not set forth on the cover page, that are applicable to the offering), and (y) the Shareholder (to the extent of the net proceeds realized by the Shareholder) and the Company are responsible to contribute pro rata, based upon their relative fault as provided in clause (i) above in respect of the balance.  The relative fault of the Company on the one hand and the Shareholder on the other hand shall be determined by reference to, among other things, whether any such untrue or alleged untrue statement of a material fact or omission or alleged omission to state a material fact relates to information supplied by the Company or by the Shareholder and the parties’ relative intent, knowledge, access to information and opportunity to correct or prevent such statement or omission.  The Company and the Shareholder agree that it would not be just and equitable if contribution pursuant to this Section 3.02(c) were determined by pro rata allocation or by any other method of allocation which does not take account of the equitable considerations referred to above in this Section 3.02(c).  The aggregate amount of losses, liabilities, claims, damages and expenses incurred by an indemnified party and referred to above in this Section 3.02(c) shall be deemed to include any legal or other expenses reasonably incurred by such indemnified party in investigation, preparing or defending against any litigation, or any investigation or proceeding by any governmental agency or body, commenced or threatened, or any claim whatsoever based upon any such untrue or alleged untrue statement or omission or alleged omission.  No Person guilty of fraudulent misrepresentation (within the meaning of Section 11(f) of the 1933 Act) in connection with a statement or omission shall be entitled to contribution from any Person who was not guilty of such fraudulent misrepresentation in connection with such statement or omission.</w:t>
      </w:r>
    </w:p>
    <w:p>
      <w:pPr>
        <w:pStyle w:val="Body"/>
        <w:jc w:val="both"/>
        <w:rPr>
          <w:sz w:val="20"/>
        </w:rPr>
      </w:pPr>
      <w:r>
        <w:rPr>
          <w:sz w:val="20"/>
        </w:rPr>
        <w:t>(d)</w:t>
        <w:tab/>
        <w:t xml:space="preserve">The indemnity and contribution agreements contained in this Section 3.02 shall remain operative and in full force and effect regardless of (i) any termination of any underwriting or agency agreement, (ii) any investigation made by or on behalf of the Shareholder, the Company or any underwriter or agent or controlling person, or (iii) the consummation of the sale or successive resales of the Registrable Securities. </w:t>
      </w:r>
    </w:p>
    <w:p>
      <w:pPr>
        <w:pStyle w:val="Heading1"/>
        <w:rPr/>
      </w:pPr>
      <w:r>
        <w:rPr/>
        <w:t xml:space="preserve">ARTICLE IV. </w:t>
        <w:br/>
        <w:br/>
        <w:t>MISCELLANEOUS</w:t>
      </w:r>
    </w:p>
    <w:p>
      <w:pPr>
        <w:pStyle w:val="Heading2"/>
        <w:ind w:hanging="0" w:start="0"/>
        <w:rPr/>
      </w:pPr>
      <w:r>
        <w:rPr>
          <w:sz w:val="20"/>
        </w:rPr>
        <w:t>Section 4.01.</w:t>
        <w:tab/>
      </w:r>
      <w:r>
        <w:rPr>
          <w:sz w:val="20"/>
          <w:u w:val="single"/>
        </w:rPr>
        <w:t>Notices</w:t>
      </w:r>
      <w:r>
        <w:rPr>
          <w:sz w:val="20"/>
        </w:rPr>
        <w:t>.  All notices, requests and other communications to either party hereunder shall be in writing (including telecopy or similar writing) and shall be given,</w:t>
      </w:r>
    </w:p>
    <w:p>
      <w:pPr>
        <w:pStyle w:val="Normal"/>
        <w:suppressAutoHyphens w:val="true"/>
        <w:spacing w:before="0" w:after="240"/>
        <w:ind w:firstLine="1440" w:end="0"/>
        <w:jc w:val="both"/>
        <w:rPr>
          <w:color w:val="000000"/>
        </w:rPr>
      </w:pPr>
      <w:r>
        <w:rPr>
          <w:color w:val="000000"/>
        </w:rPr>
        <w:t>if to the Company, to:</w:t>
      </w:r>
    </w:p>
    <w:p>
      <w:pPr>
        <w:pStyle w:val="Normal"/>
        <w:suppressAutoHyphens w:val="true"/>
        <w:ind w:firstLine="1440" w:end="0"/>
        <w:jc w:val="both"/>
        <w:rPr>
          <w:b/>
        </w:rPr>
      </w:pPr>
      <w:r>
        <w:rPr>
          <w:b/>
        </w:rPr>
        <w:t>[             ]</w:t>
      </w:r>
    </w:p>
    <w:p>
      <w:pPr>
        <w:pStyle w:val="Normal"/>
        <w:suppressAutoHyphens w:val="true"/>
        <w:ind w:firstLine="1440" w:end="0"/>
        <w:jc w:val="both"/>
        <w:rPr>
          <w:b/>
        </w:rPr>
      </w:pPr>
      <w:r>
        <w:rPr>
          <w:b/>
        </w:rPr>
      </w:r>
    </w:p>
    <w:p>
      <w:pPr>
        <w:pStyle w:val="Normal"/>
        <w:suppressAutoHyphens w:val="true"/>
        <w:ind w:firstLine="1440" w:end="0"/>
        <w:jc w:val="both"/>
        <w:rPr>
          <w:b/>
        </w:rPr>
      </w:pPr>
      <w:r>
        <w:rPr>
          <w:b/>
        </w:rPr>
      </w:r>
    </w:p>
    <w:p>
      <w:pPr>
        <w:pStyle w:val="Normal"/>
        <w:suppressAutoHyphens w:val="true"/>
        <w:ind w:firstLine="1440" w:end="0"/>
        <w:jc w:val="both"/>
        <w:rPr>
          <w:b/>
        </w:rPr>
      </w:pPr>
      <w:r>
        <w:rPr>
          <w:b/>
        </w:rPr>
        <w:t xml:space="preserve">Telephone: [              ] Facimile </w:t>
      </w:r>
    </w:p>
    <w:p>
      <w:pPr>
        <w:pStyle w:val="Normal"/>
        <w:suppressAutoHyphens w:val="true"/>
        <w:ind w:firstLine="1440" w:end="0"/>
        <w:jc w:val="both"/>
        <w:rPr>
          <w:b/>
          <w:color w:val="000000"/>
        </w:rPr>
      </w:pPr>
      <w:r>
        <w:rPr>
          <w:b/>
          <w:color w:val="000000"/>
        </w:rPr>
      </w:r>
    </w:p>
    <w:p>
      <w:pPr>
        <w:pStyle w:val="Normal"/>
        <w:suppressAutoHyphens w:val="true"/>
        <w:spacing w:before="0" w:after="240"/>
        <w:ind w:firstLine="1440" w:end="0"/>
        <w:jc w:val="both"/>
        <w:rPr>
          <w:color w:val="000000"/>
        </w:rPr>
      </w:pPr>
      <w:r>
        <w:rPr>
          <w:color w:val="000000"/>
        </w:rPr>
        <w:t>if to the Shareholder, to:</w:t>
      </w:r>
    </w:p>
    <w:p>
      <w:pPr>
        <w:pStyle w:val="Heading5"/>
        <w:ind w:hanging="0" w:start="0"/>
        <w:rPr>
          <w:sz w:val="20"/>
        </w:rPr>
      </w:pPr>
      <w:r>
        <w:rPr>
          <w:sz w:val="20"/>
        </w:rPr>
        <w:t>Merrill Lynch International</w:t>
      </w:r>
    </w:p>
    <w:p>
      <w:pPr>
        <w:pStyle w:val="Normal"/>
        <w:suppressAutoHyphens w:val="true"/>
        <w:ind w:firstLine="1440" w:end="0"/>
        <w:jc w:val="both"/>
        <w:rPr>
          <w:b/>
          <w:color w:val="000000"/>
        </w:rPr>
      </w:pPr>
      <w:r>
        <w:rPr>
          <w:b/>
          <w:color w:val="000000"/>
        </w:rPr>
        <w:t>c/o Merrill Lynch, Pierce, Fenner &amp; Smith Incorporated</w:t>
      </w:r>
    </w:p>
    <w:p>
      <w:pPr>
        <w:pStyle w:val="Normal"/>
        <w:suppressAutoHyphens w:val="true"/>
        <w:ind w:firstLine="1440" w:end="0"/>
        <w:jc w:val="both"/>
        <w:rPr>
          <w:b/>
          <w:color w:val="000000"/>
        </w:rPr>
      </w:pPr>
      <w:r>
        <w:rPr>
          <w:b/>
          <w:color w:val="000000"/>
        </w:rPr>
        <w:t>World Financial Center</w:t>
      </w:r>
    </w:p>
    <w:p>
      <w:pPr>
        <w:pStyle w:val="Normal"/>
        <w:suppressAutoHyphens w:val="true"/>
        <w:ind w:firstLine="1440" w:end="0"/>
        <w:jc w:val="both"/>
        <w:rPr>
          <w:b/>
          <w:color w:val="000000"/>
        </w:rPr>
      </w:pPr>
      <w:r>
        <w:rPr>
          <w:b/>
          <w:color w:val="000000"/>
        </w:rPr>
        <w:t>North Tower</w:t>
      </w:r>
    </w:p>
    <w:p>
      <w:pPr>
        <w:pStyle w:val="Normal"/>
        <w:suppressAutoHyphens w:val="true"/>
        <w:spacing w:before="0" w:after="240"/>
        <w:ind w:firstLine="1440" w:end="0"/>
        <w:jc w:val="both"/>
        <w:rPr>
          <w:b/>
          <w:color w:val="000000"/>
        </w:rPr>
      </w:pPr>
      <w:r>
        <w:rPr>
          <w:b/>
          <w:color w:val="000000"/>
        </w:rPr>
        <w:t>New York, NY 10281-1305</w:t>
        <w:tab/>
        <w:tab/>
        <w:tab/>
        <w:tab/>
        <w:tab/>
        <w:tab/>
        <w:tab/>
        <w:tab/>
        <w:tab/>
        <w:tab/>
        <w:t>Attention: Paul Pepe</w:t>
      </w:r>
    </w:p>
    <w:p>
      <w:pPr>
        <w:pStyle w:val="BodyText"/>
        <w:rPr/>
      </w:pPr>
      <w:r>
        <w:rPr/>
        <w:t>or such other address or telecopier number as such party may hereafter specify for the purpose by notice to the other party hereto.  Each such notice, request or other communication shall be effective when delivered at the address specified in this Section 4.01.</w:t>
      </w:r>
    </w:p>
    <w:p>
      <w:pPr>
        <w:pStyle w:val="Heading2"/>
        <w:ind w:hanging="0" w:start="0"/>
        <w:rPr/>
      </w:pPr>
      <w:r>
        <w:rPr>
          <w:sz w:val="20"/>
        </w:rPr>
        <w:t>Section 4.02.</w:t>
        <w:tab/>
      </w:r>
      <w:r>
        <w:rPr>
          <w:sz w:val="20"/>
          <w:u w:val="single"/>
        </w:rPr>
        <w:t>Amendments; No Waivers</w:t>
      </w:r>
      <w:r>
        <w:rPr>
          <w:sz w:val="20"/>
        </w:rPr>
        <w:t>.</w:t>
      </w:r>
    </w:p>
    <w:p>
      <w:pPr>
        <w:pStyle w:val="Body"/>
        <w:rPr>
          <w:sz w:val="20"/>
        </w:rPr>
      </w:pPr>
      <w:r>
        <w:rPr>
          <w:sz w:val="20"/>
        </w:rPr>
        <w:t>(a)</w:t>
        <w:tab/>
        <w:t>Any provision of this Agreement may be amended or waived if, and only if, such amendment or waiver is in writing and signed, in the case of an amendment, by the Shareholder and the Company, or in the case of a waiver, by the party against whom the waiver is to be effective.</w:t>
      </w:r>
    </w:p>
    <w:p>
      <w:pPr>
        <w:pStyle w:val="Body"/>
        <w:rPr>
          <w:sz w:val="20"/>
        </w:rPr>
      </w:pPr>
      <w:r>
        <w:rPr>
          <w:sz w:val="20"/>
        </w:rPr>
        <w:t>(b)</w:t>
        <w:tab/>
        <w:t>No failure or delay by any party in exercising any right, power or privilege hereunder shall operate as a waiver thereof nor shall any single or partial exercise thereof preclude any other or future exercise thereof or the exercise of any other right, power or privilege.  The rights and remedies herein provided shall be cumulative and in addition to any rights or remedies provided by law.</w:t>
      </w:r>
    </w:p>
    <w:p>
      <w:pPr>
        <w:pStyle w:val="Heading2"/>
        <w:ind w:hanging="0" w:start="0"/>
        <w:rPr/>
      </w:pPr>
      <w:r>
        <w:rPr>
          <w:sz w:val="20"/>
        </w:rPr>
        <w:t>Section 4.03.</w:t>
        <w:tab/>
      </w:r>
      <w:r>
        <w:rPr>
          <w:sz w:val="20"/>
          <w:u w:val="single"/>
        </w:rPr>
        <w:t>Successors and Assigns</w:t>
      </w:r>
      <w:r>
        <w:rPr>
          <w:sz w:val="20"/>
        </w:rPr>
        <w:t>.  The provisions of this Agreement shall be binding upon and inure to the benefit of the parties hereto and their respective successors and assigns.  Neither this Agreement nor any provision hereof is intended to confer upon any Person other than the parties hereto any rights or remedies hereunder.</w:t>
      </w:r>
    </w:p>
    <w:p>
      <w:pPr>
        <w:pStyle w:val="Heading2"/>
        <w:ind w:hanging="0" w:start="0"/>
        <w:rPr/>
      </w:pPr>
      <w:r>
        <w:rPr>
          <w:sz w:val="20"/>
        </w:rPr>
        <w:t>Section 4.04.</w:t>
        <w:tab/>
      </w:r>
      <w:r>
        <w:rPr>
          <w:sz w:val="20"/>
          <w:u w:val="single"/>
        </w:rPr>
        <w:t>Counterparts; Effectiveness</w:t>
      </w:r>
      <w:r>
        <w:rPr>
          <w:sz w:val="20"/>
        </w:rPr>
        <w:t>.  This Agreement may be signed in any number of counterparts, each of which shall be an original, with the same effect as if the signatures thereto and hereto were upon the same instrument.  This Agreement shall become effective when each party hereto shall have received a counterpart hereof signed by the other party hereto.</w:t>
      </w:r>
    </w:p>
    <w:p>
      <w:pPr>
        <w:pStyle w:val="Heading2"/>
        <w:ind w:hanging="0" w:start="0"/>
        <w:rPr/>
      </w:pPr>
      <w:r>
        <w:rPr>
          <w:sz w:val="20"/>
        </w:rPr>
        <w:t>Section 4.05.</w:t>
        <w:tab/>
      </w:r>
      <w:r>
        <w:rPr>
          <w:sz w:val="20"/>
          <w:u w:val="single"/>
        </w:rPr>
        <w:t>Entire Agreement</w:t>
      </w:r>
      <w:r>
        <w:rPr>
          <w:sz w:val="20"/>
        </w:rPr>
        <w:t>.  This Agreement constitutes the entire agreement between the parties with respect to the subject matter hereof and supersede all prior agreements, understandings and negotiations, both written and oral, between the parties with respect thereto.  No representation, inducement, promise, understanding, condition or warranty not set forth herein or therein has been made or relied upon by any of the parties hereto.</w:t>
      </w:r>
    </w:p>
    <w:p>
      <w:pPr>
        <w:pStyle w:val="Heading2"/>
        <w:ind w:hanging="0" w:start="0"/>
        <w:rPr/>
      </w:pPr>
      <w:r>
        <w:rPr>
          <w:sz w:val="20"/>
        </w:rPr>
        <w:t>Section 4.06.</w:t>
        <w:tab/>
      </w:r>
      <w:r>
        <w:rPr>
          <w:sz w:val="20"/>
          <w:u w:val="single"/>
        </w:rPr>
        <w:t>Governing Law</w:t>
      </w:r>
      <w:r>
        <w:rPr>
          <w:sz w:val="20"/>
        </w:rPr>
        <w:t>.  This Agreement shall be construed in accordance with and governed by the laws of the State of New York, without regard to the conflicts of law rules of such state.</w:t>
      </w:r>
    </w:p>
    <w:p>
      <w:pPr>
        <w:pStyle w:val="BodyText"/>
        <w:ind w:firstLine="1440" w:end="0"/>
        <w:jc w:val="start"/>
        <w:rPr/>
      </w:pPr>
      <w:r>
        <w:rPr/>
        <w:t>IN WITNESS WHEREOF, the parties hereto have caused this Agreement to be duly executed as of the day and year first above written.</w:t>
      </w:r>
    </w:p>
    <w:p>
      <w:pPr>
        <w:pStyle w:val="Normal"/>
        <w:ind w:start="4320" w:end="0"/>
        <w:rPr>
          <w:color w:val="000000"/>
        </w:rPr>
      </w:pPr>
      <w:r>
        <w:rPr>
          <w:b/>
        </w:rPr>
        <w:t>[                                 ]</w:t>
      </w:r>
    </w:p>
    <w:p>
      <w:pPr>
        <w:pStyle w:val="Normal"/>
        <w:ind w:start="4320" w:end="0"/>
        <w:rPr>
          <w:color w:val="000000"/>
        </w:rPr>
      </w:pPr>
      <w:r>
        <w:rPr>
          <w:color w:val="000000"/>
        </w:rPr>
      </w:r>
    </w:p>
    <w:p>
      <w:pPr>
        <w:pStyle w:val="Normal"/>
        <w:ind w:start="4320" w:end="0"/>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4320" w:end="0"/>
        <w:jc w:val="both"/>
        <w:rPr>
          <w:color w:val="000000"/>
        </w:rPr>
      </w:pPr>
      <w:r>
        <w:rPr>
          <w:color w:val="000000"/>
        </w:rPr>
        <w:t>By:____________________________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4320" w:end="0"/>
        <w:jc w:val="both"/>
        <w:rPr>
          <w:color w:val="000000"/>
        </w:rPr>
      </w:pPr>
      <w:r>
        <w:rPr>
          <w:color w:val="000000"/>
        </w:rPr>
        <w:tab/>
        <w:t>Name: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before="0" w:after="480"/>
        <w:ind w:start="4320" w:end="0"/>
        <w:jc w:val="both"/>
        <w:rPr>
          <w:color w:val="000000"/>
        </w:rPr>
      </w:pPr>
      <w:r>
        <w:rPr>
          <w:color w:val="000000"/>
        </w:rPr>
        <w:tab/>
        <w:t>Title:</w:t>
      </w:r>
    </w:p>
    <w:p>
      <w:pPr>
        <w:pStyle w:val="Heading6"/>
        <w:ind w:firstLine="720" w:start="3600" w:end="0"/>
        <w:rPr>
          <w:sz w:val="20"/>
        </w:rPr>
      </w:pPr>
      <w:r>
        <w:rPr>
          <w:b/>
          <w:sz w:val="20"/>
        </w:rPr>
        <w:t>MERRILL</w:t>
      </w:r>
      <w:r>
        <w:rPr>
          <w:sz w:val="20"/>
        </w:rPr>
        <w:t xml:space="preserve"> </w:t>
      </w:r>
      <w:r>
        <w:rPr>
          <w:b/>
          <w:sz w:val="20"/>
        </w:rPr>
        <w:t>LYNCH INTERNATIONAL</w:t>
      </w:r>
    </w:p>
    <w:p>
      <w:pPr>
        <w:pStyle w:val="Normal"/>
        <w:ind w:start="4320" w:end="0"/>
        <w:rPr>
          <w:color w:val="000000"/>
          <w:sz w:val="20"/>
        </w:rPr>
      </w:pPr>
      <w:r>
        <w:rPr>
          <w:color w:val="000000"/>
          <w:sz w:val="20"/>
        </w:rPr>
      </w:r>
    </w:p>
    <w:p>
      <w:pPr>
        <w:pStyle w:val="Normal"/>
        <w:ind w:start="4320" w:end="0"/>
        <w:rPr>
          <w:color w:val="000000"/>
        </w:rPr>
      </w:pPr>
      <w:r>
        <w:rPr>
          <w:color w:val="000000"/>
        </w:rPr>
      </w:r>
    </w:p>
    <w:p>
      <w:pPr>
        <w:pStyle w:val="Normal"/>
        <w:ind w:start="4320" w:end="0"/>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4320" w:end="0"/>
        <w:jc w:val="both"/>
        <w:rPr>
          <w:color w:val="000000"/>
        </w:rPr>
      </w:pPr>
      <w:r>
        <w:rPr>
          <w:color w:val="000000"/>
        </w:rPr>
        <w:t>By:____________________________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4320" w:end="0"/>
        <w:jc w:val="both"/>
        <w:rPr>
          <w:color w:val="000000"/>
        </w:rPr>
      </w:pPr>
      <w:r>
        <w:rPr>
          <w:color w:val="000000"/>
        </w:rPr>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4320" w:end="0"/>
        <w:jc w:val="both"/>
        <w:rPr>
          <w:color w:val="000000"/>
        </w:rPr>
      </w:pPr>
      <w:r>
        <w:rPr>
          <w:color w:val="000000"/>
        </w:rPr>
        <w:tab/>
        <w:t>Title:</w:t>
      </w:r>
    </w:p>
    <w:p>
      <w:pPr>
        <w:pStyle w:val="BodyText"/>
        <w:rPr>
          <w:color w:val="000000"/>
        </w:rPr>
      </w:pPr>
      <w:r>
        <w:rPr>
          <w:color w:val="000000"/>
        </w:rPr>
      </w:r>
    </w:p>
    <w:p>
      <w:pPr>
        <w:pStyle w:val="Normal"/>
        <w:jc w:val="both"/>
        <w:rPr/>
      </w:pPr>
      <w:r>
        <w:rPr/>
      </w:r>
    </w:p>
    <w:p>
      <w:pPr>
        <w:pStyle w:val="Normal"/>
        <w:jc w:val="both"/>
        <w:rPr/>
      </w:pPr>
      <w:r>
        <w:rPr/>
      </w:r>
    </w:p>
    <w:p>
      <w:pPr>
        <w:pStyle w:val="Normal"/>
        <w:tabs>
          <w:tab w:val="left" w:pos="720" w:leader="none"/>
          <w:tab w:val="left" w:pos="1980" w:leader="none"/>
          <w:tab w:val="left" w:pos="2880" w:leader="none"/>
        </w:tabs>
        <w:ind w:hanging="2880" w:start="2880" w:end="0"/>
        <w:jc w:val="both"/>
        <w:rPr/>
      </w:pPr>
      <w:r>
        <w:rPr/>
      </w:r>
    </w:p>
    <w:sectPr>
      <w:footerReference w:type="default" r:id="rId3"/>
      <w:footerReference w:type="first" r:id="rId4"/>
      <w:type w:val="nextPage"/>
      <w:pgSz w:w="12240" w:h="15840"/>
      <w:pgMar w:left="1152" w:right="1152"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Garamond">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s>
      <w:jc w:val="both"/>
      <w:rPr>
        <w:rFonts w:ascii="Arial" w:hAnsi="Arial" w:cs="Arial"/>
        <w:color w:val="0000FF"/>
        <w:sz w:val="12"/>
        <w:lang w:val="en-GB"/>
      </w:rPr>
    </w:pPr>
    <w:r>
      <w:rPr>
        <w:rFonts w:cs="Arial" w:ascii="Arial" w:hAnsi="Arial"/>
        <w:color w:val="0000FF"/>
        <w:sz w:val="12"/>
        <w:lang w:val="en-GB"/>
      </w:rPr>
    </w:r>
  </w:p>
  <w:p>
    <w:pPr>
      <w:pStyle w:val="Footer"/>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16</w:t>
    </w:r>
    <w:r>
      <w:rPr>
        <w:rStyle w:val="PageNumber"/>
        <w:b/>
      </w:rPr>
      <w:fldChar w:fldCharType="end"/>
    </w:r>
    <w:r>
      <w:rPr>
        <w:b/>
      </w:rPr>
      <w:t xml:space="preserve"> </w:t>
    </w:r>
    <w:r>
      <w:rPr>
        <w:b/>
      </w:rPr>
      <w:tab/>
      <w:t>ML Ref: DRAFT COPY</w:t>
    </w:r>
  </w:p>
  <w:p>
    <w:pPr>
      <w:pStyle w:val="Normal"/>
      <w:tabs>
        <w:tab w:val="left" w:pos="720" w:leader="none"/>
      </w:tabs>
      <w:jc w:val="both"/>
      <w:rPr>
        <w:rFonts w:ascii="Arial" w:hAnsi="Arial" w:cs="Arial"/>
        <w:b/>
        <w:color w:val="0000FF"/>
        <w:sz w:val="12"/>
        <w:lang w:val="en-GB"/>
      </w:rPr>
    </w:pPr>
    <w:r>
      <w:rPr>
        <w:rFonts w:cs="Arial" w:ascii="Arial" w:hAnsi="Arial"/>
        <w:b/>
        <w:color w:val="0000FF"/>
        <w:sz w:val="12"/>
        <w:lang w:val="en-GB"/>
      </w:rPr>
    </w:r>
  </w:p>
  <w:p>
    <w:pPr>
      <w:pStyle w:val="Footer"/>
      <w:rPr>
        <w:rFonts w:ascii="Arial" w:hAnsi="Arial" w:cs="Arial"/>
        <w:b/>
        <w:color w:val="0000FF"/>
        <w:sz w:val="12"/>
        <w:lang w:val="en-GB"/>
      </w:rPr>
    </w:pPr>
    <w:r>
      <w:rPr>
        <w:rFonts w:cs="Arial" w:ascii="Arial" w:hAnsi="Arial"/>
        <w:b/>
        <w:color w:val="0000FF"/>
        <w:sz w:val="12"/>
        <w:lang w:val="en-G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s>
      <w:jc w:val="both"/>
      <w:rPr>
        <w:rFonts w:ascii="Arial" w:hAnsi="Arial" w:cs="Arial"/>
        <w:color w:val="0000FF"/>
        <w:sz w:val="12"/>
        <w:lang w:val="en-GB"/>
      </w:rPr>
    </w:pPr>
    <w:r>
      <w:rPr>
        <w:rFonts w:cs="Arial" w:ascii="Arial" w:hAnsi="Arial"/>
        <w:color w:val="0000FF"/>
        <w:sz w:val="12"/>
        <w:lang w:val="en-GB"/>
      </w:rPr>
      <w:t>Registered in England (No. 2312079)</w:t>
      <w:tab/>
      <w:tab/>
      <w:tab/>
      <w:tab/>
      <w:tab/>
      <w:t xml:space="preserve">         </w:t>
      <w:tab/>
      <w:tab/>
      <w:t xml:space="preserve"> Regulated by The Securities and Futures Authority Limited </w:t>
    </w:r>
  </w:p>
  <w:p>
    <w:pPr>
      <w:pStyle w:val="Normal"/>
      <w:tabs>
        <w:tab w:val="left" w:pos="720" w:leader="none"/>
      </w:tabs>
      <w:jc w:val="both"/>
      <w:rPr>
        <w:rFonts w:ascii="Arial" w:hAnsi="Arial" w:cs="Arial"/>
        <w:color w:val="0000FF"/>
        <w:sz w:val="12"/>
        <w:lang w:val="en-GB"/>
      </w:rPr>
    </w:pPr>
    <w:r>
      <w:rPr>
        <w:rFonts w:cs="Arial" w:ascii="Arial" w:hAnsi="Arial"/>
        <w:color w:val="0000FF"/>
        <w:sz w:val="12"/>
        <w:lang w:val="en-GB"/>
      </w:rPr>
      <w:t>Registered Office: 25 Ropemaker Street, London EC2Y 9LY</w:t>
      <w:tab/>
      <w:tab/>
      <w:tab/>
      <w:t xml:space="preserve">                      </w:t>
      <w:tab/>
      <w:tab/>
      <w:t xml:space="preserve">           Member of the London Stock Exchange              </w:t>
    </w:r>
  </w:p>
  <w:p>
    <w:pPr>
      <w:pStyle w:val="Normal"/>
      <w:tabs>
        <w:tab w:val="left" w:pos="720" w:leader="none"/>
      </w:tabs>
      <w:jc w:val="both"/>
      <w:rPr>
        <w:rFonts w:ascii="Arial" w:hAnsi="Arial" w:cs="Arial"/>
        <w:color w:val="000000"/>
        <w:sz w:val="12"/>
        <w:lang w:val="en-GB"/>
      </w:rPr>
    </w:pPr>
    <w:r>
      <w:rPr>
        <w:rFonts w:cs="Arial" w:ascii="Arial" w:hAnsi="Arial"/>
        <w:color w:val="0000FF"/>
        <w:sz w:val="12"/>
        <w:lang w:val="en-GB"/>
      </w:rPr>
      <w:t>A Subsidiary of Merrill Lynch &amp; Co. Inc. Delaware, U.S.A.</w:t>
      <w:tab/>
      <w:tab/>
      <w:tab/>
      <w:tab/>
      <w:t xml:space="preserve">                     </w:t>
      <w:tab/>
      <w:t xml:space="preserve">  </w:t>
      <w:tab/>
      <w:tab/>
      <w:t xml:space="preserve">          VAT No. GB  245 1224 93</w:t>
    </w:r>
  </w:p>
  <w:p>
    <w:pPr>
      <w:pStyle w:val="Footer"/>
      <w:rPr>
        <w:rStyle w:val="PageNumber"/>
        <w:b/>
      </w:rPr>
    </w:pPr>
    <w:r>
      <w:rPr>
        <w:rFonts w:cs="Arial" w:ascii="Arial" w:hAnsi="Arial"/>
        <w:color w:val="000000"/>
        <w:sz w:val="12"/>
        <w:lang w:val="en-GB"/>
      </w:rPr>
    </w:r>
  </w:p>
  <w:p>
    <w:pPr>
      <w:pStyle w:val="Footer"/>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b/>
      </w:rPr>
      <w:t xml:space="preserve"> </w:t>
    </w:r>
    <w:r>
      <w:rPr>
        <w:b/>
      </w:rPr>
      <w:tab/>
    </w:r>
  </w:p>
  <w:p>
    <w:pPr>
      <w:pStyle w:val="Footer"/>
      <w:rPr>
        <w:b/>
      </w:rPr>
    </w:pPr>
    <w:r>
      <w:rPr>
        <w: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80" w:leader="none"/>
      </w:tabs>
      <w:ind w:hanging="0" w:start="2880" w:end="0"/>
      <w:jc w:val="both"/>
      <w:outlineLvl w:val="0"/>
    </w:pPr>
    <w:rPr>
      <w:b/>
    </w:rPr>
  </w:style>
  <w:style w:type="paragraph" w:styleId="Heading2">
    <w:name w:val="heading 2"/>
    <w:basedOn w:val="Normal"/>
    <w:next w:val="BodyText"/>
    <w:qFormat/>
    <w:pPr>
      <w:numPr>
        <w:ilvl w:val="1"/>
        <w:numId w:val="1"/>
      </w:numPr>
      <w:spacing w:before="0" w:after="240"/>
      <w:outlineLvl w:val="1"/>
    </w:pPr>
    <w:rPr>
      <w:b/>
      <w:sz w:val="24"/>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spacing w:val="60"/>
      <w:sz w:val="32"/>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basedOn w:val="DefaultParagraphFont"/>
    <w:qFormat/>
    <w:rPr>
      <w:i/>
    </w:rPr>
  </w:style>
  <w:style w:type="character" w:styleId="Checkbox">
    <w:name w:val="Checkbox"/>
    <w:qFormat/>
    <w:rPr>
      <w:rFonts w:ascii="Times New Roman" w:hAnsi="Times New Roman" w:cs="Times New Roman"/>
      <w:sz w:val="22"/>
    </w:rPr>
  </w:style>
  <w:style w:type="character" w:styleId="MessageHeaderLabel">
    <w:name w:val="Message Header Label"/>
    <w:qFormat/>
    <w:rPr>
      <w:caps/>
      <w:spacing w:val="6"/>
      <w:sz w:val="14"/>
      <w:vertAlign w:val="superscript"/>
    </w:rPr>
  </w:style>
  <w:style w:type="character" w:styleId="ParaNum">
    <w:name w:val="ParaNum"/>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clear" w:pos="720"/>
        <w:tab w:val="left" w:pos="3600" w:leader="none"/>
      </w:tabs>
      <w:jc w:val="both"/>
    </w:pPr>
    <w:rPr>
      <w:b/>
    </w:rPr>
  </w:style>
  <w:style w:type="paragraph" w:styleId="MessageHeader">
    <w:name w:val="Message Header"/>
    <w:basedOn w:val="BodyText"/>
    <w:qFormat/>
    <w:pPr>
      <w:keepLines/>
      <w:pBdr>
        <w:bottom w:val="single" w:sz="6" w:space="2" w:color="000000"/>
      </w:pBdr>
      <w:tabs>
        <w:tab w:val="clear" w:pos="720"/>
        <w:tab w:val="left" w:pos="360" w:leader="none"/>
        <w:tab w:val="left" w:pos="4320" w:leader="none"/>
        <w:tab w:val="left" w:pos="4680" w:leader="none"/>
      </w:tabs>
      <w:spacing w:lineRule="atLeast" w:line="140"/>
      <w:ind w:hanging="360" w:start="360" w:end="0"/>
      <w:jc w:val="start"/>
    </w:pPr>
    <w:rPr>
      <w:rFonts w:ascii="Garamond" w:hAnsi="Garamond" w:cs="Garamond"/>
      <w:spacing w:val="-5"/>
      <w:sz w:val="24"/>
    </w:rPr>
  </w:style>
  <w:style w:type="paragraph" w:styleId="DocumentLabel">
    <w:name w:val="Document Label"/>
    <w:next w:val="MessageHeaderFirst"/>
    <w:qFormat/>
    <w:pPr>
      <w:widowControl/>
      <w:pBdr>
        <w:top w:val="double" w:sz="6" w:space="8" w:color="000000"/>
        <w:bottom w:val="double" w:sz="6" w:space="8" w:color="000000"/>
      </w:pBdr>
      <w:bidi w:val="0"/>
      <w:spacing w:lineRule="atLeast" w:line="240" w:before="0" w:after="40"/>
      <w:jc w:val="center"/>
    </w:pPr>
    <w:rPr>
      <w:rFonts w:ascii="Garamond" w:hAnsi="Garamond" w:eastAsia="Times New Roman" w:cs="Garamond"/>
      <w:b/>
      <w:caps/>
      <w:color w:val="auto"/>
      <w:spacing w:val="20"/>
      <w:sz w:val="18"/>
      <w:szCs w:val="20"/>
      <w:lang w:val="en-US" w:eastAsia="zh-CN" w:bidi="hi-IN"/>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top w:val="single" w:sz="6" w:space="18" w:color="000000"/>
        <w:bottom w:val="double" w:sz="6" w:space="18" w:color="000000"/>
      </w:pBdr>
      <w:tabs>
        <w:tab w:val="clear" w:pos="360"/>
        <w:tab w:val="clear" w:pos="4320"/>
        <w:tab w:val="clear" w:pos="4680"/>
        <w:tab w:val="left" w:pos="1279" w:leader="none"/>
        <w:tab w:val="left" w:pos="2940" w:leader="none"/>
        <w:tab w:val="left" w:pos="5100" w:leader="none"/>
        <w:tab w:val="right" w:pos="8640" w:leader="none"/>
      </w:tabs>
      <w:spacing w:before="13" w:after="40"/>
      <w:ind w:hanging="0" w:start="0" w:end="0"/>
    </w:pPr>
    <w:rPr/>
  </w:style>
  <w:style w:type="paragraph" w:styleId="BodyTextIndent">
    <w:name w:val="Body Text Indent"/>
    <w:basedOn w:val="Normal"/>
    <w:pPr>
      <w:suppressAutoHyphens w:val="true"/>
      <w:ind w:firstLine="1440" w:start="0" w:end="0"/>
      <w:jc w:val="both"/>
    </w:pPr>
    <w:rPr>
      <w:b/>
      <w:sz w:val="32"/>
    </w:rPr>
  </w:style>
  <w:style w:type="paragraph" w:styleId="Body">
    <w:name w:val="Body"/>
    <w:basedOn w:val="Normal"/>
    <w:qFormat/>
    <w:pPr>
      <w:spacing w:before="0" w:after="240"/>
    </w:pPr>
    <w:rPr>
      <w:sz w:val="24"/>
    </w:rPr>
  </w:style>
  <w:style w:type="paragraph" w:styleId="BodyTextIndent3">
    <w:name w:val="Body Text Indent 3"/>
    <w:basedOn w:val="Normal"/>
    <w:qFormat/>
    <w:pPr>
      <w:tabs>
        <w:tab w:val="clear" w:pos="720"/>
        <w:tab w:val="left" w:pos="1440" w:leader="none"/>
      </w:tabs>
      <w:ind w:hanging="0" w:start="2340" w:end="0"/>
      <w:jc w:val="both"/>
    </w:pPr>
    <w:rPr/>
  </w:style>
  <w:style w:type="paragraph" w:styleId="BodyTextIndent2">
    <w:name w:val="Body Text Indent 2"/>
    <w:basedOn w:val="Normal"/>
    <w:qFormat/>
    <w:pPr>
      <w:tabs>
        <w:tab w:val="left" w:pos="720" w:leader="none"/>
      </w:tabs>
      <w:ind w:hanging="0" w:start="720" w:end="0"/>
      <w:jc w:val="both"/>
    </w:pPr>
    <w:rPr/>
  </w:style>
  <w:style w:type="paragraph" w:styleId="SingleSpace">
    <w:name w:val="Single Space"/>
    <w:basedOn w:val="Normal"/>
    <w:qFormat/>
    <w:pPr>
      <w:spacing w:before="0" w:after="240"/>
      <w:ind w:firstLine="1440" w:start="0" w:end="0"/>
    </w:pPr>
    <w:rPr>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2000-08-09T18:38:00Z</dcterms:created>
  <dc:creator>Dave Chapman</dc:creator>
  <dc:description/>
  <dc:language>en-CA</dc:language>
  <cp:lastModifiedBy>MaLyons</cp:lastModifiedBy>
  <cp:lastPrinted>1998-12-21T15:42:00Z</cp:lastPrinted>
  <dcterms:modified xsi:type="dcterms:W3CDTF">2000-08-09T18:38:00Z</dcterms:modified>
  <cp:revision>2</cp:revision>
  <dc:subject/>
  <dc:title>Exhibit 3:    Index Option Transaction</dc:title>
</cp:coreProperties>
</file>