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jc w:val="both"/>
        <w:rPr/>
      </w:pPr>
      <w:r>
        <w:rPr>
          <w:b/>
          <w:color w:val="000000"/>
          <w:kern w:val="2"/>
          <w:sz w:val="28"/>
        </w:rPr>
        <w:t>10 October, 2001</w:t>
      </w:r>
    </w:p>
    <w:p>
      <w:pPr>
        <w:pStyle w:val="Normal"/>
        <w:autoSpaceDE w:val="false"/>
        <w:spacing w:before="100" w:after="100"/>
        <w:jc w:val="both"/>
        <w:rPr>
          <w:b/>
          <w:color w:val="000000"/>
          <w:kern w:val="2"/>
          <w:sz w:val="28"/>
        </w:rPr>
      </w:pPr>
      <w:r>
        <w:rPr>
          <w:b/>
          <w:color w:val="000000"/>
          <w:kern w:val="2"/>
          <w:sz w:val="28"/>
        </w:rPr>
        <w:t>To: James D. Steffes, Enron</w:t>
      </w:r>
    </w:p>
    <w:p>
      <w:pPr>
        <w:pStyle w:val="Normal"/>
        <w:autoSpaceDE w:val="false"/>
        <w:spacing w:before="100" w:after="100"/>
        <w:jc w:val="both"/>
        <w:rPr>
          <w:b/>
          <w:color w:val="000000"/>
          <w:kern w:val="2"/>
          <w:sz w:val="28"/>
        </w:rPr>
      </w:pPr>
      <w:r>
        <w:rPr>
          <w:b/>
          <w:color w:val="000000"/>
          <w:kern w:val="2"/>
          <w:sz w:val="28"/>
        </w:rPr>
        <w:t>From: Enron Forum</w:t>
      </w:r>
    </w:p>
    <w:p>
      <w:pPr>
        <w:pStyle w:val="Normal"/>
        <w:autoSpaceDE w:val="false"/>
        <w:spacing w:before="100" w:after="100"/>
        <w:jc w:val="both"/>
        <w:rPr>
          <w:b/>
          <w:color w:val="000000"/>
          <w:kern w:val="2"/>
          <w:sz w:val="28"/>
        </w:rPr>
      </w:pPr>
      <w:r>
        <w:rPr>
          <w:b/>
          <w:color w:val="000000"/>
          <w:kern w:val="2"/>
          <w:sz w:val="28"/>
        </w:rPr>
        <w:t>Content: Intellibridge has compiled the following report in response to your request.</w:t>
      </w:r>
    </w:p>
    <w:p>
      <w:pPr>
        <w:pStyle w:val="Normal"/>
        <w:autoSpaceDE w:val="false"/>
        <w:spacing w:before="100" w:after="100"/>
        <w:jc w:val="both"/>
        <w:rPr>
          <w:b/>
          <w:color w:val="000000"/>
          <w:sz w:val="36"/>
        </w:rPr>
      </w:pPr>
      <w:r>
        <w:rPr>
          <w:b/>
          <w:color w:val="000000"/>
          <w:sz w:val="36"/>
        </w:rPr>
        <w:t>Request:</w:t>
      </w:r>
    </w:p>
    <w:p>
      <w:pPr>
        <w:pStyle w:val="Normal"/>
        <w:jc w:val="both"/>
        <w:rPr/>
      </w:pPr>
      <w:r>
        <w:rPr/>
        <w:t>What would be the amount of installed capacity of each of the FERC RTOs (assuming California is ultimately in the Western RTO) and what is the total peak demand in each area?</w:t>
      </w:r>
    </w:p>
    <w:p>
      <w:pPr>
        <w:pStyle w:val="Normal"/>
        <w:autoSpaceDE w:val="false"/>
        <w:jc w:val="both"/>
        <w:rPr/>
      </w:pPr>
      <w:r>
        <w:rPr/>
      </w:r>
    </w:p>
    <w:p>
      <w:pPr>
        <w:pStyle w:val="Normal"/>
        <w:autoSpaceDE w:val="false"/>
        <w:jc w:val="both"/>
        <w:rPr>
          <w:b/>
          <w:color w:val="000000"/>
          <w:sz w:val="36"/>
        </w:rPr>
      </w:pPr>
      <w:r>
        <w:rPr>
          <w:b/>
          <w:color w:val="000000"/>
          <w:sz w:val="36"/>
        </w:rPr>
        <w:t>Response:</w:t>
      </w:r>
    </w:p>
    <w:p>
      <w:pPr>
        <w:pStyle w:val="BodyText3"/>
        <w:jc w:val="both"/>
        <w:rPr>
          <w:b w:val="false"/>
          <w:color w:val="000000"/>
          <w:sz w:val="36"/>
        </w:rPr>
      </w:pPr>
      <w:r>
        <w:rPr>
          <w:b w:val="false"/>
          <w:color w:val="000000"/>
          <w:sz w:val="36"/>
        </w:rPr>
      </w:r>
    </w:p>
    <w:p>
      <w:pPr>
        <w:pStyle w:val="BodyText3"/>
        <w:jc w:val="both"/>
        <w:rPr/>
      </w:pPr>
      <w:r>
        <w:rPr/>
        <w:t>Intellibridge estimates the following peak demand and installed capacity figures for each of the four proposed FERC RTO regions based on the most recent complete data available.  Peak load data sets that were deemed complete and reliable are for 1999. Installed capacity information is from forecasts made by NERC for 2001.</w:t>
      </w:r>
    </w:p>
    <w:p>
      <w:pPr>
        <w:pStyle w:val="Normal"/>
        <w:jc w:val="both"/>
        <w:rPr/>
      </w:pPr>
      <w:r>
        <w:rPr/>
      </w:r>
    </w:p>
    <w:p>
      <w:pPr>
        <w:pStyle w:val="Normal"/>
        <w:jc w:val="both"/>
        <w:rPr/>
      </w:pPr>
      <w:r>
        <w:rPr/>
        <w:drawing>
          <wp:inline distT="0" distB="0" distL="0" distR="0">
            <wp:extent cx="4608830" cy="18395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20" r="-8" b="-20"/>
                    <a:stretch>
                      <a:fillRect/>
                    </a:stretch>
                  </pic:blipFill>
                  <pic:spPr bwMode="auto">
                    <a:xfrm>
                      <a:off x="0" y="0"/>
                      <a:ext cx="4608830" cy="1839595"/>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BodyText3"/>
        <w:jc w:val="both"/>
        <w:rPr>
          <w:b w:val="false"/>
        </w:rPr>
      </w:pPr>
      <w:r>
        <w:rPr>
          <w:b w:val="false"/>
        </w:rPr>
        <w:t>In response to FERC Order 2000 of 6 January 2000, utilities throughout the United States submitted proposals to form Regional Transmission Organizations (RTOs) for coordinating and controlling electric power grid systems in their area.  FERC responded to these proposals on 12 July 2001, in a series of orders that made clear the Commission’s vision of four large, regional RTOs making up U.S. bulk power markets.  FERC said in these orders, “We favor the development of one RTO for the Northeast, one RTO for the Midwest, one RTO for the Southeast, and one RTO for the West.”</w:t>
      </w:r>
    </w:p>
    <w:p>
      <w:pPr>
        <w:pStyle w:val="Normal"/>
        <w:jc w:val="both"/>
        <w:rPr>
          <w:b/>
        </w:rPr>
      </w:pPr>
      <w:r>
        <w:rPr>
          <w:b/>
        </w:rPr>
      </w:r>
    </w:p>
    <w:p>
      <w:pPr>
        <w:pStyle w:val="BodyText2"/>
        <w:jc w:val="both"/>
        <w:rPr>
          <w:b w:val="false"/>
        </w:rPr>
      </w:pPr>
      <w:r>
        <w:rPr>
          <w:b w:val="false"/>
        </w:rPr>
        <w:t>Though the eventual shape and scope of the regional RTOs remains in question, estimates of capacity and peak demand can be made based on groupings of North American Electricity Reliability Council (NERC) regional councils or regional ISOs and bulk power markets.  For the purposes of estimating installed capacity and peak load in these regions, the following groupings of NERC regional councils and ISOs were assumed to correspond to the four RTOs proposed by FERC:</w:t>
      </w:r>
    </w:p>
    <w:p>
      <w:pPr>
        <w:pStyle w:val="NormalWeb"/>
        <w:spacing w:before="0" w:after="0"/>
        <w:jc w:val="both"/>
        <w:rPr>
          <w:b/>
        </w:rPr>
      </w:pPr>
      <w:r>
        <w:rPr>
          <w:b/>
        </w:rPr>
      </w:r>
    </w:p>
    <w:p>
      <w:pPr>
        <w:pStyle w:val="Normal"/>
        <w:jc w:val="both"/>
        <w:rPr/>
      </w:pPr>
      <w:r>
        <w:rPr/>
        <w:t>Northeast:</w:t>
      </w:r>
    </w:p>
    <w:p>
      <w:pPr>
        <w:pStyle w:val="Normal"/>
        <w:numPr>
          <w:ilvl w:val="0"/>
          <w:numId w:val="3"/>
        </w:numPr>
        <w:jc w:val="both"/>
        <w:rPr/>
      </w:pPr>
      <w:r>
        <w:rPr/>
        <w:t>PJM</w:t>
      </w:r>
    </w:p>
    <w:p>
      <w:pPr>
        <w:pStyle w:val="Normal"/>
        <w:numPr>
          <w:ilvl w:val="0"/>
          <w:numId w:val="3"/>
        </w:numPr>
        <w:jc w:val="both"/>
        <w:rPr/>
      </w:pPr>
      <w:r>
        <w:rPr/>
        <w:t>ISO-New England</w:t>
      </w:r>
    </w:p>
    <w:p>
      <w:pPr>
        <w:pStyle w:val="Normal"/>
        <w:numPr>
          <w:ilvl w:val="0"/>
          <w:numId w:val="3"/>
        </w:numPr>
        <w:jc w:val="both"/>
        <w:rPr/>
      </w:pPr>
      <w:r>
        <w:rPr/>
        <w:t>New York ISO</w:t>
      </w:r>
    </w:p>
    <w:p>
      <w:pPr>
        <w:pStyle w:val="Normal"/>
        <w:jc w:val="both"/>
        <w:rPr/>
      </w:pPr>
      <w:r>
        <w:rPr/>
      </w:r>
    </w:p>
    <w:p>
      <w:pPr>
        <w:pStyle w:val="Normal"/>
        <w:jc w:val="both"/>
        <w:rPr/>
      </w:pPr>
      <w:r>
        <w:rPr/>
        <w:t>Southeast:</w:t>
      </w:r>
    </w:p>
    <w:p>
      <w:pPr>
        <w:pStyle w:val="Normal"/>
        <w:numPr>
          <w:ilvl w:val="0"/>
          <w:numId w:val="2"/>
        </w:numPr>
        <w:jc w:val="both"/>
        <w:rPr/>
      </w:pPr>
      <w:r>
        <w:rPr/>
        <w:t>Southeastern Electric Reliability Council (SERC)</w:t>
      </w:r>
    </w:p>
    <w:p>
      <w:pPr>
        <w:pStyle w:val="Normal"/>
        <w:numPr>
          <w:ilvl w:val="0"/>
          <w:numId w:val="2"/>
        </w:numPr>
        <w:jc w:val="both"/>
        <w:rPr/>
      </w:pPr>
      <w:r>
        <w:rPr/>
        <w:t>Florida Reliability Coordinating Council (FRCC)</w:t>
      </w:r>
    </w:p>
    <w:p>
      <w:pPr>
        <w:pStyle w:val="Normal"/>
        <w:jc w:val="both"/>
        <w:rPr/>
      </w:pPr>
      <w:r>
        <w:rPr/>
      </w:r>
    </w:p>
    <w:p>
      <w:pPr>
        <w:pStyle w:val="Normal"/>
        <w:jc w:val="both"/>
        <w:rPr/>
      </w:pPr>
      <w:r>
        <w:rPr/>
        <w:t>Midwest:</w:t>
      </w:r>
    </w:p>
    <w:p>
      <w:pPr>
        <w:pStyle w:val="Normal"/>
        <w:numPr>
          <w:ilvl w:val="0"/>
          <w:numId w:val="4"/>
        </w:numPr>
        <w:jc w:val="both"/>
        <w:rPr/>
      </w:pPr>
      <w:r>
        <w:rPr/>
        <w:t>Mid-Continent Area Power Pool (MAPP)</w:t>
      </w:r>
    </w:p>
    <w:p>
      <w:pPr>
        <w:pStyle w:val="Normal"/>
        <w:numPr>
          <w:ilvl w:val="0"/>
          <w:numId w:val="4"/>
        </w:numPr>
        <w:jc w:val="both"/>
        <w:rPr/>
      </w:pPr>
      <w:r>
        <w:rPr/>
        <w:t>Mid-American Interconnected Network, Inc. (MAIN)</w:t>
      </w:r>
    </w:p>
    <w:p>
      <w:pPr>
        <w:pStyle w:val="Normal"/>
        <w:numPr>
          <w:ilvl w:val="0"/>
          <w:numId w:val="4"/>
        </w:numPr>
        <w:jc w:val="both"/>
        <w:rPr/>
      </w:pPr>
      <w:r>
        <w:rPr/>
        <w:t>Southwest Power Pool (SPP)</w:t>
      </w:r>
    </w:p>
    <w:p>
      <w:pPr>
        <w:pStyle w:val="Normal"/>
        <w:numPr>
          <w:ilvl w:val="0"/>
          <w:numId w:val="4"/>
        </w:numPr>
        <w:jc w:val="both"/>
        <w:rPr/>
      </w:pPr>
      <w:r>
        <w:rPr/>
        <w:t>Eastern Central Area Reliability Coordination Agreement (ECAR)</w:t>
      </w:r>
    </w:p>
    <w:p>
      <w:pPr>
        <w:pStyle w:val="Normal"/>
        <w:jc w:val="both"/>
        <w:rPr/>
      </w:pPr>
      <w:r>
        <w:rPr/>
      </w:r>
    </w:p>
    <w:p>
      <w:pPr>
        <w:pStyle w:val="Normal"/>
        <w:jc w:val="both"/>
        <w:rPr/>
      </w:pPr>
      <w:r>
        <w:rPr/>
        <w:t>West</w:t>
      </w:r>
    </w:p>
    <w:p>
      <w:pPr>
        <w:pStyle w:val="Normal"/>
        <w:numPr>
          <w:ilvl w:val="0"/>
          <w:numId w:val="5"/>
        </w:numPr>
        <w:jc w:val="both"/>
        <w:rPr/>
      </w:pPr>
      <w:r>
        <w:rPr/>
        <w:t>Western Systems Coordinating Council (WSCC)</w:t>
      </w:r>
    </w:p>
    <w:p>
      <w:pPr>
        <w:pStyle w:val="Normal"/>
        <w:jc w:val="both"/>
        <w:rPr/>
      </w:pPr>
      <w:r>
        <w:rPr/>
      </w:r>
    </w:p>
    <w:p>
      <w:pPr>
        <w:pStyle w:val="Normal"/>
        <w:jc w:val="both"/>
        <w:rPr>
          <w:b/>
        </w:rPr>
      </w:pPr>
      <w:r>
        <w:rPr>
          <w:b/>
        </w:rPr>
        <w:t>Peak Load Data:</w:t>
      </w:r>
    </w:p>
    <w:p>
      <w:pPr>
        <w:pStyle w:val="Normal"/>
        <w:jc w:val="both"/>
        <w:rPr/>
      </w:pPr>
      <w:r>
        <w:rPr/>
        <w:t>FERC Form 714 hourly load data were used to calculate coincidental peak load for the Midwest and Southeast RTOs.  FERC’s most recent, complete set of Form 714 data are for year 1999; FERC is still collecting data for year 2000.  Year 1999 data were consequently used throughout for the sake of consistency.  Peak demand for the Western RTO was taken as the 1999 annual peak reported by NERC for the WSCC in its year 2000 “Summer Assessment”.  Coincidental peak demand for the Northeastern RTO was calculated from 1999 hourly load data available on the PJM, ISO-New England, and New York ISO web sites.</w:t>
      </w:r>
    </w:p>
    <w:p>
      <w:pPr>
        <w:pStyle w:val="Normal"/>
        <w:jc w:val="both"/>
        <w:rPr/>
      </w:pPr>
      <w:r>
        <w:rPr/>
      </w:r>
    </w:p>
    <w:p>
      <w:pPr>
        <w:pStyle w:val="Normal"/>
        <w:jc w:val="both"/>
        <w:rPr>
          <w:b/>
        </w:rPr>
      </w:pPr>
      <w:r>
        <w:rPr>
          <w:b/>
        </w:rPr>
        <w:t>Installed Capacity Data:</w:t>
      </w:r>
    </w:p>
    <w:p>
      <w:pPr>
        <w:pStyle w:val="Normal"/>
        <w:jc w:val="both"/>
        <w:rPr/>
      </w:pPr>
      <w:r>
        <w:rPr/>
        <w:t xml:space="preserve">NERC Electricity Supply &amp; Demand for 2001. While some sets of this data for 2001 are estimates, it can be assumed that the Summer 2001 installed capacity data is reasonably current. Other estimates can be made available. </w:t>
      </w:r>
    </w:p>
    <w:p>
      <w:pPr>
        <w:pStyle w:val="Normal"/>
        <w:jc w:val="both"/>
        <w:rPr/>
      </w:pPr>
      <w:r>
        <w:rPr/>
      </w:r>
    </w:p>
    <w:p>
      <w:pPr>
        <w:pStyle w:val="Normal"/>
        <w:jc w:val="both"/>
        <w:rPr/>
      </w:pPr>
      <w:r>
        <w:rPr>
          <w:b/>
          <w:u w:val="single"/>
        </w:rPr>
        <w:t>Sources</w:t>
      </w:r>
      <w:r>
        <w:rPr/>
        <w:t>:</w:t>
      </w:r>
    </w:p>
    <w:p>
      <w:pPr>
        <w:pStyle w:val="Normal"/>
        <w:jc w:val="both"/>
        <w:rPr/>
      </w:pPr>
      <w:r>
        <w:rPr/>
      </w:r>
    </w:p>
    <w:p>
      <w:pPr>
        <w:pStyle w:val="Normal"/>
        <w:jc w:val="both"/>
        <w:rPr/>
      </w:pPr>
      <w:hyperlink r:id="rId3">
        <w:r>
          <w:rPr>
            <w:rStyle w:val="Hyperlink"/>
          </w:rPr>
          <w:t>FERC</w:t>
        </w:r>
      </w:hyperlink>
    </w:p>
    <w:p>
      <w:pPr>
        <w:pStyle w:val="Normal"/>
        <w:jc w:val="both"/>
        <w:rPr/>
      </w:pPr>
      <w:hyperlink r:id="rId4">
        <w:r>
          <w:rPr>
            <w:rStyle w:val="Hyperlink"/>
          </w:rPr>
          <w:t>NERC</w:t>
        </w:r>
      </w:hyperlink>
    </w:p>
    <w:p>
      <w:pPr>
        <w:pStyle w:val="Normal"/>
        <w:jc w:val="both"/>
        <w:rPr/>
      </w:pPr>
      <w:hyperlink r:id="rId5">
        <w:r>
          <w:rPr>
            <w:rStyle w:val="Hyperlink"/>
          </w:rPr>
          <w:t>ISO-New England</w:t>
        </w:r>
      </w:hyperlink>
    </w:p>
    <w:p>
      <w:pPr>
        <w:pStyle w:val="Normal"/>
        <w:jc w:val="both"/>
        <w:rPr/>
      </w:pPr>
      <w:hyperlink r:id="rId6">
        <w:r>
          <w:rPr>
            <w:rStyle w:val="Hyperlink"/>
          </w:rPr>
          <w:t>PJM</w:t>
        </w:r>
      </w:hyperlink>
    </w:p>
    <w:p>
      <w:pPr>
        <w:pStyle w:val="Normal"/>
        <w:jc w:val="both"/>
        <w:rPr/>
      </w:pPr>
      <w:hyperlink r:id="rId7">
        <w:r>
          <w:rPr>
            <w:rStyle w:val="Hyperlink"/>
          </w:rPr>
          <w:t>New York ISO</w:t>
        </w:r>
      </w:hyperlink>
    </w:p>
    <w:p>
      <w:pPr>
        <w:pStyle w:val="Normal"/>
        <w:jc w:val="both"/>
        <w:rPr/>
      </w:pPr>
      <w:r>
        <w:rPr/>
      </w:r>
    </w:p>
    <w:p>
      <w:pPr>
        <w:pStyle w:val="Normal"/>
        <w:jc w:val="both"/>
        <w:rPr/>
      </w:pPr>
      <w:r>
        <w:rPr/>
        <w:t xml:space="preserve">For more information, you may contact David Givens, senior managing analyst, at 202-298-6300, ext. 243, or </w:t>
      </w:r>
      <w:hyperlink r:id="rId8">
        <w:r>
          <w:rPr>
            <w:rStyle w:val="Hyperlink"/>
          </w:rPr>
          <w:t>dgivens@intellibridge.com</w:t>
        </w:r>
      </w:hyperlink>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i/>
      <w:iCs/>
      <w:color w:val="000000"/>
      <w:szCs w:val="20"/>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paragraph" w:styleId="Heading5">
    <w:name w:val="heading 5"/>
    <w:basedOn w:val="Normal"/>
    <w:next w:val="Normal"/>
    <w:qFormat/>
    <w:pPr>
      <w:keepNext w:val="true"/>
      <w:numPr>
        <w:ilvl w:val="4"/>
        <w:numId w:val="1"/>
      </w:numPr>
      <w:outlineLvl w:val="4"/>
    </w:pPr>
    <w:rPr>
      <w:color w:val="000000"/>
      <w:szCs w:val="20"/>
    </w:rPr>
  </w:style>
  <w:style w:type="paragraph" w:styleId="Heading6">
    <w:name w:val="heading 6"/>
    <w:basedOn w:val="Normal"/>
    <w:next w:val="Normal"/>
    <w:qFormat/>
    <w:pPr>
      <w:keepNext w:val="true"/>
      <w:numPr>
        <w:ilvl w:val="5"/>
        <w:numId w:val="1"/>
      </w:numPr>
      <w:autoSpaceDE w:val="false"/>
      <w:outlineLvl w:val="5"/>
    </w:pPr>
    <w:rPr>
      <w:b/>
      <w:bCs/>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paragraph" w:styleId="BodyText2">
    <w:name w:val="Body Text 2"/>
    <w:basedOn w:val="Normal"/>
    <w:qFormat/>
    <w:pPr>
      <w:autoSpaceDE w:val="false"/>
    </w:pPr>
    <w:rPr>
      <w:b/>
      <w:bCs/>
      <w:color w:val="000000"/>
    </w:rPr>
  </w:style>
  <w:style w:type="paragraph" w:styleId="EndnoteText">
    <w:name w:val="endnote text"/>
    <w:basedOn w:val="Normal"/>
    <w:pPr>
      <w:autoSpaceDE w:val="false"/>
    </w:pPr>
    <w:rPr>
      <w:sz w:val="20"/>
      <w:szCs w:val="20"/>
    </w:rPr>
  </w:style>
  <w:style w:type="paragraph" w:styleId="BodyText3">
    <w:name w:val="Body Text 3"/>
    <w:basedOn w:val="Normal"/>
    <w:qFormat/>
    <w:pPr/>
    <w:rPr>
      <w:b/>
      <w:bCs/>
    </w:rPr>
  </w:style>
  <w:style w:type="paragraph" w:styleId="E-mailSignature">
    <w:name w:val="E-mail Signature"/>
    <w:basedOn w:val="Normal"/>
    <w:qFormat/>
    <w:pPr>
      <w:spacing w:before="100" w:after="10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ferc.gov/ELECTRIC/F714/DATA/F714data.htm" TargetMode="External"/><Relationship Id="rId4" Type="http://schemas.openxmlformats.org/officeDocument/2006/relationships/hyperlink" Target="http://www.nerc.com/~filez/rasreports.html" TargetMode="External"/><Relationship Id="rId5" Type="http://schemas.openxmlformats.org/officeDocument/2006/relationships/hyperlink" Target="http://www.iso-ne.com/Historical_Data/hist_data.html" TargetMode="External"/><Relationship Id="rId6" Type="http://schemas.openxmlformats.org/officeDocument/2006/relationships/hyperlink" Target="http://www.pjm.com/pub/account/loadhryr/index.html" TargetMode="External"/><Relationship Id="rId7" Type="http://schemas.openxmlformats.org/officeDocument/2006/relationships/hyperlink" Target="http://www.nyiso.com/markets/" TargetMode="External"/><Relationship Id="rId8" Type="http://schemas.openxmlformats.org/officeDocument/2006/relationships/hyperlink" Target="mailto:dgivens@intellibridge.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2001-10-10T13:57:00Z</dcterms:created>
  <dc:creator>CZenzie</dc:creator>
  <dc:description/>
  <dc:language>en-CA</dc:language>
  <cp:lastModifiedBy>dgivens</cp:lastModifiedBy>
  <cp:lastPrinted>2001-10-08T13:37:00Z</cp:lastPrinted>
  <dcterms:modified xsi:type="dcterms:W3CDTF">2001-10-10T16:59:00Z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-1196449316</vt:r8>
  </property>
  <property fmtid="{D5CDD505-2E9C-101B-9397-08002B2CF9AE}" pid="3" name="_AuthorEmail">
    <vt:lpwstr>dgivens@intellibridge.com</vt:lpwstr>
  </property>
  <property fmtid="{D5CDD505-2E9C-101B-9397-08002B2CF9AE}" pid="4" name="_AuthorEmailDisplayName">
    <vt:lpwstr>David Givens</vt:lpwstr>
  </property>
  <property fmtid="{D5CDD505-2E9C-101B-9397-08002B2CF9AE}" pid="5" name="_EmailSubject">
    <vt:lpwstr>Intellibridge has compiled the following report in response to your request</vt:lpwstr>
  </property>
</Properties>
</file>