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 SWAPTION</w:t>
      </w:r>
    </w:p>
    <w:p>
      <w:pPr>
        <w:pStyle w:val="Normal"/>
        <w:jc w:val="center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document constitutes a "Confirmation"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to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1.  The particular Transaction to which this Confirmation relates is a Swaption, the terms of which are as follows: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Exercise Period: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  <w:t>2.  The terms of the underlying Swap to which the Swaption relates are as follows:</w:t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keepNext w:val="true"/>
        <w:keepLines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keepNext w:val="true"/>
        <w:keepLines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Calculation Period: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  <w:r>
        <w:rPr>
          <w:sz w:val="20"/>
          <w:vertAlign w:val="superscript"/>
          <w:lang w:val="en-CA"/>
        </w:rPr>
        <w:tab/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Fixed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Floating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8"/>
      </w:r>
    </w:p>
    <w:p>
      <w:pPr>
        <w:pStyle w:val="Normal"/>
        <w:ind w:hanging="142" w:start="142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75pt" to="453.55pt,11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FootnoteText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 xml:space="preserve">By executing this Confirmation we confirm, as of the date first above written, that the foregoing correctly records the terms of our agreement with respect to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10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lang w:val="en-CA"/>
        </w:rPr>
      </w:pPr>
      <w:r>
        <w:rPr>
          <w:lang w:val="en-C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95pt;height:13.95pt;mso-wrap-distance-left:0pt;mso-wrap-distance-right:0pt;mso-wrap-distance-top:0pt;mso-wrap-distance-bottom:0pt;margin-top:0.05pt;mso-position-vertical-relative:text;margin-left:216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>
          <w:lang w:val="en-GB"/>
        </w:rPr>
        <w:t>Specify if Notice of Exercise is to be given and confirmed in writing.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</w:t>
      </w:r>
      <w:r>
        <w:rPr>
          <w:lang w:val="en-GB"/>
        </w:rPr>
        <w:t>nsert full name.</w:t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2000-02-14T10:43:00Z</dcterms:created>
  <dc:creator>Unknown</dc:creator>
  <dc:description/>
  <dc:language>en-CA</dc:language>
  <cp:lastModifiedBy>mrosell2</cp:lastModifiedBy>
  <cp:lastPrinted>2000-02-14T18:01:00Z</cp:lastPrinted>
  <dcterms:modified xsi:type="dcterms:W3CDTF">2000-02-14T14:39:00Z</dcterms:modified>
  <cp:revision>10</cp:revision>
  <dc:subject/>
  <dc:title>[ECT INTERNATIONAL CORP. LETTERHEAD]</dc:title>
</cp:coreProperties>
</file>