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CONFIRMATION OF A SWAP</w:t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3600" w:leader="none"/>
        </w:tabs>
        <w:rPr>
          <w:sz w:val="20"/>
          <w:lang w:val="en-CA"/>
        </w:rPr>
      </w:pPr>
      <w:r>
        <w:rPr>
          <w:sz w:val="20"/>
          <w:lang w:val="en-CA"/>
        </w:rPr>
        <w:t>Date:</w:t>
        <w:tab/>
      </w:r>
    </w:p>
    <w:p>
      <w:pPr>
        <w:pStyle w:val="Normal"/>
        <w:tabs>
          <w:tab w:val="clear" w:pos="720"/>
          <w:tab w:val="left" w:pos="3600" w:leader="none"/>
        </w:tabs>
        <w:rPr>
          <w:sz w:val="20"/>
          <w:lang w:val="en-CA"/>
        </w:rPr>
      </w:pPr>
      <w:r>
        <w:rPr>
          <w:sz w:val="20"/>
          <w:lang w:val="en-CA"/>
        </w:rPr>
        <w:t>To:</w:t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sz w:val="20"/>
          <w:lang w:val="en-CA"/>
        </w:rPr>
      </w:pPr>
      <w:r>
        <w:rPr>
          <w:sz w:val="20"/>
          <w:lang w:val="en-CA"/>
        </w:rPr>
        <w:t xml:space="preserve">Attention: </w:t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sz w:val="20"/>
          <w:lang w:val="en-CA"/>
        </w:rPr>
      </w:pPr>
      <w:r>
        <w:rPr>
          <w:sz w:val="20"/>
          <w:lang w:val="en-CA"/>
        </w:rPr>
        <w:t>From:</w:t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sz w:val="20"/>
          <w:lang w:val="en-CA"/>
        </w:rPr>
      </w:pPr>
      <w:r>
        <w:rPr>
          <w:sz w:val="20"/>
          <w:lang w:val="en-CA"/>
        </w:rPr>
        <w:t>Broker (if any):</w:t>
      </w:r>
    </w:p>
    <w:p>
      <w:pPr>
        <w:pStyle w:val="Heading1"/>
        <w:rPr>
          <w:b w:val="false"/>
          <w:sz w:val="20"/>
          <w:lang w:val="en-CA"/>
        </w:rPr>
      </w:pPr>
      <w:r>
        <w:rPr>
          <w:b w:val="false"/>
          <w:sz w:val="20"/>
          <w:lang w:val="en-CA"/>
        </w:rPr>
      </w:r>
    </w:p>
    <w:p>
      <w:pPr>
        <w:pStyle w:val="Heading1"/>
        <w:rPr>
          <w:b w:val="false"/>
          <w:lang w:val="en-CA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760720" cy="0"/>
                <wp:effectExtent l="0" t="6350" r="0" b="63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7.8pt" to="453.55pt,7.8pt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  <w:r>
        <w:rPr>
          <w:b w:val="false"/>
          <w:lang w:val="en-CA"/>
        </w:rPr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b/>
          <w:sz w:val="20"/>
          <w:lang w:val="en-CA"/>
        </w:rPr>
      </w:pPr>
      <w:r>
        <w:rPr>
          <w:b/>
          <w:sz w:val="20"/>
          <w:lang w:val="en-CA"/>
        </w:rPr>
      </w:r>
    </w:p>
    <w:p>
      <w:pPr>
        <w:pStyle w:val="BodyText2"/>
        <w:tabs>
          <w:tab w:val="clear" w:pos="720"/>
          <w:tab w:val="left" w:pos="-284" w:leader="none"/>
        </w:tabs>
        <w:rPr>
          <w:lang w:val="en-CA"/>
        </w:rPr>
      </w:pPr>
      <w:r>
        <w:rPr>
          <w:lang w:val="en-CA"/>
        </w:rPr>
        <w:t>The purpose of this document is to confirm the terms and conditions of the transaction entered into between us on the Trade Date specified below (the "Transaction"). This document constitutes a "Confirmation" as referred to in the Financial Energy Master Agreement specified below.</w:t>
      </w:r>
    </w:p>
    <w:p>
      <w:pPr>
        <w:pStyle w:val="BodyText2"/>
        <w:rPr>
          <w:lang w:val="en-CA"/>
        </w:rPr>
      </w:pPr>
      <w:r>
        <w:rPr>
          <w:lang w:val="en-CA"/>
        </w:rPr>
      </w:r>
    </w:p>
    <w:p>
      <w:pPr>
        <w:pStyle w:val="BodyText2"/>
        <w:tabs>
          <w:tab w:val="clear" w:pos="720"/>
          <w:tab w:val="left" w:pos="0" w:leader="none"/>
        </w:tabs>
        <w:rPr/>
      </w:pPr>
      <w:r>
        <w:rPr>
          <w:lang w:val="en-CA"/>
        </w:rPr>
        <w:t>This Confirmation supplements, forms part of, and is subject to, the Financial Energy Master Agreement, dated as of [date]</w:t>
      </w:r>
      <w:r>
        <w:rPr>
          <w:rStyle w:val="FootnoteCharacters"/>
          <w:rStyle w:val="FootnoteReference"/>
          <w:lang w:val="en-CA"/>
        </w:rPr>
        <w:footnoteReference w:id="2"/>
      </w:r>
      <w:r>
        <w:rPr>
          <w:lang w:val="en-CA"/>
        </w:rPr>
        <w:t>, as amended and supplemented from time to time (the "Agreement"), between you and us. All provisions contained in the Agreement govern this Confirmation except as expressly modified below.</w:t>
      </w:r>
    </w:p>
    <w:p>
      <w:pPr>
        <w:pStyle w:val="BodyText2"/>
        <w:tabs>
          <w:tab w:val="clear" w:pos="720"/>
          <w:tab w:val="left" w:pos="0" w:leader="none"/>
        </w:tabs>
        <w:rPr>
          <w:lang w:val="en-CA"/>
        </w:rPr>
      </w:pPr>
      <w:r>
        <w:rPr>
          <w:lang w:val="en-CA"/>
        </w:rPr>
      </w:r>
    </w:p>
    <w:p>
      <w:pPr>
        <w:pStyle w:val="BodyText2"/>
        <w:tabs>
          <w:tab w:val="clear" w:pos="720"/>
          <w:tab w:val="left" w:pos="0" w:leader="none"/>
        </w:tabs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760720" cy="0"/>
                <wp:effectExtent l="0" t="6350" r="0" b="63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.75pt" to="453.55pt,5.75pt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BodyText2"/>
        <w:tabs>
          <w:tab w:val="clear" w:pos="720"/>
        </w:tabs>
        <w:rPr>
          <w:lang w:val="en-CA"/>
        </w:rPr>
      </w:pPr>
      <w:r>
        <w:rPr>
          <w:lang w:val="en-CA"/>
        </w:rPr>
      </w:r>
    </w:p>
    <w:p>
      <w:pPr>
        <w:pStyle w:val="Heading2"/>
        <w:tabs>
          <w:tab w:val="clear" w:pos="4320"/>
          <w:tab w:val="left" w:pos="-709" w:leader="none"/>
        </w:tabs>
        <w:ind w:hanging="709" w:start="709" w:end="0"/>
        <w:rPr/>
      </w:pPr>
      <w:r>
        <w:rPr>
          <w:lang w:val="en-CA"/>
        </w:rPr>
        <w:t>Terms</w:t>
      </w:r>
      <w:r>
        <w:rPr>
          <w:b w:val="false"/>
          <w:lang w:val="en-CA"/>
        </w:rPr>
        <w:t xml:space="preserve"> </w:t>
      </w:r>
    </w:p>
    <w:p>
      <w:pPr>
        <w:pStyle w:val="BodyText2"/>
        <w:tabs>
          <w:tab w:val="clear" w:pos="720"/>
        </w:tabs>
        <w:rPr>
          <w:b/>
          <w:lang w:val="en-CA"/>
        </w:rPr>
      </w:pPr>
      <w:r>
        <w:rPr>
          <w:b/>
          <w:lang w:val="en-CA"/>
        </w:rPr>
      </w:r>
    </w:p>
    <w:p>
      <w:pPr>
        <w:pStyle w:val="BodyText2"/>
        <w:tabs>
          <w:tab w:val="clear" w:pos="720"/>
        </w:tabs>
        <w:rPr>
          <w:lang w:val="en-CA"/>
        </w:rPr>
      </w:pPr>
      <w:r>
        <w:rPr>
          <w:lang w:val="en-CA"/>
        </w:rPr>
        <w:t>The particular Transaction to which this Confirmation relates is a Swap, the terms of which are as follows:</w:t>
      </w:r>
    </w:p>
    <w:p>
      <w:pPr>
        <w:pStyle w:val="Heading2"/>
        <w:tabs>
          <w:tab w:val="clear" w:pos="4320"/>
          <w:tab w:val="left" w:pos="-142" w:leader="none"/>
        </w:tabs>
        <w:ind w:hanging="4253" w:start="4253" w:end="0"/>
        <w:rPr>
          <w:b w:val="false"/>
          <w:lang w:val="en-CA"/>
        </w:rPr>
      </w:pPr>
      <w:r>
        <w:rPr>
          <w:b w:val="false"/>
          <w:lang w:val="en-CA"/>
        </w:rPr>
      </w:r>
    </w:p>
    <w:p>
      <w:pPr>
        <w:pStyle w:val="Heading2"/>
        <w:tabs>
          <w:tab w:val="clear" w:pos="4320"/>
          <w:tab w:val="left" w:pos="-142" w:leader="none"/>
        </w:tabs>
        <w:ind w:hanging="4253" w:start="4253" w:end="0"/>
        <w:rPr>
          <w:b w:val="false"/>
          <w:lang w:val="en-CA"/>
        </w:rPr>
      </w:pPr>
      <w:r>
        <w:rPr>
          <w:b w:val="false"/>
          <w:lang w:val="en-CA"/>
        </w:rPr>
        <w:t>Trade Date:</w:t>
        <w:tab/>
      </w:r>
    </w:p>
    <w:p>
      <w:pPr>
        <w:pStyle w:val="Normal"/>
        <w:tabs>
          <w:tab w:val="clear" w:pos="720"/>
          <w:tab w:val="left" w:pos="4320" w:leader="none"/>
        </w:tabs>
        <w:ind w:start="540" w:end="0"/>
        <w:rPr>
          <w:b/>
          <w:sz w:val="20"/>
          <w:lang w:val="en-CA"/>
        </w:rPr>
      </w:pPr>
      <w:r>
        <w:rPr>
          <w:b/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Effective Time:</w:t>
        <w:tab/>
      </w:r>
    </w:p>
    <w:p>
      <w:pPr>
        <w:pStyle w:val="Normal"/>
        <w:tabs>
          <w:tab w:val="clear" w:pos="720"/>
          <w:tab w:val="left" w:pos="4253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Expiration Time:</w:t>
        <w:tab/>
      </w:r>
    </w:p>
    <w:p>
      <w:pPr>
        <w:pStyle w:val="Normal"/>
        <w:tabs>
          <w:tab w:val="clear" w:pos="720"/>
          <w:tab w:val="left" w:pos="4253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Commodity:</w:t>
        <w:tab/>
      </w:r>
    </w:p>
    <w:p>
      <w:pPr>
        <w:pStyle w:val="Normal"/>
        <w:tabs>
          <w:tab w:val="clear" w:pos="720"/>
          <w:tab w:val="left" w:pos="4320" w:leader="none"/>
        </w:tabs>
        <w:ind w:start="540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284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Commodity Unit:</w:t>
        <w:tab/>
      </w:r>
    </w:p>
    <w:p>
      <w:pPr>
        <w:pStyle w:val="Normal"/>
        <w:tabs>
          <w:tab w:val="clear" w:pos="720"/>
          <w:tab w:val="left" w:pos="-284" w:leader="none"/>
        </w:tabs>
        <w:ind w:start="540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4320" w:leader="none"/>
        </w:tabs>
        <w:rPr>
          <w:sz w:val="20"/>
          <w:lang w:val="en-CA"/>
        </w:rPr>
      </w:pPr>
      <w:r>
        <w:rPr>
          <w:sz w:val="20"/>
          <w:lang w:val="en-CA"/>
        </w:rPr>
        <w:t>Notional Quantity per</w:t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u w:val="single"/>
          <w:lang w:val="en-CA"/>
        </w:rPr>
      </w:pPr>
      <w:r>
        <w:rPr>
          <w:sz w:val="20"/>
          <w:lang w:val="en-CA"/>
        </w:rPr>
        <w:t>Calculation Period:</w:t>
      </w:r>
      <w:r>
        <w:rPr>
          <w:rStyle w:val="FootnoteCharacters"/>
          <w:rStyle w:val="FootnoteReference"/>
          <w:sz w:val="20"/>
          <w:lang w:val="en-CA"/>
        </w:rPr>
        <w:footnoteReference w:id="3"/>
      </w:r>
      <w:r>
        <w:rPr>
          <w:sz w:val="20"/>
          <w:lang w:val="en-CA"/>
        </w:rPr>
        <w:tab/>
      </w:r>
      <w:r>
        <w:rPr>
          <w:sz w:val="20"/>
          <w:vertAlign w:val="superscript"/>
          <w:lang w:val="en-CA"/>
        </w:rPr>
        <w:tab/>
      </w:r>
    </w:p>
    <w:p>
      <w:pPr>
        <w:pStyle w:val="Normal"/>
        <w:tabs>
          <w:tab w:val="clear" w:pos="720"/>
          <w:tab w:val="left" w:pos="4320" w:leader="none"/>
        </w:tabs>
        <w:ind w:start="540" w:end="0"/>
        <w:rPr>
          <w:sz w:val="20"/>
          <w:lang w:val="en-CA"/>
        </w:rPr>
      </w:pPr>
      <w:r>
        <w:rPr>
          <w:sz w:val="20"/>
          <w:lang w:val="en-CA"/>
        </w:rPr>
        <w:tab/>
      </w:r>
    </w:p>
    <w:p>
      <w:pPr>
        <w:pStyle w:val="BodyText2"/>
        <w:tabs>
          <w:tab w:val="clear" w:pos="720"/>
          <w:tab w:val="left" w:pos="-142" w:leader="none"/>
        </w:tabs>
        <w:ind w:hanging="4253" w:start="4253" w:end="0"/>
        <w:rPr>
          <w:u w:val="single"/>
        </w:rPr>
      </w:pPr>
      <w:r>
        <w:rPr>
          <w:lang w:val="en-CA"/>
        </w:rPr>
        <w:t>Calculation Period(s):</w:t>
        <w:tab/>
      </w:r>
    </w:p>
    <w:p>
      <w:pPr>
        <w:pStyle w:val="Normal"/>
        <w:tabs>
          <w:tab w:val="clear" w:pos="720"/>
          <w:tab w:val="left" w:pos="4320" w:leader="none"/>
        </w:tabs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</w:r>
    </w:p>
    <w:p>
      <w:pPr>
        <w:pStyle w:val="BodyTextIndent3"/>
        <w:rPr/>
      </w:pPr>
      <w:r>
        <w:rPr/>
        <w:t>Settlement Period(s):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Contractual Currency:</w:t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ab/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vertAlign w:val="superscript"/>
          <w:lang w:val="en-CA"/>
        </w:rPr>
      </w:pPr>
      <w:r>
        <w:rPr>
          <w:sz w:val="20"/>
          <w:lang w:val="en-CA"/>
        </w:rPr>
        <w:t>Fixed Price Payer:</w:t>
        <w:tab/>
        <w:t>[Party A/Party B]</w:t>
      </w:r>
      <w:r>
        <w:rPr>
          <w:rStyle w:val="FootnoteCharacters"/>
          <w:rStyle w:val="FootnoteReference"/>
          <w:sz w:val="20"/>
          <w:lang w:val="en-CA"/>
        </w:rPr>
        <w:footnoteReference w:id="4"/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  <w:tab/>
      </w:r>
    </w:p>
    <w:p>
      <w:pPr>
        <w:pStyle w:val="Normal"/>
        <w:ind w:hanging="4253" w:start="4253" w:end="0"/>
        <w:rPr>
          <w:sz w:val="20"/>
          <w:u w:val="single"/>
          <w:lang w:val="en-CA"/>
        </w:rPr>
      </w:pPr>
      <w:r>
        <w:rPr>
          <w:sz w:val="20"/>
          <w:lang w:val="en-CA"/>
        </w:rPr>
        <w:t>Fixed Price:</w:t>
        <w:tab/>
      </w:r>
    </w:p>
    <w:p>
      <w:pPr>
        <w:pStyle w:val="Normal"/>
        <w:ind w:hanging="142" w:start="142" w:end="0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</w:r>
    </w:p>
    <w:p>
      <w:pPr>
        <w:pStyle w:val="Normal"/>
        <w:tabs>
          <w:tab w:val="clear" w:pos="720"/>
          <w:tab w:val="left" w:pos="4320" w:leader="none"/>
        </w:tabs>
        <w:ind w:hanging="4253" w:start="4253" w:end="0"/>
        <w:rPr>
          <w:sz w:val="20"/>
          <w:vertAlign w:val="superscript"/>
          <w:lang w:val="en-CA"/>
        </w:rPr>
      </w:pPr>
      <w:r>
        <w:rPr>
          <w:sz w:val="20"/>
          <w:lang w:val="en-CA"/>
        </w:rPr>
        <w:t>Floating Price Payer:</w:t>
        <w:tab/>
        <w:t>[Party A/Party B]</w:t>
      </w:r>
      <w:r>
        <w:rPr>
          <w:rStyle w:val="FootnoteCharacters"/>
          <w:rStyle w:val="FootnoteReference"/>
          <w:sz w:val="20"/>
          <w:lang w:val="en-CA"/>
        </w:rPr>
        <w:footnoteReference w:id="5"/>
      </w:r>
    </w:p>
    <w:p>
      <w:pPr>
        <w:pStyle w:val="Normal"/>
        <w:ind w:hanging="142" w:start="142" w:end="0"/>
        <w:rPr>
          <w:sz w:val="20"/>
          <w:lang w:val="en-CA"/>
        </w:rPr>
      </w:pPr>
      <w:r>
        <w:rPr>
          <w:sz w:val="20"/>
          <w:lang w:val="en-CA"/>
        </w:rPr>
        <w:tab/>
        <w:tab/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Floating Price:</w:t>
        <w:tab/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Floating Price Source:</w:t>
        <w:tab/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Alternative Floating Price Source:</w:t>
      </w:r>
    </w:p>
    <w:p>
      <w:pPr>
        <w:pStyle w:val="Normal"/>
        <w:ind w:hanging="142" w:start="142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Special Provisions:</w:t>
        <w:tab/>
      </w:r>
    </w:p>
    <w:p>
      <w:pPr>
        <w:pStyle w:val="Normal"/>
        <w:ind w:hanging="4320" w:start="4320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5760720" cy="0"/>
                <wp:effectExtent l="0" t="6350" r="0" b="63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1.75pt" to="453.55pt,11.75pt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  <w:t xml:space="preserve">By executing this Confirmation we confirm, as of the date first above written, that the foregoing correctly records the terms of our agreement with respect to the Transaction. </w:t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</w:r>
    </w:p>
    <w:tbl>
      <w:tblPr>
        <w:tblW w:w="92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28"/>
        <w:gridCol w:w="4316"/>
      </w:tblGrid>
      <w:tr>
        <w:trPr>
          <w:trHeight w:val="1003" w:hRule="atLeast"/>
        </w:trPr>
        <w:tc>
          <w:tcPr>
            <w:tcW w:w="4928" w:type="dxa"/>
            <w:tcBorders/>
          </w:tcPr>
          <w:p>
            <w:pPr>
              <w:pStyle w:val="Normal"/>
              <w:ind w:start="709" w:end="0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lang w:val="en-CA"/>
              </w:rPr>
              <w:t>[Party A]</w:t>
            </w:r>
            <w:r>
              <w:rPr>
                <w:rStyle w:val="FootnoteCharacters"/>
                <w:rStyle w:val="FootnoteReference"/>
                <w:sz w:val="20"/>
                <w:lang w:val="en-CA"/>
              </w:rPr>
              <w:footnoteReference w:id="6"/>
            </w:r>
          </w:p>
          <w:p>
            <w:pPr>
              <w:pStyle w:val="Normal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By: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Name: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Title: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567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ab/>
              <w:tab/>
            </w:r>
          </w:p>
        </w:tc>
        <w:tc>
          <w:tcPr>
            <w:tcW w:w="4316" w:type="dxa"/>
            <w:tcBorders/>
          </w:tcPr>
          <w:p>
            <w:pPr>
              <w:pStyle w:val="Normal"/>
              <w:ind w:start="742" w:end="0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lang w:val="en-CA"/>
              </w:rPr>
              <w:t>[Party B]</w:t>
            </w:r>
            <w:r>
              <w:rPr>
                <w:rStyle w:val="FootnoteCharacters"/>
                <w:rStyle w:val="FootnoteReference"/>
                <w:sz w:val="20"/>
                <w:lang w:val="en-CA"/>
              </w:rPr>
              <w:footnoteReference w:id="7"/>
            </w:r>
          </w:p>
          <w:p>
            <w:pPr>
              <w:pStyle w:val="Normal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vertAlign w:val="superscript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By: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Name: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Title: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567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6480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</w:r>
          </w:p>
        </w:tc>
      </w:tr>
    </w:tbl>
    <w:p>
      <w:pPr>
        <w:pStyle w:val="BodyText"/>
        <w:rPr>
          <w:lang w:val="en-GB"/>
        </w:rPr>
      </w:pPr>
      <w:r>
        <w:rPr>
          <w:lang w:val="en-GB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40" w:right="1440" w:gutter="0" w:header="720" w:top="144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20"/>
      </w:rPr>
    </w:pPr>
    <w:r>
      <w:rPr>
        <w:sz w:val="20"/>
      </w:rPr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40665" cy="177165"/>
              <wp:effectExtent l="0" t="0" r="0" b="0"/>
              <wp:wrapSquare wrapText="bothSides"/>
              <wp:docPr id="4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t xml:space="preserve">- </w: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 xml:space="preserve"> 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8.95pt;height:13.95pt;mso-wrap-distance-left:0pt;mso-wrap-distance-right:0pt;mso-wrap-distance-top:0pt;mso-wrap-distance-bottom:0pt;margin-top:0.05pt;mso-position-vertical-relative:text;margin-left:216.2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t xml:space="preserve">- </w:t>
                    </w:r>
                    <w:r>
                      <w:rPr>
                        <w:rStyle w:val="PageNumber"/>
                        <w:sz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</w:rPr>
                      <w:t>2</w:t>
                    </w:r>
                    <w:r>
                      <w:rPr>
                        <w:rStyle w:val="PageNumber"/>
                        <w:sz w:val="20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 xml:space="preserve"> -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>
        <w:sz w:val="14"/>
      </w:rPr>
    </w:pPr>
    <w:r>
      <w:rPr>
        <w:sz w:val="14"/>
      </w:rPr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Insert date.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The parties may specify different Notional Quantities for different Calculation Periods and/or for each party.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Delete as applicable.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Delete as applicable.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Insert full name.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Insert full name.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3600" w:leader="none"/>
      </w:tabs>
      <w:ind w:hanging="3870" w:start="3870" w:end="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4320" w:leader="none"/>
      </w:tabs>
      <w:ind w:hanging="3780" w:start="4320" w:end="0"/>
      <w:outlineLvl w:val="1"/>
    </w:pPr>
    <w:rPr>
      <w:b/>
      <w:sz w:val="2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character" w:styleId="WW8Num1z0">
    <w:name w:val="WW8Num1z0"/>
    <w:qFormat/>
    <w:rPr>
      <w:rFonts w:ascii="Arial Narrow" w:hAnsi="Arial Narrow" w:cs="Arial Narrow"/>
      <w:sz w:val="18"/>
    </w:rPr>
  </w:style>
  <w:style w:type="character" w:styleId="WW8Num2z0">
    <w:name w:val="WW8Num2z0"/>
    <w:qFormat/>
    <w:rPr>
      <w:rFonts w:ascii="Arial Narrow" w:hAnsi="Arial Narrow" w:cs="Arial Narrow"/>
      <w:sz w:val="18"/>
    </w:rPr>
  </w:style>
  <w:style w:type="character" w:styleId="WW8Num3z0">
    <w:name w:val="WW8Num3z0"/>
    <w:qFormat/>
    <w:rPr>
      <w:rFonts w:ascii="Arial Narrow" w:hAnsi="Arial Narrow" w:cs="Arial Narrow"/>
      <w:sz w:val="18"/>
    </w:rPr>
  </w:style>
  <w:style w:type="character" w:styleId="WW8Num4z0">
    <w:name w:val="WW8Num4z0"/>
    <w:qFormat/>
    <w:rPr>
      <w:rFonts w:ascii="Arial Narrow" w:hAnsi="Arial Narrow" w:cs="Arial Narrow"/>
      <w:sz w:val="18"/>
    </w:rPr>
  </w:style>
  <w:style w:type="character" w:styleId="WW8Num5z0">
    <w:name w:val="WW8Num5z0"/>
    <w:qFormat/>
    <w:rPr>
      <w:rFonts w:ascii="Arial Narrow" w:hAnsi="Arial Narrow" w:cs="Arial Narrow"/>
      <w:sz w:val="18"/>
    </w:rPr>
  </w:style>
  <w:style w:type="character" w:styleId="WW8Num6z0">
    <w:name w:val="WW8Num6z0"/>
    <w:qFormat/>
    <w:rPr>
      <w:rFonts w:ascii="Arial Narrow" w:hAnsi="Arial Narrow" w:cs="Arial Narrow"/>
      <w:sz w:val="18"/>
    </w:rPr>
  </w:style>
  <w:style w:type="character" w:styleId="WW8Num7z0">
    <w:name w:val="WW8Num7z0"/>
    <w:qFormat/>
    <w:rPr>
      <w:rFonts w:ascii="Arial Narrow" w:hAnsi="Arial Narrow" w:cs="Arial Narrow"/>
      <w:sz w:val="18"/>
    </w:rPr>
  </w:style>
  <w:style w:type="character" w:styleId="WW8Num8z0">
    <w:name w:val="WW8Num8z0"/>
    <w:qFormat/>
    <w:rPr>
      <w:rFonts w:ascii="Arial Narrow" w:hAnsi="Arial Narrow" w:cs="Arial Narrow"/>
      <w:sz w:val="18"/>
    </w:rPr>
  </w:style>
  <w:style w:type="character" w:styleId="WW8Num9z0">
    <w:name w:val="WW8Num9z0"/>
    <w:qFormat/>
    <w:rPr>
      <w:rFonts w:ascii="Arial Narrow" w:hAnsi="Arial Narrow" w:cs="Arial Narrow"/>
      <w:sz w:val="18"/>
    </w:rPr>
  </w:style>
  <w:style w:type="character" w:styleId="WW8Num10z0">
    <w:name w:val="WW8Num10z0"/>
    <w:qFormat/>
    <w:rPr>
      <w:rFonts w:ascii="Arial Narrow" w:hAnsi="Arial Narrow" w:cs="Arial Narrow"/>
      <w:sz w:val="18"/>
    </w:rPr>
  </w:style>
  <w:style w:type="character" w:styleId="WW8Num11z0">
    <w:name w:val="WW8Num11z0"/>
    <w:qFormat/>
    <w:rPr>
      <w:rFonts w:ascii="Arial Narrow" w:hAnsi="Arial Narrow" w:cs="Arial Narrow"/>
      <w:sz w:val="1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0"/>
      <w:u w:val="single"/>
      <w:lang w:val="en-CA"/>
    </w:rPr>
  </w:style>
  <w:style w:type="paragraph" w:styleId="BodyText">
    <w:name w:val="Body Text"/>
    <w:basedOn w:val="Normal"/>
    <w:pPr>
      <w:tabs>
        <w:tab w:val="left" w:pos="720" w:leader="none"/>
        <w:tab w:val="left" w:pos="3600" w:leader="none"/>
        <w:tab w:val="left" w:pos="4140" w:leader="none"/>
        <w:tab w:val="left" w:pos="5040" w:leader="none"/>
        <w:tab w:val="left" w:pos="6480" w:leader="none"/>
      </w:tabs>
    </w:pPr>
    <w:rPr>
      <w:b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BodyTextIndent">
    <w:name w:val="Body Text Indent"/>
    <w:basedOn w:val="Normal"/>
    <w:pPr>
      <w:tabs>
        <w:tab w:val="clear" w:pos="720"/>
        <w:tab w:val="left" w:pos="4320" w:leader="none"/>
      </w:tabs>
      <w:ind w:hanging="4320" w:start="4320" w:end="0"/>
    </w:pPr>
    <w:rPr>
      <w:sz w:val="20"/>
    </w:rPr>
  </w:style>
  <w:style w:type="paragraph" w:styleId="BodyText2">
    <w:name w:val="Body Text 2"/>
    <w:basedOn w:val="Normal"/>
    <w:qFormat/>
    <w:pPr>
      <w:tabs>
        <w:tab w:val="left" w:pos="720" w:leader="none"/>
      </w:tabs>
    </w:pPr>
    <w:rPr>
      <w:sz w:val="20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4320" w:leader="none"/>
      </w:tabs>
      <w:ind w:hanging="3780" w:start="4320" w:end="0"/>
    </w:pPr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-142" w:leader="none"/>
      </w:tabs>
      <w:ind w:hanging="4253" w:start="4253" w:end="0"/>
    </w:pPr>
    <w:rPr>
      <w:sz w:val="20"/>
      <w:lang w:val="en-C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2000-02-14T10:37:00Z</dcterms:created>
  <dc:creator>Unknown</dc:creator>
  <dc:description/>
  <dc:language>en-CA</dc:language>
  <cp:lastModifiedBy>mrosell2</cp:lastModifiedBy>
  <cp:lastPrinted>2000-02-14T17:15:00Z</cp:lastPrinted>
  <dcterms:modified xsi:type="dcterms:W3CDTF">2000-02-14T14:32:00Z</dcterms:modified>
  <cp:revision>7</cp:revision>
  <dc:subject/>
  <dc:title>[ECT INTERNATIONAL CORP. LETTERHEAD]</dc:title>
</cp:coreProperties>
</file>