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Helvetica" w:hAnsi="Helvetica" w:cs="Helvetica"/>
          <w:b/>
          <w:sz w:val="20"/>
        </w:rPr>
      </w:pPr>
      <w:r>
        <w:rPr>
          <w:rFonts w:cs="Helvetica" w:ascii="Helvetica" w:hAnsi="Helvetica"/>
          <w:b/>
          <w:sz w:val="20"/>
        </w:rPr>
        <w:t>PEOPLES ENERGY CORPORATION</w:t>
      </w:r>
    </w:p>
    <w:p>
      <w:pPr>
        <w:pStyle w:val="normal1"/>
        <w:tabs>
          <w:tab w:val="clear" w:pos="720"/>
          <w:tab w:val="center" w:pos="4680" w:leader="none"/>
        </w:tabs>
        <w:jc w:val="center"/>
        <w:rPr>
          <w:rFonts w:ascii="Helvetica" w:hAnsi="Helvetica" w:cs="Helvetica"/>
          <w:b/>
          <w:sz w:val="20"/>
        </w:rPr>
      </w:pPr>
      <w:r>
        <w:rPr>
          <w:rFonts w:cs="Helvetica" w:ascii="Helvetica" w:hAnsi="Helvetica"/>
          <w:b/>
          <w:sz w:val="20"/>
        </w:rPr>
        <w:t>130 East Randolph Drive</w:t>
      </w:r>
    </w:p>
    <w:p>
      <w:pPr>
        <w:pStyle w:val="normal1"/>
        <w:tabs>
          <w:tab w:val="clear" w:pos="720"/>
          <w:tab w:val="center" w:pos="4680" w:leader="none"/>
        </w:tabs>
        <w:jc w:val="center"/>
        <w:rPr>
          <w:rFonts w:ascii="Helvetica" w:hAnsi="Helvetica" w:cs="Helvetica"/>
          <w:b/>
          <w:sz w:val="20"/>
        </w:rPr>
      </w:pPr>
      <w:r>
        <w:rPr>
          <w:rFonts w:cs="Helvetica" w:ascii="Helvetica" w:hAnsi="Helvetica"/>
          <w:b/>
          <w:sz w:val="20"/>
        </w:rPr>
        <w:t>Chicago, Illinois 60601</w:t>
      </w:r>
    </w:p>
    <w:p>
      <w:pPr>
        <w:pStyle w:val="normal1"/>
        <w:tabs>
          <w:tab w:val="clear" w:pos="720"/>
          <w:tab w:val="center" w:pos="4680" w:leader="none"/>
        </w:tabs>
        <w:jc w:val="center"/>
        <w:rPr>
          <w:rFonts w:ascii="Helvetica" w:hAnsi="Helvetica" w:cs="Helvetica"/>
          <w:b/>
          <w:sz w:val="20"/>
        </w:rPr>
      </w:pPr>
      <w:r>
        <w:rPr>
          <w:rFonts w:cs="Helvetica" w:ascii="Helvetica" w:hAnsi="Helvetica"/>
          <w:b/>
          <w:sz w:val="20"/>
        </w:rPr>
      </w:r>
    </w:p>
    <w:p>
      <w:pPr>
        <w:pStyle w:val="normal1"/>
        <w:jc w:val="center"/>
        <w:rPr/>
      </w:pPr>
      <w:r>
        <w:rPr/>
        <w:tab/>
        <w:tab/>
        <w:tab/>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DATE:</w:t>
        <w:tab/>
        <w:t xml:space="preserve"> </w:t>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TO:</w:t>
        <w:tab/>
        <w:t xml:space="preserve"> </w:t>
        <w:tab/>
        <w:tab/>
        <w:tab/>
        <w:t xml:space="preserve"> </w:t>
        <w:tab/>
        <w:t>("COUNTERPARTY")</w:t>
      </w:r>
    </w:p>
    <w:p>
      <w:pPr>
        <w:pStyle w:val="normal1"/>
        <w:jc w:val="both"/>
        <w:rPr>
          <w:rFonts w:ascii="Helvetica" w:hAnsi="Helvetica" w:cs="Helvetica"/>
          <w:sz w:val="20"/>
        </w:rPr>
      </w:pPr>
      <w:r>
        <w:rPr>
          <w:rFonts w:cs="Helvetica" w:ascii="Helvetica" w:hAnsi="Helvetica"/>
          <w:sz w:val="20"/>
        </w:rPr>
        <w:tab/>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ATTN:</w:t>
        <w:tab/>
        <w:t xml:space="preserve"> </w:t>
      </w:r>
    </w:p>
    <w:p>
      <w:pPr>
        <w:pStyle w:val="normal1"/>
        <w:jc w:val="both"/>
        <w:rPr>
          <w:rFonts w:ascii="Helvetica" w:hAnsi="Helvetica" w:cs="Helvetica"/>
          <w:sz w:val="20"/>
        </w:rPr>
      </w:pPr>
      <w:r>
        <w:rPr>
          <w:rFonts w:cs="Helvetica" w:ascii="Helvetica" w:hAnsi="Helvetica"/>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FAX:</w:t>
        <w:tab/>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FROM:</w:t>
        <w:tab/>
        <w:tab/>
        <w:t>Peoples Energy Corporation (“PEC”)</w:t>
      </w:r>
    </w:p>
    <w:p>
      <w:pPr>
        <w:pStyle w:val="normal1"/>
        <w:ind w:firstLine="180" w:start="1260" w:end="0"/>
        <w:rPr>
          <w:rFonts w:ascii="Helvetica" w:hAnsi="Helvetica" w:cs="Helvetica"/>
          <w:sz w:val="20"/>
        </w:rPr>
      </w:pPr>
      <w:r>
        <w:rPr>
          <w:rFonts w:cs="Helvetica" w:ascii="Helvetica" w:hAnsi="Helvetica"/>
          <w:sz w:val="20"/>
        </w:rPr>
        <w:t>Operations Contact:</w:t>
        <w:tab/>
        <w:tab/>
      </w:r>
    </w:p>
    <w:p>
      <w:pPr>
        <w:pStyle w:val="normal1"/>
        <w:ind w:firstLine="180" w:start="1260" w:end="0"/>
        <w:rPr>
          <w:rFonts w:ascii="Helvetica" w:hAnsi="Helvetica" w:cs="Helvetica"/>
          <w:sz w:val="20"/>
        </w:rPr>
      </w:pPr>
      <w:r>
        <w:rPr>
          <w:rFonts w:cs="Helvetica" w:ascii="Helvetica" w:hAnsi="Helvetica"/>
          <w:sz w:val="20"/>
        </w:rPr>
        <w:t>Phone:</w:t>
        <w:tab/>
        <w:tab/>
        <w:tab/>
      </w:r>
    </w:p>
    <w:p>
      <w:pPr>
        <w:pStyle w:val="normal1"/>
        <w:ind w:firstLine="180" w:start="1260" w:end="0"/>
        <w:rPr>
          <w:rFonts w:ascii="Helvetica" w:hAnsi="Helvetica" w:cs="Helvetica"/>
          <w:sz w:val="20"/>
        </w:rPr>
      </w:pPr>
      <w:r>
        <w:rPr>
          <w:rFonts w:cs="Helvetica" w:ascii="Helvetica" w:hAnsi="Helvetica"/>
          <w:sz w:val="20"/>
        </w:rPr>
        <w:t>Fax:</w:t>
        <w:tab/>
        <w:tab/>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RE:</w:t>
        <w:tab/>
        <w:t>[Commodity Swap - Cash Settled]</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 xml:space="preserve">PEC reference number: </w:t>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Dear Sir/Madam:</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Helvetica" w:ascii="Helvetica" w:hAnsi="Helvetica"/>
          <w:sz w:val="20"/>
        </w:rPr>
        <w:t>The purpose of this letter (</w:t>
      </w:r>
      <w:r>
        <w:rPr/>
        <w:t>``</w:t>
      </w:r>
      <w:r>
        <w:rPr>
          <w:rFonts w:cs="Helvetica" w:ascii="Helvetica" w:hAnsi="Helvetica"/>
          <w:sz w:val="20"/>
        </w:rPr>
        <w:t>Confirmation</w:t>
      </w:r>
      <w:r>
        <w:rPr/>
        <w:t>''</w:t>
      </w:r>
      <w:r>
        <w:rPr>
          <w:rFonts w:cs="Helvetica" w:ascii="Helvetica" w:hAnsi="Helvetica"/>
          <w:sz w:val="20"/>
        </w:rPr>
        <w:t>) is to confirm the terms and conditions of the Transaction entered into between us on the Trade Date specified below (the "Transaction").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720" w:start="720" w:end="0"/>
        <w:jc w:val="both"/>
        <w:rPr/>
      </w:pPr>
      <w:r>
        <w:rPr>
          <w:rFonts w:cs="Helvetica" w:ascii="Helvetica" w:hAnsi="Helvetica"/>
          <w:sz w:val="20"/>
        </w:rPr>
        <w:t>1.</w:t>
        <w:tab/>
        <w:t>The parties agree to negotiate in good faith a master netting agreement (</w:t>
      </w:r>
      <w:r>
        <w:rPr/>
        <w:t>``</w:t>
      </w:r>
      <w:r>
        <w:rPr>
          <w:rFonts w:cs="Helvetica" w:ascii="Helvetica" w:hAnsi="Helvetica"/>
          <w:sz w:val="20"/>
        </w:rPr>
        <w:t>Master Agreement</w:t>
      </w:r>
      <w:r>
        <w:rPr/>
        <w:t>''</w:t>
      </w:r>
      <w:r>
        <w:rPr>
          <w:rFonts w:cs="Helvetica" w:ascii="Helvetica" w:hAnsi="Helvetica"/>
          <w:sz w:val="20"/>
        </w:rPr>
        <w:t xml:space="preserve">).  Upon execution of the Master Agreement, this Confirmation shall supplement, form a part of, and be subject to, the Master Agreement, as amended and supplemented from time to time (the </w:t>
      </w:r>
      <w:r>
        <w:rPr/>
        <w:t>``</w:t>
      </w:r>
      <w:r>
        <w:rPr>
          <w:rFonts w:cs="Helvetica" w:ascii="Helvetica" w:hAnsi="Helvetica"/>
          <w:sz w:val="20"/>
        </w:rPr>
        <w:t>Agreement</w:t>
      </w:r>
      <w:r>
        <w:rPr/>
        <w:t>''</w:t>
      </w:r>
      <w:r>
        <w:rPr>
          <w:rFonts w:cs="Helvetica" w:ascii="Helvetica" w:hAnsi="Helvetica"/>
          <w:sz w:val="20"/>
        </w:rPr>
        <w:t>) between you and us, which Agreement will then govern this Confirmation except as expressly modified in Section 2 below.  For avoidance of doubt, upon execution of the Master Agreement, the terms and conditions of Sections 3 through 8 shall be superseded by the terms and conditions of the Master Agreement.</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2.</w:t>
        <w:tab/>
        <w:t>The Terms of the Transaction to which this Confirmation relates are as follows: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b/>
        <w:t>Notional Quantity Per</w:t>
      </w:r>
    </w:p>
    <w:p>
      <w:pPr>
        <w:pStyle w:val="normal1"/>
        <w:ind w:hanging="1872" w:start="2592" w:end="0"/>
        <w:jc w:val="both"/>
        <w:rPr>
          <w:rFonts w:ascii="Helvetica" w:hAnsi="Helvetica" w:cs="Helvetica"/>
          <w:sz w:val="20"/>
        </w:rPr>
      </w:pPr>
      <w:r>
        <w:rPr>
          <w:rFonts w:cs="Helvetica" w:ascii="Helvetica" w:hAnsi="Helvetica"/>
          <w:sz w:val="20"/>
        </w:rPr>
        <w:t>Calculation Period:</w:t>
        <w:tab/>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1872" w:start="2592" w:end="0"/>
        <w:jc w:val="both"/>
        <w:rPr>
          <w:rFonts w:ascii="Helvetica" w:hAnsi="Helvetica" w:cs="Helvetica"/>
          <w:sz w:val="20"/>
        </w:rPr>
      </w:pPr>
      <w:r>
        <w:rPr>
          <w:rFonts w:cs="Helvetica" w:ascii="Helvetica" w:hAnsi="Helvetica"/>
          <w:sz w:val="20"/>
        </w:rPr>
        <w:t>Total Notional Quantity:</w:t>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b/>
        <w:t xml:space="preserve">Commodity: </w:t>
        <w:tab/>
        <w:tab/>
        <w:t>As per Commodity Reference Price</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ab/>
        <w:t xml:space="preserve">Trade Date: </w:t>
        <w:tab/>
        <w:tab/>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ab/>
        <w:t xml:space="preserve">Effective Date: </w:t>
        <w:tab/>
        <w:tab/>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b/>
        <w:t>Termination Date:</w:t>
        <w:tab/>
        <w:tab/>
        <w:tab/>
        <w:tab/>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eastAsia="Helvetica" w:cs="Helvetica" w:ascii="Helvetica" w:hAnsi="Helvetica"/>
          <w:sz w:val="20"/>
        </w:rPr>
        <w:t xml:space="preserve"> </w:t>
      </w:r>
      <w:r>
        <w:rPr>
          <w:rFonts w:cs="Helvetica" w:ascii="Helvetica" w:hAnsi="Helvetica"/>
          <w:sz w:val="20"/>
        </w:rPr>
        <w:tab/>
        <w:t xml:space="preserve">Calculation Period: </w:t>
        <w:tab/>
        <w:t>Each Calendar Month during the Term of the Transaction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1872" w:start="2592" w:end="0"/>
        <w:jc w:val="both"/>
        <w:rPr>
          <w:rFonts w:ascii="Helvetica" w:hAnsi="Helvetica" w:cs="Helvetica"/>
          <w:sz w:val="20"/>
        </w:rPr>
      </w:pPr>
      <w:r>
        <w:rPr>
          <w:rFonts w:cs="Helvetica" w:ascii="Helvetica" w:hAnsi="Helvetica"/>
          <w:sz w:val="20"/>
        </w:rPr>
        <w:t>Period End Date(s):</w:t>
        <w:tab/>
        <w:tab/>
        <w:t>Final pricing date as defined in the description of Floating Price.</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2160" w:start="2880" w:end="0"/>
        <w:jc w:val="both"/>
        <w:rPr>
          <w:rFonts w:ascii="Helvetica" w:hAnsi="Helvetica" w:cs="Helvetica"/>
          <w:sz w:val="20"/>
        </w:rPr>
      </w:pPr>
      <w:r>
        <w:rPr>
          <w:rFonts w:cs="Helvetica" w:ascii="Helvetica" w:hAnsi="Helvetica"/>
          <w:sz w:val="20"/>
        </w:rPr>
        <w:t>Payment Date(s):</w:t>
        <w:tab/>
        <w:t xml:space="preserve">5 Business Days following each Period End Date, subject to adjustment in accordance with the Following Business Day Convention.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jc w:val="both"/>
        <w:rPr/>
      </w:pPr>
      <w:r>
        <w:rPr>
          <w:rFonts w:cs="Helvetica" w:ascii="Helvetica" w:hAnsi="Helvetica"/>
          <w:sz w:val="20"/>
        </w:rPr>
        <w:tab/>
      </w:r>
      <w:r>
        <w:rPr/>
        <w:t xml:space="preserve"> </w:t>
      </w:r>
    </w:p>
    <w:p>
      <w:pPr>
        <w:pStyle w:val="normal1"/>
        <w:numPr>
          <w:ilvl w:val="0"/>
          <w:numId w:val="0"/>
        </w:numPr>
        <w:jc w:val="both"/>
        <w:outlineLvl w:val="0"/>
        <w:rPr/>
      </w:pPr>
      <w:r>
        <w:rPr>
          <w:rFonts w:cs="Helvetica" w:ascii="Helvetica" w:hAnsi="Helvetica"/>
          <w:b/>
          <w:sz w:val="20"/>
        </w:rPr>
        <w:tab/>
      </w:r>
      <w:r>
        <w:rPr>
          <w:rFonts w:cs="Helvetica" w:ascii="Helvetica" w:hAnsi="Helvetica"/>
          <w:b/>
          <w:sz w:val="20"/>
          <w:u w:val="single"/>
        </w:rPr>
        <w:t>Fixed Amount Details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ab/>
        <w:t>Fixed Price Payor:</w:t>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r>
    </w:p>
    <w:p>
      <w:pPr>
        <w:pStyle w:val="normal1"/>
        <w:jc w:val="both"/>
        <w:rPr>
          <w:rFonts w:ascii="Helvetica" w:hAnsi="Helvetica" w:cs="Helvetica"/>
          <w:sz w:val="20"/>
        </w:rPr>
      </w:pPr>
      <w:r>
        <w:rPr>
          <w:rFonts w:cs="Helvetica" w:ascii="Helvetica" w:hAnsi="Helvetica"/>
          <w:sz w:val="20"/>
        </w:rPr>
        <w:tab/>
        <w:t>Fixed Price:</w:t>
        <w:tab/>
        <w:tab/>
        <w:tab/>
        <w:t xml:space="preserve">   </w:t>
      </w:r>
    </w:p>
    <w:p>
      <w:pPr>
        <w:pStyle w:val="normal1"/>
        <w:jc w:val="both"/>
        <w:rPr>
          <w:rFonts w:ascii="Helvetica" w:hAnsi="Helvetica" w:cs="Helvetica"/>
          <w:sz w:val="20"/>
        </w:rPr>
      </w:pPr>
      <w:r>
        <w:rPr>
          <w:rFonts w:cs="Helvetica" w:ascii="Helvetica" w:hAnsi="Helvetica"/>
          <w:sz w:val="20"/>
        </w:rPr>
        <w:tab/>
        <w:tab/>
        <w:t xml:space="preserve"> </w:t>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pPr>
      <w:r>
        <w:rPr>
          <w:rFonts w:cs="Helvetica" w:ascii="Helvetica" w:hAnsi="Helvetica"/>
          <w:b/>
          <w:sz w:val="20"/>
        </w:rPr>
        <w:tab/>
      </w:r>
      <w:r>
        <w:rPr>
          <w:rFonts w:cs="Helvetica" w:ascii="Helvetica" w:hAnsi="Helvetica"/>
          <w:b/>
          <w:sz w:val="20"/>
          <w:u w:val="single"/>
        </w:rPr>
        <w:t>Floating Amount Details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firstLine="720" w:end="0"/>
        <w:jc w:val="both"/>
        <w:rPr>
          <w:rFonts w:ascii="Helvetica" w:hAnsi="Helvetica" w:cs="Helvetica"/>
          <w:sz w:val="20"/>
        </w:rPr>
      </w:pPr>
      <w:r>
        <w:rPr>
          <w:rFonts w:cs="Helvetica" w:ascii="Helvetica" w:hAnsi="Helvetica"/>
          <w:sz w:val="20"/>
        </w:rPr>
        <w:t>Floating Price Payor:</w:t>
        <w:tab/>
        <w:t xml:space="preserve">   </w:t>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ab/>
        <w:t xml:space="preserve">Commodity Reference Price: </w:t>
        <w:tab/>
        <w:tab/>
        <w:tab/>
      </w:r>
    </w:p>
    <w:p>
      <w:pPr>
        <w:pStyle w:val="axNormal"/>
        <w:ind w:firstLine="17" w:end="0"/>
        <w:rPr>
          <w:rFonts w:eastAsia="Times"/>
        </w:rPr>
      </w:pPr>
      <w:r>
        <w:rPr>
          <w:rFonts w:eastAsia="Times"/>
        </w:rPr>
        <w:t xml:space="preserve"> </w:t>
      </w:r>
    </w:p>
    <w:p>
      <w:pPr>
        <w:pStyle w:val="axNormal"/>
        <w:ind w:firstLine="17" w:end="0"/>
        <w:rPr>
          <w:rFonts w:eastAsia="Times"/>
        </w:rPr>
      </w:pPr>
      <w:r>
        <w:rPr>
          <w:rFonts w:eastAsia="Times"/>
        </w:rPr>
        <w:t xml:space="preserve"> </w:t>
      </w:r>
    </w:p>
    <w:p>
      <w:pPr>
        <w:pStyle w:val="axNormal"/>
        <w:ind w:firstLine="17" w:end="0"/>
        <w:rPr>
          <w:rFonts w:ascii="Helvetica" w:hAnsi="Helvetica" w:cs="Helvetica"/>
          <w:sz w:val="20"/>
        </w:rPr>
      </w:pPr>
      <w:r>
        <w:rPr>
          <w:rFonts w:cs="Helvetica" w:ascii="Helvetica" w:hAnsi="Helvetica"/>
          <w:sz w:val="20"/>
        </w:rPr>
        <w:tab/>
        <w:t>Delivery Date(s):</w:t>
        <w:tab/>
        <w:t xml:space="preserve">From and including </w:t>
        <w:tab/>
        <w:tab/>
        <w:t xml:space="preserve"> to and including </w:t>
      </w:r>
    </w:p>
    <w:p>
      <w:pPr>
        <w:pStyle w:val="normal1"/>
        <w:ind w:hanging="3600" w:start="3600" w:end="0"/>
        <w:jc w:val="both"/>
        <w:rPr>
          <w:rFonts w:ascii="Helvetica" w:hAnsi="Helvetica" w:cs="Helvetica"/>
          <w:sz w:val="20"/>
        </w:rPr>
      </w:pPr>
      <w:r>
        <w:rPr>
          <w:rFonts w:cs="Helvetica" w:ascii="Helvetica" w:hAnsi="Helvetica"/>
          <w:sz w:val="20"/>
        </w:rPr>
        <w:tab/>
        <w:tab/>
        <w:tab/>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axNormal"/>
        <w:ind w:hanging="2520" w:start="2520" w:end="0"/>
        <w:rPr>
          <w:rFonts w:ascii="Helvetica" w:hAnsi="Helvetica" w:cs="Helvetica"/>
          <w:sz w:val="20"/>
        </w:rPr>
      </w:pPr>
      <w:r>
        <w:rPr>
          <w:rFonts w:cs="Helvetica" w:ascii="Helvetica" w:hAnsi="Helvetica"/>
          <w:sz w:val="20"/>
        </w:rPr>
        <w:tab/>
        <w:t xml:space="preserve">Floating Price: </w:t>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880" w:start="2880" w:end="0"/>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b/>
        <w:t xml:space="preserve">Method of Averaging: </w:t>
        <w:tab/>
        <w:tab/>
        <w:t>Un-weighted</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2880" w:start="3600" w:end="0"/>
        <w:jc w:val="both"/>
        <w:rPr>
          <w:rFonts w:ascii="Helvetica" w:hAnsi="Helvetica" w:cs="Helvetica"/>
          <w:sz w:val="20"/>
        </w:rPr>
      </w:pPr>
      <w:r>
        <w:rPr>
          <w:rFonts w:cs="Helvetica" w:ascii="Helvetica" w:hAnsi="Helvetica"/>
          <w:sz w:val="20"/>
        </w:rPr>
        <w:t>Rounding:</w:t>
        <w:tab/>
        <w:t>The Floating Price will be rounded to 3 decimal places.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2880" w:start="3600" w:end="0"/>
        <w:jc w:val="both"/>
        <w:rPr>
          <w:rFonts w:ascii="Helvetica" w:hAnsi="Helvetica" w:cs="Helvetica"/>
          <w:sz w:val="20"/>
        </w:rPr>
      </w:pPr>
      <w:r>
        <w:rPr>
          <w:rFonts w:cs="Helvetica" w:ascii="Helvetica" w:hAnsi="Helvetica"/>
          <w:sz w:val="20"/>
        </w:rPr>
        <w:t xml:space="preserve">Market Disruption Events: </w:t>
        <w:tab/>
        <w:t>Price Source Disruption; Trading Suspension; Disappearance of Commodity Reference Price; Material Change in Formula; Material Change in Content; Tax Disruption and Trading Limitation.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2880" w:start="3600" w:end="0"/>
        <w:jc w:val="both"/>
        <w:rPr>
          <w:rFonts w:ascii="Helvetica" w:hAnsi="Helvetica" w:cs="Helvetica"/>
          <w:sz w:val="20"/>
        </w:rPr>
      </w:pPr>
      <w:r>
        <w:rPr>
          <w:rFonts w:cs="Helvetica" w:ascii="Helvetica" w:hAnsi="Helvetica"/>
          <w:sz w:val="20"/>
        </w:rPr>
        <w:t>Disruption Fallbacks:</w:t>
        <w:tab/>
        <w:t>Negotiated Fallback; with the next applicable Disruption Fallback to be Dealer Fallback; with the next applicable Disruption Fallback to be Fallback Reference Price; and with the next applicable Disruption Fallback to be No Fault Termination.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"Dealer Fallback" means that, promptly upon becoming aware of the Market Disruption Event or Additional Market Disruption Event, the parties shall expeditiously and jointly agree upon three independent leading dealers in the relevant underlying commodity market selected in good faith (A) from among dealers of the highest credit standing which satisfy all the criteria that the parties apply generally at the time of in deciding whether to offer or to make an extension of credit or to enter into a transaction comparable to the Transaction that is affected by the Market Disruption Event or Additional Market Disruption Event, and (B) to the extent practicable, from among dealers having an office in the same city.  Such Dealers shall be appointed to make a determination of the Relevant Price taking into consideration the latest available quotation for the relevant Commodity Reference Price and any other information that in good faith they deem relevant.  The Relevant Price shall be the arithmetic mean of the three amounts determined to be the relevant price by such dealer,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rFonts w:ascii="Helvetica" w:hAnsi="Helvetica" w:cs="Helvetica"/>
          <w:sz w:val="20"/>
        </w:rPr>
      </w:pPr>
      <w:r>
        <w:rPr>
          <w:rFonts w:cs="Helvetica" w:ascii="Helvetica" w:hAnsi="Helvetica"/>
          <w:sz w:val="20"/>
        </w:rPr>
        <w:tab/>
        <w:t>Calculation Agent:</w:t>
        <w:tab/>
        <w:tab/>
        <w:t>PEC</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ab/>
        <w:t>Business Day:</w:t>
        <w:tab/>
        <w:tab/>
        <w:tab/>
        <w:t>Chicago</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3.</w:t>
        <w:tab/>
        <w:t>Definitions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All terms in this Confirmation not defined herein shall have the meanings set forth in the 1991 ISDA Definitions, as supplemented by the 1998 Supplement to the 1991 ISDA Definitions, and the 1993 ISDA Commodity Derivatives Definitions, as supplemented by the 2000 Supplement to the 1993 ISDA Commodity Derivatives Definitions.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rFonts w:ascii="Helvetica" w:hAnsi="Helvetica" w:cs="Helvetica"/>
          <w:sz w:val="20"/>
        </w:rPr>
      </w:pPr>
      <w:r>
        <w:rPr>
          <w:rFonts w:cs="Helvetica" w:ascii="Helvetica" w:hAnsi="Helvetica"/>
          <w:sz w:val="20"/>
        </w:rPr>
        <w:t>4.</w:t>
        <w:tab/>
        <w:t>Settlement and Payment</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 xml:space="preserve">Promptly after the last business day of each calculation period, PEC shall calculate the Fixed Amount and the Floating Amount and notify the Counterparty of such amount.  If PEC fails to promptly so notify Counterparty, it shall determine such amounts and shall make payment or give notice to PEC accordingly.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 xml:space="preserve">If the Fixed Amount exceeds the Floating Amount for such Calculation Period, the Fixed Price Payor shall pay the Floating Price Payor an amount equal to such excess.  If the Floating Amount exceeds the Fixed Amount for such Calculation Period, the Floating Price Payor shall pay the Fixed Price Payor an amount equal to such excess.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720" w:start="720" w:end="0"/>
        <w:jc w:val="both"/>
        <w:rPr/>
      </w:pPr>
      <w:r>
        <w:rPr>
          <w:rFonts w:cs="Helvetica" w:ascii="Helvetica" w:hAnsi="Helvetica"/>
          <w:sz w:val="20"/>
        </w:rPr>
        <w:tab/>
        <w:t xml:space="preserve">Payment shall be made no later than 12 noon of the relevant Payment Date, without offset, deduction, discount or counterclaim (except as provided in Section 6 below), in U.S. dollars in immediately available funds to the relevant bank account designated below.  Any amount not paid when due shall accrue interest at the rate of two percent (2%) above the prime commercial rate, as reported in the “Money Rates” column of </w:t>
      </w:r>
      <w:r>
        <w:rPr>
          <w:rFonts w:cs="Helvetica" w:ascii="Helvetica" w:hAnsi="Helvetica"/>
          <w:sz w:val="20"/>
          <w:u w:val="single"/>
        </w:rPr>
        <w:t>The Wall Street Journal</w:t>
      </w:r>
      <w:r>
        <w:rPr>
          <w:rFonts w:cs="Helvetica" w:ascii="Helvetica" w:hAnsi="Helvetica"/>
          <w:sz w:val="20"/>
        </w:rPr>
        <w:t>, compounded annually from the due date or the maximum rate allowed by law, if lower.</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5.</w:t>
        <w:tab/>
        <w:t>Representations and Warranties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Each party represents and warrants to the other party as of the date hereof that:</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a.</w:t>
        <w:tab/>
        <w:t>It is duly organized and existing under the laws of the jurisdiction of its organization and has full power and legal right to execute, deliver and perform this Confirmation.</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b.</w:t>
        <w:tab/>
        <w:t>Its execution, delivery and performance of this Confirmation has been duly authorized by all necessary actions and do not contravene any legal or contractual restriction binding on or affecting it, and the person signing this confirmation is authorized and empowered to do so.</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c.</w:t>
        <w:tab/>
        <w:t>It has obtained or submitted any authorization or approval or other action by, or notice to or filing with, any governmental authority or regulatory body that is required for the due execution, delivery and performance of this Confirmation.</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d.</w:t>
        <w:tab/>
        <w:t>This Confirmation constitutes its valid and legally binding obligations enforceable against it in accordance with its terms, except as may be limited by bankruptcy, reorganization, moratorium or similar laws affecting creditors' rights generally.</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e.</w:t>
        <w:tab/>
        <w:t>No Event of Default (as defined below), or event which with notice and/or lapse of time would constitute an Event of Default, has occurred with respect to it.</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f.</w:t>
        <w:tab/>
        <w:t>No litigation, arbitration or administrative proceeding is current or pending or, so far as it is aware, threatened against it which would, if adversely determined, have a material adverse effect on its financial condition or its ability to perform its obligations hereunder.</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g.</w:t>
        <w:tab/>
        <w:t>It has entered into this Confirmation in connection with its line of business (including financial intermediation services) and the terms hereof have been individually tailored and negotiated at arms length between the parties.</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pPr>
      <w:r>
        <w:rPr>
          <w:rFonts w:cs="Helvetica" w:ascii="Helvetica" w:hAnsi="Helvetica"/>
          <w:sz w:val="20"/>
        </w:rPr>
        <w:tab/>
        <w:t>h.</w:t>
        <w:tab/>
        <w:t xml:space="preserve">It is an </w:t>
      </w:r>
      <w:r>
        <w:rPr/>
        <w:t>``</w:t>
      </w:r>
      <w:r>
        <w:rPr>
          <w:rFonts w:cs="Helvetica" w:ascii="Helvetica" w:hAnsi="Helvetica"/>
          <w:sz w:val="20"/>
        </w:rPr>
        <w:t>eligible swap participant</w:t>
      </w:r>
      <w:r>
        <w:rPr/>
        <w:t>''</w:t>
      </w:r>
      <w:r>
        <w:rPr>
          <w:rFonts w:cs="Helvetica" w:ascii="Helvetica" w:hAnsi="Helvetica"/>
          <w:sz w:val="20"/>
        </w:rPr>
        <w:t xml:space="preserve"> as defined in CFTC Rule 35.1(b)(2).</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i.</w:t>
        <w:tab/>
        <w:t>It is not relying upon any representations of the other party other than those expressly set forth herein or any written guarantee of the obligations hereof.</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j.</w:t>
        <w:tab/>
        <w:t>It has entered into this Confirmation as principal (and not as agent or in any other capacity, fiduciary or otherwise).</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k.</w:t>
        <w:tab/>
        <w:t>It has entered into this Confirmation with a full understanding of the material terms and risks hereof, and it is capable of assuming those risks.</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l.</w:t>
        <w:tab/>
        <w:t>It has made its investment and trading decisions (including regarding the suitability hereof) based upon its own judgment and any advice from such advisors as it has deemed necessary, and not in reliance upon any view expressed by the other party.</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m.</w:t>
        <w:tab/>
        <w:t>The other party is not acting as a fiduciary or an advisor for it, nor has given to it any assurance or guarantee as to the expected performance or result of this Confirmation.</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6.</w:t>
        <w:tab/>
        <w:t>Non-Performance</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pPr>
      <w:r>
        <w:rPr>
          <w:rFonts w:cs="Helvetica" w:ascii="Helvetica" w:hAnsi="Helvetica"/>
          <w:sz w:val="20"/>
        </w:rPr>
        <w:tab/>
        <w:t>a.</w:t>
        <w:tab/>
        <w:t xml:space="preserve">The occurrence at any time with respect to either party or, if the obligations of such party hereunder are guaranteed by a third party (its </w:t>
      </w:r>
      <w:r>
        <w:rPr/>
        <w:t>``</w:t>
      </w:r>
      <w:r>
        <w:rPr>
          <w:rFonts w:cs="Helvetica" w:ascii="Helvetica" w:hAnsi="Helvetica"/>
          <w:sz w:val="20"/>
        </w:rPr>
        <w:t>Guarantor</w:t>
      </w:r>
      <w:r>
        <w:rPr/>
        <w:t>''</w:t>
      </w:r>
      <w:r>
        <w:rPr>
          <w:rFonts w:cs="Helvetica" w:ascii="Helvetica" w:hAnsi="Helvetica"/>
          <w:sz w:val="20"/>
        </w:rPr>
        <w:t>), with respect to its Guarantor, of any of the following events constitutes an event of default (</w:t>
      </w:r>
      <w:r>
        <w:rPr/>
        <w:t>``</w:t>
      </w:r>
      <w:r>
        <w:rPr>
          <w:rFonts w:cs="Helvetica" w:ascii="Helvetica" w:hAnsi="Helvetica"/>
          <w:sz w:val="20"/>
        </w:rPr>
        <w:t>Event of Default</w:t>
      </w:r>
      <w:r>
        <w:rPr/>
        <w:t>''</w:t>
      </w:r>
      <w:r>
        <w:rPr>
          <w:rFonts w:cs="Helvetica" w:ascii="Helvetica" w:hAnsi="Helvetica"/>
          <w:sz w:val="20"/>
        </w:rPr>
        <w:t xml:space="preserve">) with respect to such party (the </w:t>
      </w:r>
      <w:r>
        <w:rPr/>
        <w:t>``</w:t>
      </w:r>
      <w:r>
        <w:rPr>
          <w:rFonts w:cs="Helvetica" w:ascii="Helvetica" w:hAnsi="Helvetica"/>
          <w:sz w:val="20"/>
        </w:rPr>
        <w:t>Defaulting Party</w:t>
      </w:r>
      <w:r>
        <w:rPr/>
        <w:t>''</w:t>
      </w:r>
      <w:r>
        <w:rPr>
          <w:rFonts w:cs="Helvetica" w:ascii="Helvetica" w:hAnsi="Helvetica"/>
          <w:sz w:val="20"/>
        </w:rPr>
        <w:t>):</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2592" w:start="2592" w:end="0"/>
        <w:jc w:val="both"/>
        <w:rPr/>
      </w:pPr>
      <w:r>
        <w:rPr>
          <w:rFonts w:cs="Helvetica" w:ascii="Helvetica" w:hAnsi="Helvetica"/>
          <w:sz w:val="20"/>
        </w:rPr>
        <w:tab/>
        <w:tab/>
        <w:t>i.</w:t>
        <w:tab/>
        <w:t>The Defaulting Party fails to pay or perform any obligation when due hereunder or under any other commodity swap, option, cap, floor, collar, forward or similar transaction between the parties ("Other Commodity Transactions</w:t>
      </w:r>
      <w:r>
        <w:rPr/>
        <w:t>''</w:t>
      </w:r>
      <w:r>
        <w:rPr>
          <w:rFonts w:cs="Helvetica" w:ascii="Helvetica" w:hAnsi="Helvetica"/>
          <w:sz w:val="20"/>
        </w:rPr>
        <w:t>), and such failure continues, after receipt of written notice thereof, for more than three Business Days in the case of non-payment (including, without limitation, non-payment of collateral) and thirty days in the case of any other such obligation.</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ii.</w:t>
        <w:tab/>
        <w:t>The Defaulting Party or its Guarantor repudiates its obligations hereunder or under the guarantee, as the case may be.</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iii.</w:t>
        <w:tab/>
        <w:t>Any representation or warranty made by the Defaulting Party hereunder, or by its Guarantor under the guarantee, proves to have been false or misleading in any material respect as of the time it was made.</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iv.</w:t>
        <w:tab/>
        <w:t>The Defaulting Party or its Guarantor becomes bankrupt or insolvent, however evidenced, or is unable (or admits in writing its inability) generally to pay its debts as they become due, or makes a general assignment for the benefit of creditors.</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v.</w:t>
        <w:tab/>
        <w:t>The Defaulting Party or its Guarantor files or otherwise commences, or has filed or commenced against it, a proceeding under any bankruptcy, insolvency, reorganization or similar law for the protection of creditors, or the application for appointment of a receiver, custodian or similar person, or the passing of a resolution for winding up or liquidation by it or on its behalf.</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1440" w:start="1440" w:end="0"/>
        <w:jc w:val="both"/>
        <w:rPr/>
      </w:pPr>
      <w:r>
        <w:rPr>
          <w:rFonts w:cs="Helvetica" w:ascii="Helvetica" w:hAnsi="Helvetica"/>
          <w:sz w:val="20"/>
        </w:rPr>
        <w:tab/>
        <w:t>b.</w:t>
        <w:tab/>
        <w:t xml:space="preserve">If any event of default shall have occurred and be continuing, then the other party (the </w:t>
      </w:r>
      <w:r>
        <w:rPr/>
        <w:t>``</w:t>
      </w:r>
      <w:r>
        <w:rPr>
          <w:rFonts w:cs="Helvetica" w:ascii="Helvetica" w:hAnsi="Helvetica"/>
          <w:sz w:val="20"/>
        </w:rPr>
        <w:t>Performing Party</w:t>
      </w:r>
      <w:r>
        <w:rPr/>
        <w:t>''</w:t>
      </w:r>
      <w:r>
        <w:rPr>
          <w:rFonts w:cs="Helvetica" w:ascii="Helvetica" w:hAnsi="Helvetica"/>
          <w:sz w:val="20"/>
        </w:rPr>
        <w:t>) shall have the right to designate an Early Termination Date upon at least one (1) Business Day's notice to the Defaulting Party (except in the case of an event under Clauses 6(a)(iv) or 6(a)(v) above, in which event an Early Termination Date shall be deemed to have occurred immediately prior to such event and no prior notice shall be required) and to liquidate this Transaction and all Other Commodity Transactions then outstanding by:</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i.</w:t>
        <w:tab/>
        <w:t>closing out and liquidating each such Transaction, so that each such transaction is terminated, and calculating a Settlement Payment (as defined below) for each such transaction payable to one party from the other, as appropriate, and any Breakage Costs (as defined below) incurred by the performing party, and</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2592" w:start="2592" w:end="0"/>
        <w:jc w:val="both"/>
        <w:rPr>
          <w:rFonts w:ascii="Helvetica" w:hAnsi="Helvetica" w:cs="Helvetica"/>
          <w:sz w:val="20"/>
        </w:rPr>
      </w:pPr>
      <w:r>
        <w:rPr>
          <w:rFonts w:cs="Helvetica" w:ascii="Helvetica" w:hAnsi="Helvetica"/>
          <w:sz w:val="20"/>
        </w:rPr>
        <w:tab/>
        <w:tab/>
        <w:t>ii.</w:t>
        <w:tab/>
        <w:t>setting off (1) all such Settlement Payments owing to the Defaulting Party plus (at the Performing Party's election) any or all other amounts due to the Defaulting Party under this Transaction or under any Other Commodity Transaction; (2) all such Settlement Payments owing to the Performing Party plus any and all Breakage Costs, plus (at the Performing Party's election) any and all other amounts due to the Performing Party under this Transaction or any Other Commodity Transaction; and (3) all collateral held by either party to secure the obligations of the other party, so that all such amounts shall be aggregated and/or netted to a single liquidated amount payable within one Business Day by the party owing the greater such amount to the other party.</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592" w:start="2592" w:end="0"/>
        <w:jc w:val="both"/>
        <w:rPr>
          <w:rFonts w:eastAsia="Times"/>
        </w:rPr>
      </w:pPr>
      <w:r>
        <w:rPr>
          <w:rFonts w:eastAsia="Times"/>
        </w:rPr>
        <w:t xml:space="preserve"> </w:t>
      </w:r>
    </w:p>
    <w:p>
      <w:pPr>
        <w:pStyle w:val="normal1"/>
        <w:ind w:hanging="1440" w:start="1440" w:end="0"/>
        <w:jc w:val="both"/>
        <w:rPr/>
      </w:pPr>
      <w:r>
        <w:rPr>
          <w:rFonts w:cs="Helvetica" w:ascii="Helvetica" w:hAnsi="Helvetica"/>
          <w:sz w:val="20"/>
        </w:rPr>
        <w:tab/>
        <w:t>c.</w:t>
        <w:tab/>
        <w:t xml:space="preserve">For the purpose of this Section 6, </w:t>
      </w:r>
      <w:r>
        <w:rPr/>
        <w:t>``</w:t>
      </w:r>
      <w:r>
        <w:rPr>
          <w:rFonts w:cs="Helvetica" w:ascii="Helvetica" w:hAnsi="Helvetica"/>
          <w:sz w:val="20"/>
        </w:rPr>
        <w:t>Settlement Payment</w:t>
      </w:r>
      <w:r>
        <w:rPr/>
        <w:t>''</w:t>
      </w:r>
      <w:r>
        <w:rPr>
          <w:rFonts w:cs="Helvetica" w:ascii="Helvetica" w:hAnsi="Helvetica"/>
          <w:sz w:val="20"/>
        </w:rPr>
        <w:t xml:space="preserve"> means with respect to this Transaction and any outstanding Other Commodity Transactions, an amount representing each such transaction's market value (in US dollars) to the party entitled to receive compensation for the early termination thereof, determined as of, or about the time, such transaction is liquidated by the Performing Party in any commercially reasonable manner.  </w:t>
      </w:r>
      <w:r>
        <w:rPr/>
        <w:t>``</w:t>
      </w:r>
      <w:r>
        <w:rPr>
          <w:rFonts w:cs="Helvetica" w:ascii="Helvetica" w:hAnsi="Helvetica"/>
          <w:sz w:val="20"/>
        </w:rPr>
        <w:t>Breakage Costs</w:t>
      </w:r>
      <w:r>
        <w:rPr/>
        <w:t>''</w:t>
      </w:r>
      <w:r>
        <w:rPr>
          <w:rFonts w:cs="Helvetica" w:ascii="Helvetica" w:hAnsi="Helvetica"/>
          <w:sz w:val="20"/>
        </w:rPr>
        <w:t xml:space="preserve"> means all costs and losses which the Performing Party may incur as a result of its terminating and liquidating this Transaction and any Other Commodity Transaction under this non-performance clause, including without limitation, loss of bargain, costs and losses incurred in maintaining, terminating and/or re-establishing any hedge or related trading positions, except for amounts covered by the settlement payment for such Transaction.</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d.</w:t>
        <w:tab/>
        <w:t>If the Performing Party owes any amount pursuant to Section 6(b), at its election, it may set off any or all of such amount against any or all amounts then due and owing by the Defaulting Party to the Performing Party under any other agreement or arrangement.</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e.</w:t>
        <w:tab/>
        <w:t>The Performing Party's rights under this Section 6 shall be in addition to, and not in limitation or exclusion of, any other rights which the Performing Party may have (whether by agreement, operation of law, or otherwise).  This Confirmation constitutes a swap contract for the purposes of Section 560 of the US Bankruptcy Code.</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7.</w:t>
        <w:tab/>
        <w:t>Miscellaneous</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ab/>
        <w:tab/>
        <w:t>Neither party may assign its rights or its obligations hereunder, or amend any part of this Confirmation, without the prior written consent of the other party.</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b/>
        </w:rPr>
      </w:pPr>
      <w:r>
        <w:rPr>
          <w:rFonts w:eastAsia="Times"/>
        </w:rPr>
        <w:t xml:space="preserve"> </w:t>
      </w:r>
      <w:r>
        <w:rPr/>
        <w:t>8.</w:t>
        <w:tab/>
        <w:tab/>
        <w:t>Account Details:</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b/>
        </w:rPr>
      </w:pPr>
      <w:r>
        <w:rPr>
          <w:b/>
        </w:rPr>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b/>
        </w:rPr>
        <w:tab/>
        <w:tab/>
      </w:r>
      <w:r>
        <w:rPr/>
        <w:t>Payments to PEC:</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
    </w:p>
    <w:p>
      <w:pPr>
        <w:pStyle w:val="Normal"/>
        <w:numPr>
          <w:ilvl w:val="0"/>
          <w:numId w:val="0"/>
        </w:numPr>
        <w:tabs>
          <w:tab w:val="clear" w:pos="720"/>
          <w:tab w:val="left" w:pos="-720" w:leader="none"/>
        </w:tabs>
        <w:suppressAutoHyphens w:val="true"/>
        <w:jc w:val="both"/>
        <w:outlineLvl w:val="0"/>
        <w:rPr/>
      </w:pPr>
      <w:r>
        <w:rPr/>
        <w:tab/>
        <w:tab/>
        <w:tab/>
      </w:r>
      <w:r>
        <w:rPr>
          <w:spacing w:val="-3"/>
          <w:sz w:val="24"/>
        </w:rPr>
        <w:t>________________________________</w:t>
      </w:r>
    </w:p>
    <w:p>
      <w:pPr>
        <w:pStyle w:val="Normal"/>
        <w:tabs>
          <w:tab w:val="clear" w:pos="720"/>
          <w:tab w:val="left" w:pos="-720" w:leader="none"/>
        </w:tabs>
        <w:suppressAutoHyphens w:val="true"/>
        <w:jc w:val="both"/>
        <w:rPr>
          <w:spacing w:val="-3"/>
          <w:sz w:val="24"/>
        </w:rPr>
      </w:pPr>
      <w:r>
        <w:rPr>
          <w:spacing w:val="-3"/>
          <w:sz w:val="24"/>
        </w:rPr>
        <w:tab/>
        <w:tab/>
        <w:tab/>
        <w:t>________________________________</w:t>
      </w:r>
    </w:p>
    <w:p>
      <w:pPr>
        <w:pStyle w:val="Normal"/>
        <w:numPr>
          <w:ilvl w:val="0"/>
          <w:numId w:val="0"/>
        </w:numPr>
        <w:tabs>
          <w:tab w:val="clear" w:pos="720"/>
          <w:tab w:val="left" w:pos="-720" w:leader="none"/>
        </w:tabs>
        <w:suppressAutoHyphens w:val="true"/>
        <w:jc w:val="both"/>
        <w:outlineLvl w:val="0"/>
        <w:rPr>
          <w:spacing w:val="-3"/>
          <w:sz w:val="24"/>
        </w:rPr>
      </w:pPr>
      <w:r>
        <w:rPr>
          <w:spacing w:val="-3"/>
          <w:sz w:val="24"/>
        </w:rPr>
        <w:tab/>
        <w:tab/>
        <w:tab/>
        <w:t>ABA:</w:t>
      </w:r>
    </w:p>
    <w:p>
      <w:pPr>
        <w:pStyle w:val="Normal"/>
        <w:numPr>
          <w:ilvl w:val="0"/>
          <w:numId w:val="0"/>
        </w:numPr>
        <w:tabs>
          <w:tab w:val="clear" w:pos="720"/>
          <w:tab w:val="left" w:pos="-720" w:leader="none"/>
        </w:tabs>
        <w:suppressAutoHyphens w:val="true"/>
        <w:jc w:val="both"/>
        <w:outlineLvl w:val="0"/>
        <w:rPr>
          <w:spacing w:val="-3"/>
          <w:sz w:val="24"/>
        </w:rPr>
      </w:pPr>
      <w:r>
        <w:rPr>
          <w:spacing w:val="-3"/>
          <w:sz w:val="24"/>
        </w:rPr>
        <w:tab/>
        <w:tab/>
        <w:tab/>
        <w:t>Account Name:</w:t>
      </w:r>
    </w:p>
    <w:p>
      <w:pPr>
        <w:pStyle w:val="normal1"/>
        <w:numPr>
          <w:ilvl w:val="0"/>
          <w:numId w:val="0"/>
        </w:numPr>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spacing w:val="-3"/>
          <w:sz w:val="24"/>
        </w:rPr>
      </w:pPr>
      <w:r>
        <w:rPr>
          <w:spacing w:val="-3"/>
          <w:sz w:val="24"/>
        </w:rPr>
        <w:tab/>
        <w:tab/>
        <w:tab/>
        <w:t xml:space="preserve">ACCT. NO. </w:t>
      </w:r>
    </w:p>
    <w:p>
      <w:pPr>
        <w:pStyle w:val="normal1"/>
        <w:numPr>
          <w:ilvl w:val="0"/>
          <w:numId w:val="0"/>
        </w:numPr>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spacing w:val="-3"/>
          <w:sz w:val="24"/>
        </w:rPr>
      </w:pPr>
      <w:r>
        <w:rPr>
          <w:spacing w:val="-3"/>
          <w:sz w:val="24"/>
        </w:rPr>
        <w:tab/>
        <w:tab/>
        <w:tab/>
        <w:t>Contact:</w:t>
      </w:r>
    </w:p>
    <w:p>
      <w:pPr>
        <w:pStyle w:val="normal1"/>
        <w:numPr>
          <w:ilvl w:val="0"/>
          <w:numId w:val="0"/>
        </w:numPr>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spacing w:val="-3"/>
          <w:sz w:val="24"/>
        </w:rPr>
      </w:pPr>
      <w:r>
        <w:rPr>
          <w:spacing w:val="-3"/>
          <w:sz w:val="24"/>
        </w:rPr>
        <w:tab/>
        <w:tab/>
        <w:tab/>
        <w:t>Phone:</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Payments to Counterparty:</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r>
    </w:p>
    <w:p>
      <w:pPr>
        <w:pStyle w:val="normal1"/>
        <w:numPr>
          <w:ilvl w:val="0"/>
          <w:numId w:val="0"/>
        </w:numPr>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spacing w:val="-3"/>
          <w:sz w:val="24"/>
        </w:rPr>
      </w:pPr>
      <w:r>
        <w:rPr>
          <w:spacing w:val="-3"/>
          <w:sz w:val="24"/>
        </w:rPr>
        <w:tab/>
        <w:tab/>
        <w:tab/>
        <w:t>_______________________________</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_______________________________</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ABA:</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 xml:space="preserve">Acct. Name: </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ACCT NO.:</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 xml:space="preserve">Contact: </w:t>
      </w:r>
    </w:p>
    <w:p>
      <w:pPr>
        <w:pStyle w:val="normal1"/>
        <w:tabs>
          <w:tab w:val="left" w:pos="720" w:leader="none"/>
          <w:tab w:val="left" w:pos="1440" w:leader="none"/>
          <w:tab w:val="left" w:pos="216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pacing w:val="-3"/>
          <w:sz w:val="24"/>
        </w:rPr>
      </w:pPr>
      <w:r>
        <w:rPr>
          <w:spacing w:val="-3"/>
          <w:sz w:val="24"/>
        </w:rPr>
        <w:tab/>
        <w:tab/>
        <w:tab/>
        <w:t xml:space="preserve">Phone: </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pPr>
      <w:r>
        <w:rPr/>
        <w:tab/>
        <w:tab/>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1440" w:start="1440" w:end="0"/>
        <w:jc w:val="both"/>
        <w:rPr>
          <w:rFonts w:ascii="Helvetica" w:hAnsi="Helvetica" w:cs="Helvetica"/>
          <w:sz w:val="20"/>
        </w:rPr>
      </w:pPr>
      <w:r>
        <w:rPr>
          <w:rFonts w:cs="Helvetica" w:ascii="Helvetica" w:hAnsi="Helvetica"/>
          <w:sz w:val="20"/>
        </w:rPr>
        <w:t>9.</w:t>
        <w:tab/>
        <w:t>Governing Law</w:t>
      </w:r>
    </w:p>
    <w:p>
      <w:pPr>
        <w:pStyle w:val="normal1"/>
        <w:tabs>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jc w:val="both"/>
        <w:rPr>
          <w:rFonts w:eastAsia="Times"/>
        </w:rPr>
      </w:pPr>
      <w:r>
        <w:rPr>
          <w:rFonts w:eastAsia="Times"/>
        </w:rPr>
        <w:t xml:space="preserve"> </w:t>
      </w:r>
    </w:p>
    <w:p>
      <w:pPr>
        <w:pStyle w:val="normal1"/>
        <w:ind w:hanging="720" w:start="720" w:end="0"/>
        <w:jc w:val="both"/>
        <w:rPr>
          <w:rFonts w:ascii="Helvetica" w:hAnsi="Helvetica" w:cs="Helvetica"/>
          <w:sz w:val="20"/>
        </w:rPr>
      </w:pPr>
      <w:r>
        <w:rPr>
          <w:rFonts w:cs="Helvetica" w:ascii="Helvetica" w:hAnsi="Helvetica"/>
          <w:sz w:val="20"/>
        </w:rPr>
        <w:tab/>
        <w:t>This contract shall be governed by New York law.  Each party expressly submits to the exclusive jurisdiction of the Federal and State Courts located in the State of New York.</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Please confirm that the foregoing correctly sets forth the terms and conditions of our agreement by returning via facsimile an executed copy of this Confirmation, or by sending a letter or telex substantially similar to this letter, which letter or telex sets forth the material terms of the transaction to which this confirmation relates and indicates agreement to those terms, in either case within three (3) Business Days of your receipt of this Confirmation, to the above Operations Contact.</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Failure to respond within such period will not affect the validity or enforceability of this Transaction, and shall be deemed to be an affirmation of the terms and conditions contained herein, absent manifest error.</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rFonts w:ascii="Helvetica" w:hAnsi="Helvetica" w:cs="Helvetica"/>
          <w:sz w:val="20"/>
        </w:rPr>
      </w:pPr>
      <w:r>
        <w:rPr>
          <w:rFonts w:cs="Helvetica" w:ascii="Helvetica" w:hAnsi="Helvetica"/>
          <w:sz w:val="20"/>
        </w:rPr>
        <w:t>Peoples Energy Corporation is pleased to have concluded this Transaction with you.</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Regards,</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Peoples Energy Corporation</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By: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rPr>
      </w:pPr>
      <w:r>
        <w:rPr>
          <w:rFonts w:cs="Helvetica" w:ascii="Helvetica" w:hAnsi="Helvetica"/>
          <w:sz w:val="20"/>
        </w:rPr>
        <w:t>Title:</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rFonts w:ascii="Helvetica" w:hAnsi="Helvetica" w:cs="Helvetica"/>
          <w:b/>
          <w:sz w:val="20"/>
        </w:rPr>
      </w:pPr>
      <w:r>
        <w:rPr>
          <w:rFonts w:cs="Helvetica" w:ascii="Helvetica" w:hAnsi="Helvetica"/>
          <w:b/>
          <w:sz w:val="20"/>
        </w:rPr>
        <w:t>ACKNOWLEDGED AND AGREED:</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outlineLvl w:val="0"/>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Helvetica" w:hAnsi="Helvetica" w:cs="Helvetica"/>
          <w:sz w:val="20"/>
          <w:u w:val="single"/>
        </w:rPr>
      </w:pPr>
      <w:r>
        <w:rPr>
          <w:rFonts w:cs="Helvetica" w:ascii="Helvetica" w:hAnsi="Helvetica"/>
          <w:sz w:val="20"/>
          <w:u w:val="single"/>
        </w:rPr>
        <w:t>___________________________________________</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b/>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jc w:val="both"/>
        <w:rPr/>
      </w:pPr>
      <w:r>
        <w:rPr>
          <w:rFonts w:cs="Helvetica" w:ascii="Helvetica" w:hAnsi="Helvetica"/>
          <w:sz w:val="20"/>
        </w:rPr>
        <w:t>By:</w:t>
      </w:r>
      <w:r>
        <w:rPr>
          <w:rFonts w:cs="Helvetica" w:ascii="Helvetica" w:hAnsi="Helvetica"/>
          <w:sz w:val="20"/>
          <w:u w:val="single"/>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eastAsia="Times"/>
        </w:rPr>
      </w:pPr>
      <w:r>
        <w:rPr>
          <w:rFonts w:eastAsia="Times"/>
        </w:rPr>
        <w:t xml:space="preserve"> </w:t>
      </w:r>
    </w:p>
    <w:p>
      <w:pPr>
        <w:pStyle w:val="normal1"/>
        <w:numPr>
          <w:ilvl w:val="0"/>
          <w:numId w:val="0"/>
        </w:numPr>
        <w:jc w:val="both"/>
        <w:outlineLvl w:val="0"/>
        <w:rPr/>
      </w:pPr>
      <w:r>
        <w:rPr>
          <w:rFonts w:cs="Helvetica" w:ascii="Helvetica" w:hAnsi="Helvetica"/>
          <w:sz w:val="20"/>
        </w:rPr>
        <w:t>Title:</w:t>
      </w:r>
      <w:r>
        <w:rPr>
          <w:rFonts w:cs="Helvetica" w:ascii="Helvetica" w:hAnsi="Helvetica"/>
          <w:sz w:val="20"/>
          <w:u w:val="single"/>
        </w:rPr>
        <w:t xml:space="preserve">                                                  </w:t>
      </w:r>
    </w:p>
    <w:p>
      <w:pPr>
        <w:pStyle w:val="normal1"/>
        <w:rPr>
          <w:rFonts w:eastAsia="Times"/>
        </w:rPr>
      </w:pPr>
      <w:r>
        <w:rPr>
          <w:rFonts w:eastAsia="Times"/>
        </w:rPr>
        <w:t xml:space="preserve"> </w:t>
      </w:r>
    </w:p>
    <w:p>
      <w:pPr>
        <w:pStyle w:val="normal1"/>
        <w:rPr/>
      </w:pPr>
      <w:r>
        <w:rPr/>
      </w:r>
    </w:p>
    <w:p>
      <w:pPr>
        <w:pStyle w:val="normal1"/>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G Times">
    <w:altName w:val="Impact"/>
    <w:charset w:val="00" w:characterSet="windows-1252"/>
    <w:family w:val="roman"/>
    <w:pitch w:val="variable"/>
  </w:font>
  <w:font w:name="Tahoma">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Time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Fonts w:eastAsia="Time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PEC DRAFT 10/13/00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2" w:leader="none"/>
        <w:tab w:val="right" w:pos="8305" w:leader="none"/>
      </w:tabs>
    </w:pPr>
    <w:rPr>
      <w:rFonts w:ascii="Times" w:hAnsi="Times" w:cs="Times"/>
      <w:sz w:val="22"/>
    </w:rPr>
  </w:style>
  <w:style w:type="paragraph" w:styleId="Footer">
    <w:name w:val="footer"/>
    <w:basedOn w:val="Normal"/>
    <w:pPr>
      <w:tabs>
        <w:tab w:val="clear" w:pos="720"/>
        <w:tab w:val="center" w:pos="4152" w:leader="none"/>
        <w:tab w:val="right" w:pos="8305" w:leader="none"/>
      </w:tabs>
    </w:pPr>
    <w:rPr>
      <w:rFonts w:ascii="Times" w:hAnsi="Times" w:cs="Times"/>
      <w:sz w:val="22"/>
    </w:rPr>
  </w:style>
  <w:style w:type="paragraph" w:styleId="EndnoteText">
    <w:name w:val="endnote text"/>
    <w:basedOn w:val="Normal"/>
    <w:pPr>
      <w:widowControl w:val="false"/>
    </w:pPr>
    <w:rPr>
      <w:rFonts w:ascii="CG Times;Impact" w:hAnsi="CG Times;Impact" w:cs="CG Times;Impact"/>
      <w:sz w:val="24"/>
      <w:lang w:eastAsia="en-US"/>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2000-10-13T16:24:00Z</dcterms:created>
  <dc:creator>foobar</dc:creator>
  <dc:description/>
  <dc:language>en-CA</dc:language>
  <cp:lastModifiedBy>JACOB</cp:lastModifiedBy>
  <cp:lastPrinted>2000-10-13T14:09:00Z</cp:lastPrinted>
  <dcterms:modified xsi:type="dcterms:W3CDTF">2000-10-13T16:48:00Z</dcterms:modified>
  <cp:revision>6</cp:revision>
  <dc:subject/>
  <dc:title>MORGAN STANLEY CAPITAL GROUP INC</dc:title>
</cp:coreProperties>
</file>