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sz w:val="22"/>
        </w:rPr>
      </w:pPr>
      <w:r>
        <w:rPr>
          <w:b/>
          <w:sz w:val="22"/>
        </w:rPr>
        <w:t>FORM OF RESOLUTIONS OF</w:t>
      </w:r>
    </w:p>
    <w:p>
      <w:pPr>
        <w:pStyle w:val="Normal"/>
        <w:jc w:val="center"/>
        <w:rPr>
          <w:b/>
          <w:sz w:val="22"/>
        </w:rPr>
      </w:pPr>
      <w:r>
        <w:rPr>
          <w:b/>
          <w:sz w:val="22"/>
        </w:rPr>
        <w:t>[GOVERNING BODY OF RELEVANT AGENCY</w:t>
      </w:r>
    </w:p>
    <w:p>
      <w:pPr>
        <w:pStyle w:val="Normal"/>
        <w:jc w:val="center"/>
        <w:rPr>
          <w:b/>
          <w:sz w:val="22"/>
        </w:rPr>
      </w:pPr>
      <w:r>
        <w:rPr>
          <w:b/>
          <w:sz w:val="22"/>
        </w:rPr>
        <w:t>OR INSTRUMENTALITY]</w:t>
      </w:r>
    </w:p>
    <w:p>
      <w:pPr>
        <w:pStyle w:val="Normal"/>
        <w:jc w:val="center"/>
        <w:rPr>
          <w:b/>
          <w:sz w:val="22"/>
        </w:rPr>
      </w:pPr>
      <w:r>
        <w:rPr>
          <w:b/>
          <w:sz w:val="22"/>
        </w:rPr>
        <w:t>REGARDING ISDA MASTER AGREEMENT</w:t>
      </w:r>
    </w:p>
    <w:p>
      <w:pPr>
        <w:pStyle w:val="Normal"/>
        <w:jc w:val="center"/>
        <w:rPr>
          <w:sz w:val="22"/>
        </w:rPr>
      </w:pPr>
      <w:r>
        <w:rPr>
          <w:b/>
          <w:sz w:val="22"/>
        </w:rPr>
        <w:t>FOR ENERGY TRANSACTIONS</w:t>
      </w:r>
    </w:p>
    <w:p>
      <w:pPr>
        <w:pStyle w:val="Normal"/>
        <w:rPr>
          <w:sz w:val="22"/>
        </w:rPr>
      </w:pPr>
      <w:r>
        <w:rPr>
          <w:sz w:val="22"/>
        </w:rPr>
      </w:r>
    </w:p>
    <w:p>
      <w:pPr>
        <w:pStyle w:val="Normal"/>
        <w:rPr>
          <w:sz w:val="22"/>
        </w:rPr>
      </w:pPr>
      <w:r>
        <w:rPr>
          <w:sz w:val="22"/>
        </w:rPr>
      </w:r>
    </w:p>
    <w:p>
      <w:pPr>
        <w:pStyle w:val="BodyText"/>
        <w:rPr>
          <w:sz w:val="22"/>
        </w:rPr>
      </w:pPr>
      <w:r>
        <w:rPr>
          <w:sz w:val="22"/>
        </w:rPr>
        <w:tab/>
        <w:t>WHEREAS, pursuant to [identify municipal resolution, administrative rule or statutory/constitutional authority] [the “Authorizing Law”] the [name of agency/instrumentality] (the “Authority”) is authorized and empowered to enter into contracts and transactions in connection with [insert Authority’s line of business] (each, a “Contract” and collectively, the “Contracts”);</w:t>
      </w:r>
    </w:p>
    <w:p>
      <w:pPr>
        <w:pStyle w:val="BodyText"/>
        <w:rPr>
          <w:sz w:val="22"/>
        </w:rPr>
      </w:pPr>
      <w:r>
        <w:rPr>
          <w:sz w:val="22"/>
        </w:rPr>
      </w:r>
    </w:p>
    <w:p>
      <w:pPr>
        <w:pStyle w:val="BodyText"/>
        <w:rPr/>
      </w:pPr>
      <w:r>
        <w:rPr>
          <w:sz w:val="22"/>
        </w:rPr>
        <w:tab/>
        <w:t>WHEREAS, pursuant to [identify the Authorizing Law or other relevant municipal resolution, administrative rule or statutory/constitutional authority] [(the “Hedging Policy”)]</w:t>
      </w:r>
      <w:r>
        <w:rPr>
          <w:rStyle w:val="FootnoteCharacters"/>
          <w:rStyle w:val="FootnoteReference"/>
          <w:sz w:val="22"/>
        </w:rPr>
        <w:footnoteReference w:id="2"/>
      </w:r>
      <w:r>
        <w:rPr>
          <w:sz w:val="22"/>
        </w:rPr>
        <w:t xml:space="preserve"> the Authority is authorized and empowered to enter into and perform agreements and instruments, including but not limited to swaps and other derivative transactions, for the purpose of managing the financial risk to the Authority in connection with or incidental to contracts or transactions, including but not limited to the Contracts, and to amend, modify, supplement or terminate such agreements or instruments from time to time;</w:t>
      </w:r>
    </w:p>
    <w:p>
      <w:pPr>
        <w:pStyle w:val="Normal"/>
        <w:jc w:val="both"/>
        <w:rPr>
          <w:sz w:val="22"/>
        </w:rPr>
      </w:pPr>
      <w:r>
        <w:rPr>
          <w:sz w:val="22"/>
        </w:rPr>
      </w:r>
    </w:p>
    <w:p>
      <w:pPr>
        <w:pStyle w:val="Normal"/>
        <w:jc w:val="both"/>
        <w:rPr>
          <w:sz w:val="22"/>
        </w:rPr>
      </w:pPr>
      <w:r>
        <w:rPr>
          <w:sz w:val="22"/>
        </w:rPr>
        <w:tab/>
        <w:t>WHEREAS, pursuant to [identify administrative rule, resolution or policy pertaining to authorization of agency/instrumentality action] all swaps and other derivative transactions to be entered into by the Authority are to be authorized by action of the Board of Directors of the Authority; and</w:t>
      </w:r>
    </w:p>
    <w:p>
      <w:pPr>
        <w:pStyle w:val="Normal"/>
        <w:jc w:val="both"/>
        <w:rPr>
          <w:sz w:val="22"/>
        </w:rPr>
      </w:pPr>
      <w:r>
        <w:rPr>
          <w:sz w:val="22"/>
        </w:rPr>
      </w:r>
    </w:p>
    <w:p>
      <w:pPr>
        <w:pStyle w:val="Normal"/>
        <w:jc w:val="both"/>
        <w:rPr>
          <w:sz w:val="22"/>
        </w:rPr>
      </w:pPr>
      <w:r>
        <w:rPr>
          <w:sz w:val="22"/>
        </w:rPr>
        <w:tab/>
        <w:t>WHEREAS, the following Contract[s] is/are [in effect on the date hereof] [under negotiation] [to be executed and delivered by the Authority on or about the date hereof]: [identify Contract[s] as to which Swap Agreement will relate] (the “Covered Contracts”);</w:t>
      </w:r>
    </w:p>
    <w:p>
      <w:pPr>
        <w:pStyle w:val="Normal"/>
        <w:jc w:val="both"/>
        <w:rPr>
          <w:sz w:val="22"/>
        </w:rPr>
      </w:pPr>
      <w:r>
        <w:rPr>
          <w:sz w:val="22"/>
        </w:rPr>
      </w:r>
    </w:p>
    <w:p>
      <w:pPr>
        <w:pStyle w:val="BodyText"/>
        <w:rPr>
          <w:sz w:val="22"/>
        </w:rPr>
      </w:pPr>
      <w:r>
        <w:rPr>
          <w:sz w:val="22"/>
        </w:rPr>
        <w:tab/>
        <w:t>WHEREAS, based on current and anticipated market conditions, the Board of Directors has determined that it is [necessary or desirable] [advisable] and in the best interest of the Authority and the public, and is in furtherance and not in violation of the public purposes for which the Authority was created and organized pursuant to the laws of the [identify state, city or governmental unit], and is necessary and appropriate in carrying out the purposes of the Authority under the Authorizing Law, to enter into a swap agreement in the form of an ISDA Master Agreement (Multicurrency-Cross Border), including the Schedule thereto, any confirmations evidencing specific Transactions (as defined in the Swap Agreement) thereunder, and any annexes (including any credit support annex (a “Credit Support Annex”) or other credit enhancement (collectively, the “Credit Documents”)) (the “Swap Agreement”) in connection with the Covered Contracts, with [name of Enron entity] (the “Counterparty”) in substantially the form submitted to the Board of Directors and attached hereto as Exhibit A, with such changes as are authorized hereunder;</w:t>
      </w:r>
    </w:p>
    <w:p>
      <w:pPr>
        <w:pStyle w:val="Normal"/>
        <w:jc w:val="both"/>
        <w:rPr>
          <w:sz w:val="22"/>
        </w:rPr>
      </w:pPr>
      <w:r>
        <w:rPr>
          <w:sz w:val="22"/>
        </w:rPr>
      </w:r>
    </w:p>
    <w:p>
      <w:pPr>
        <w:pStyle w:val="Normal"/>
        <w:jc w:val="both"/>
        <w:rPr>
          <w:sz w:val="22"/>
        </w:rPr>
      </w:pPr>
      <w:r>
        <w:rPr>
          <w:sz w:val="22"/>
        </w:rPr>
        <w:tab/>
        <w:t>WHEREAS, the Board of Directors has determined that the Swap Agreement is a swap agreement within the meaning of [the Authorizing Law] [the Hedging Policy];</w:t>
      </w:r>
    </w:p>
    <w:p>
      <w:pPr>
        <w:pStyle w:val="Normal"/>
        <w:jc w:val="both"/>
        <w:rPr>
          <w:sz w:val="22"/>
        </w:rPr>
      </w:pPr>
      <w:r>
        <w:rPr>
          <w:sz w:val="22"/>
        </w:rPr>
      </w:r>
    </w:p>
    <w:p>
      <w:pPr>
        <w:pStyle w:val="Normal"/>
        <w:jc w:val="both"/>
        <w:rPr>
          <w:sz w:val="22"/>
        </w:rPr>
      </w:pPr>
      <w:r>
        <w:rPr>
          <w:sz w:val="22"/>
        </w:rPr>
        <w:tab/>
        <w:t>[WHEREAS, the execution and performance of the Swap Agreement is anticipated to result in a net economic benefit to the Authority through management of financial risks associated with the Covered Contracts; ]</w:t>
      </w:r>
      <w:r>
        <w:rPr>
          <w:rStyle w:val="FootnoteCharacters"/>
          <w:rStyle w:val="FootnoteReference"/>
          <w:sz w:val="22"/>
        </w:rPr>
        <w:footnoteReference w:id="3"/>
      </w:r>
    </w:p>
    <w:p>
      <w:pPr>
        <w:pStyle w:val="Normal"/>
        <w:jc w:val="both"/>
        <w:rPr>
          <w:sz w:val="22"/>
        </w:rPr>
      </w:pPr>
      <w:r>
        <w:rPr>
          <w:sz w:val="22"/>
        </w:rPr>
      </w:r>
    </w:p>
    <w:p>
      <w:pPr>
        <w:pStyle w:val="Normal"/>
        <w:jc w:val="both"/>
        <w:rPr>
          <w:sz w:val="22"/>
        </w:rPr>
      </w:pPr>
      <w:r>
        <w:rPr>
          <w:sz w:val="22"/>
        </w:rPr>
        <w:tab/>
        <w:t>[WHEREAS, the [identify officer or department] of the Authority has caused to be prepared an analysis for the Authority of the financial consequences of the proposed transactions under the Swap Agreement, which is incorporated herein by reference;]</w:t>
      </w:r>
      <w:r>
        <w:rPr>
          <w:rStyle w:val="FootnoteCharacters"/>
          <w:rStyle w:val="FootnoteReference"/>
          <w:sz w:val="22"/>
        </w:rPr>
        <w:footnoteReference w:id="4"/>
      </w:r>
    </w:p>
    <w:p>
      <w:pPr>
        <w:pStyle w:val="Normal"/>
        <w:jc w:val="both"/>
        <w:rPr>
          <w:sz w:val="22"/>
        </w:rPr>
      </w:pPr>
      <w:r>
        <w:rPr>
          <w:sz w:val="22"/>
        </w:rPr>
      </w:r>
    </w:p>
    <w:p>
      <w:pPr>
        <w:pStyle w:val="Normal"/>
        <w:jc w:val="both"/>
        <w:rPr>
          <w:sz w:val="22"/>
        </w:rPr>
      </w:pPr>
      <w:r>
        <w:rPr>
          <w:sz w:val="22"/>
        </w:rPr>
        <w:tab/>
        <w:t>WHEREAS, the Authority wishes to enter into the Swap Agreement with the Counterparty and enter into Transactions with the Counterparty pursuant thereto from time to time in accordance with the terms thereof and the authorization set forth herein;</w:t>
      </w:r>
    </w:p>
    <w:p>
      <w:pPr>
        <w:pStyle w:val="Normal"/>
        <w:jc w:val="both"/>
        <w:rPr>
          <w:sz w:val="22"/>
        </w:rPr>
      </w:pPr>
      <w:r>
        <w:rPr>
          <w:sz w:val="22"/>
        </w:rPr>
      </w:r>
    </w:p>
    <w:p>
      <w:pPr>
        <w:pStyle w:val="Normal"/>
        <w:jc w:val="both"/>
        <w:rPr>
          <w:sz w:val="22"/>
        </w:rPr>
      </w:pPr>
      <w:r>
        <w:rPr>
          <w:sz w:val="22"/>
        </w:rPr>
        <w:tab/>
        <w:t xml:space="preserve">WHEREAS, the Board of Directors intends, through the resolutions adopted herein, to authorize the Swap Agreement and Transactions thereunder on a continuous basis and to authorize specified officers of the Authority to take any and all actions necessary or desirable to accomplish the purposes of the resolutions and the preceding premises and the performance of the Swap Agreement and Transactions thereunder in accordance with their terms; and </w:t>
      </w:r>
    </w:p>
    <w:p>
      <w:pPr>
        <w:pStyle w:val="Normal"/>
        <w:jc w:val="both"/>
        <w:rPr>
          <w:sz w:val="22"/>
        </w:rPr>
      </w:pPr>
      <w:r>
        <w:rPr>
          <w:sz w:val="22"/>
        </w:rPr>
      </w:r>
    </w:p>
    <w:p>
      <w:pPr>
        <w:pStyle w:val="Normal"/>
        <w:jc w:val="both"/>
        <w:rPr>
          <w:sz w:val="22"/>
        </w:rPr>
      </w:pPr>
      <w:r>
        <w:rPr>
          <w:sz w:val="22"/>
        </w:rPr>
        <w:tab/>
        <w:t>WHEREAS, all necessary action and all necessary determinations and findings to authorize the Authority’s execution, delivery, and performance of the Swap Agreement and Transactions thereunder, and any other documentation relating to the Swap Agreement or that is required by the Swap Agreement or any Transaction thereunder, have been taken and made and are set forth herein;</w:t>
      </w:r>
    </w:p>
    <w:p>
      <w:pPr>
        <w:pStyle w:val="Normal"/>
        <w:jc w:val="both"/>
        <w:rPr>
          <w:sz w:val="22"/>
        </w:rPr>
      </w:pPr>
      <w:r>
        <w:rPr>
          <w:sz w:val="22"/>
        </w:rPr>
      </w:r>
    </w:p>
    <w:p>
      <w:pPr>
        <w:pStyle w:val="Normal"/>
        <w:jc w:val="both"/>
        <w:rPr>
          <w:sz w:val="22"/>
        </w:rPr>
      </w:pPr>
      <w:r>
        <w:rPr>
          <w:sz w:val="22"/>
        </w:rPr>
        <w:tab/>
        <w:t>NOW, THEREFORE, IT IS HEREBY</w:t>
      </w:r>
    </w:p>
    <w:p>
      <w:pPr>
        <w:pStyle w:val="Normal"/>
        <w:jc w:val="both"/>
        <w:rPr>
          <w:sz w:val="22"/>
        </w:rPr>
      </w:pPr>
      <w:r>
        <w:rPr>
          <w:sz w:val="22"/>
        </w:rPr>
      </w:r>
    </w:p>
    <w:p>
      <w:pPr>
        <w:pStyle w:val="Normal"/>
        <w:jc w:val="both"/>
        <w:rPr>
          <w:sz w:val="22"/>
        </w:rPr>
      </w:pPr>
      <w:r>
        <w:rPr>
          <w:sz w:val="22"/>
        </w:rPr>
        <w:tab/>
        <w:t>RESOLVED, that the negotiation, execution, delivery and performance by the Authority of the Swap Agreement, in substantially the form presented to the Board of Directors, with such changes therein as shall be approved by the officers of the Authority executing the same, such approval to be conclusively evidenced by their execution thereof, be and it hereby is authorized, approved and adopted as and for the act of the Authority; and be it further</w:t>
      </w:r>
    </w:p>
    <w:p>
      <w:pPr>
        <w:pStyle w:val="Normal"/>
        <w:jc w:val="both"/>
        <w:rPr>
          <w:sz w:val="22"/>
        </w:rPr>
      </w:pPr>
      <w:r>
        <w:rPr>
          <w:sz w:val="22"/>
        </w:rPr>
      </w:r>
    </w:p>
    <w:p>
      <w:pPr>
        <w:pStyle w:val="Normal"/>
        <w:jc w:val="both"/>
        <w:rPr>
          <w:sz w:val="22"/>
        </w:rPr>
      </w:pPr>
      <w:r>
        <w:rPr>
          <w:sz w:val="22"/>
        </w:rPr>
        <w:tab/>
        <w:t>RESOLVED, that each Transaction to be entered into and performed from time to time by the Authority under and pursuant to the Swap Agreement be and it hereby is authorized, approved and adopted as and for the act of the Authority; and be it further</w:t>
      </w:r>
    </w:p>
    <w:p>
      <w:pPr>
        <w:pStyle w:val="Normal"/>
        <w:jc w:val="both"/>
        <w:rPr>
          <w:sz w:val="22"/>
        </w:rPr>
      </w:pPr>
      <w:r>
        <w:rPr>
          <w:sz w:val="22"/>
        </w:rPr>
      </w:r>
    </w:p>
    <w:p>
      <w:pPr>
        <w:pStyle w:val="Normal"/>
        <w:jc w:val="both"/>
        <w:rPr>
          <w:sz w:val="22"/>
        </w:rPr>
      </w:pPr>
      <w:r>
        <w:rPr>
          <w:sz w:val="22"/>
        </w:rPr>
        <w:tab/>
        <w:t>[RESOLVED, that the pledge of revenues under [identify source of revenues that may be pledged in connection with Swap Agreement] pursuant to the [identify pledge or other security arrangement], be and it hereby is authorized, approved and adopted as and for the act of the Authority; and be it further]</w:t>
      </w:r>
      <w:r>
        <w:rPr>
          <w:rStyle w:val="FootnoteCharacters"/>
          <w:rStyle w:val="FootnoteReference"/>
          <w:sz w:val="22"/>
        </w:rPr>
        <w:footnoteReference w:id="5"/>
      </w:r>
    </w:p>
    <w:p>
      <w:pPr>
        <w:pStyle w:val="Normal"/>
        <w:jc w:val="both"/>
        <w:rPr>
          <w:sz w:val="22"/>
        </w:rPr>
      </w:pPr>
      <w:r>
        <w:rPr>
          <w:sz w:val="22"/>
        </w:rPr>
      </w:r>
    </w:p>
    <w:p>
      <w:pPr>
        <w:pStyle w:val="Normal"/>
        <w:jc w:val="both"/>
        <w:rPr>
          <w:sz w:val="22"/>
        </w:rPr>
      </w:pPr>
      <w:r>
        <w:rPr>
          <w:sz w:val="22"/>
        </w:rPr>
        <w:tab/>
        <w:t xml:space="preserve">RESOLVED, that the Authority is authorized, and the Treasurer of the Authority is authorized and directed to cause the Authority to make all payments due to the Counterparty under the Swap Agreement in accordance with the terms thereof, including but not limited to </w:t>
        <w:br/>
        <w:t>(i) payment from time to time of the amount, if any, by which the amount required to be paid by the Authority exceeds the amount required to be paid by the Counterparty, (ii) payment of amounts, if any, required under the Swap Agreement pursuant to any “gross up” provisions therein contained, (iii) payment of an amount equal to the market value of any Transaction under the Swap Agreement (determined as provided therein) in the event that the Authority is required to make such payment upon an early termination of the Swap Agreement, whether such termination is due to a default by the Authority, the Counterparty or otherwise; and be it further</w:t>
      </w:r>
    </w:p>
    <w:p>
      <w:pPr>
        <w:pStyle w:val="Normal"/>
        <w:jc w:val="both"/>
        <w:rPr>
          <w:sz w:val="22"/>
        </w:rPr>
      </w:pPr>
      <w:r>
        <w:rPr>
          <w:sz w:val="22"/>
        </w:rPr>
      </w:r>
    </w:p>
    <w:p>
      <w:pPr>
        <w:pStyle w:val="Normal"/>
        <w:jc w:val="both"/>
        <w:rPr>
          <w:sz w:val="22"/>
        </w:rPr>
      </w:pPr>
      <w:r>
        <w:rPr>
          <w:sz w:val="22"/>
        </w:rPr>
        <w:tab/>
        <w:t>[RESOLVED, that so long as the total notional amount and duration of Transactions under the Swap Agreement do not exceed [identify dollar or maturity limitations, if any, in the Authorizing Law or Hedging Policy] all Transactions between the Authority and the Counterparty are, and shall continue to be, [“Approved Transactions” or any similar concept under the Authorizing Law or the Hedging Policy]; and be it further]</w:t>
      </w:r>
      <w:r>
        <w:rPr>
          <w:rStyle w:val="FootnoteCharacters"/>
          <w:rStyle w:val="FootnoteReference"/>
          <w:sz w:val="22"/>
        </w:rPr>
        <w:footnoteReference w:id="6"/>
      </w:r>
    </w:p>
    <w:p>
      <w:pPr>
        <w:pStyle w:val="Normal"/>
        <w:jc w:val="both"/>
        <w:rPr>
          <w:sz w:val="22"/>
        </w:rPr>
      </w:pPr>
      <w:r>
        <w:rPr>
          <w:sz w:val="22"/>
        </w:rPr>
      </w:r>
    </w:p>
    <w:p>
      <w:pPr>
        <w:pStyle w:val="Normal"/>
        <w:jc w:val="both"/>
        <w:rPr>
          <w:sz w:val="22"/>
        </w:rPr>
      </w:pPr>
      <w:r>
        <w:rPr>
          <w:sz w:val="22"/>
        </w:rPr>
        <w:tab/>
        <w:t>RESOLVED, that the [identify specific officers] of the Authority be and each of them hereby is authorized, [individually and not jointly [conform to Authority execution requirements]] to negotiate, execute and deliver and/or accept, consummate, manage and terminate the Swap Agreement and/or any further or other agreements, instruments, certificates or other documents, including but not limited to any Credit Documents, to attest and to affix the seal of the Authority to documents authorized by these resolutions where necessary and to take any and all such further action and do any and all such other things, as may be necessary or desirable, in the discretion of such officer, on the part of the Authority to carry out, give effect to and consummate the Transactions contemplated hereby and by the Swap Agreement; and be it further</w:t>
      </w:r>
    </w:p>
    <w:p>
      <w:pPr>
        <w:pStyle w:val="Normal"/>
        <w:jc w:val="both"/>
        <w:rPr>
          <w:sz w:val="22"/>
        </w:rPr>
      </w:pPr>
      <w:r>
        <w:rPr>
          <w:sz w:val="22"/>
        </w:rPr>
      </w:r>
    </w:p>
    <w:p>
      <w:pPr>
        <w:pStyle w:val="Normal"/>
        <w:jc w:val="both"/>
        <w:rPr>
          <w:sz w:val="22"/>
        </w:rPr>
      </w:pPr>
      <w:r>
        <w:rPr>
          <w:sz w:val="22"/>
        </w:rPr>
        <w:tab/>
        <w:t>RESOLVED, that the [identify specific officers] of the Authority be and each of them hereby is authorized, [individually and not jointly [conform to Authority execution requirements]] to execute and deliver and/or accept any amendments, modifications, supplements or terminations of the Swap Agreement (and/or any Credit Document) as may be necessary or desirable, in the discretion of such officer on the part of the Authority in the administration and performance of the Swap Agreement; and be it further</w:t>
      </w:r>
    </w:p>
    <w:p>
      <w:pPr>
        <w:pStyle w:val="Normal"/>
        <w:jc w:val="both"/>
        <w:rPr>
          <w:sz w:val="22"/>
        </w:rPr>
      </w:pPr>
      <w:r>
        <w:rPr>
          <w:sz w:val="22"/>
        </w:rPr>
      </w:r>
    </w:p>
    <w:p>
      <w:pPr>
        <w:pStyle w:val="BodyText"/>
        <w:rPr>
          <w:sz w:val="22"/>
        </w:rPr>
      </w:pPr>
      <w:r>
        <w:rPr>
          <w:sz w:val="22"/>
        </w:rPr>
        <w:tab/>
        <w:t>[RESOLVED, that the Authority waives any immunity on the grounds of sovereignty or other similar grounds with respect to itself or its revenues or assets (irrespective of their use or intended use) from (i) suit, (ii) jurisdiction of any court, (iii) relief by way of injunction, order for specific performance, or for recovery of property, (iv) attachment of its assets (whether before or after judgment), or (v) execution or enforcement of any judgment to which it or its revenues or assets might otherwise be made subject to in any suit, action, or proceedings relating to the Swap Agreement in the courts of any jurisdiction, and no such immunity (whether or not claimed) shall be attributed to the Authority or its revenues or assets; and be it further]</w:t>
      </w:r>
      <w:r>
        <w:rPr>
          <w:rStyle w:val="FootnoteCharacters"/>
          <w:rStyle w:val="FootnoteReference"/>
          <w:sz w:val="22"/>
        </w:rPr>
        <w:footnoteReference w:id="7"/>
      </w:r>
    </w:p>
    <w:p>
      <w:pPr>
        <w:pStyle w:val="Normal"/>
        <w:jc w:val="both"/>
        <w:rPr>
          <w:sz w:val="22"/>
        </w:rPr>
      </w:pPr>
      <w:r>
        <w:rPr>
          <w:sz w:val="22"/>
        </w:rPr>
      </w:r>
    </w:p>
    <w:p>
      <w:pPr>
        <w:pStyle w:val="BodyText"/>
        <w:rPr/>
      </w:pPr>
      <w:r>
        <w:rPr>
          <w:sz w:val="22"/>
        </w:rPr>
        <w:tab/>
        <w:t>RESOLVED, that the obligations of the Authority to make payments to the Counterparty under the Swap Agreement are not subject to appropriation or similar action [and shall be satisfied from the general revenues of the Authority and as further authorized by law]</w:t>
      </w:r>
      <w:r>
        <w:rPr>
          <w:rStyle w:val="FootnoteCharacters"/>
          <w:rStyle w:val="FootnoteReference"/>
          <w:sz w:val="22"/>
        </w:rPr>
        <w:footnoteReference w:id="8"/>
      </w:r>
      <w:r>
        <w:rPr>
          <w:sz w:val="22"/>
        </w:rPr>
        <w:t>.</w:t>
      </w:r>
    </w:p>
    <w:p>
      <w:pPr>
        <w:pStyle w:val="BodyText"/>
        <w:rPr>
          <w:sz w:val="22"/>
        </w:rPr>
      </w:pPr>
      <w:r>
        <w:rPr>
          <w:sz w:val="22"/>
        </w:rPr>
      </w:r>
    </w:p>
    <w:sectPr>
      <w:headerReference w:type="default" r:id="rId2"/>
      <w:headerReference w:type="first" r:id="rId3"/>
      <w:footerReference w:type="default" r:id="rId4"/>
      <w:footerReference w:type="first" r:id="rId5"/>
      <w:footnotePr>
        <w:numFmt w:val="decimal"/>
      </w:footnotePr>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DOCPROPERTY "PCDOCS ID Long"</w:instrText>
    </w:r>
    <w:r>
      <w:rPr>
        <w:sz w:val="16"/>
      </w:rPr>
      <w:fldChar w:fldCharType="separate"/>
    </w:r>
    <w:r>
      <w:rPr>
        <w:sz w:val="16"/>
      </w:rPr>
      <w:t>579302.4</w:t>
    </w:r>
    <w:r>
      <w:rPr>
        <w:sz w:val="16"/>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t xml:space="preserve"> </w:t>
      </w:r>
      <w:r>
        <w:rPr/>
        <w:t xml:space="preserve">Include if the relevant Authorizing Law does not give omnibus authority; i.e. the authority to manage the financial and hedging aspects of the Authorizing Law (entering into certain agreements, entering into certain hedging transactions) is separate from the Authorizing Law.  </w:t>
      </w:r>
    </w:p>
  </w:footnote>
  <w:footnote w:id="3">
    <w:p>
      <w:pPr>
        <w:pStyle w:val="FootnoteText"/>
        <w:rPr/>
      </w:pPr>
      <w:r>
        <w:rPr>
          <w:rStyle w:val="FootnoteCharacters"/>
        </w:rPr>
        <w:footnoteRef/>
      </w:r>
      <w:r>
        <w:rPr/>
        <w:t xml:space="preserve"> </w:t>
      </w:r>
      <w:r>
        <w:rPr/>
        <w:t>Include if applicable.</w:t>
      </w:r>
    </w:p>
  </w:footnote>
  <w:footnote w:id="4">
    <w:p>
      <w:pPr>
        <w:pStyle w:val="FootnoteText"/>
        <w:rPr/>
      </w:pPr>
      <w:r>
        <w:rPr>
          <w:rStyle w:val="FootnoteCharacters"/>
        </w:rPr>
        <w:footnoteRef/>
      </w:r>
      <w:r>
        <w:rPr/>
        <w:t xml:space="preserve"> </w:t>
      </w:r>
      <w:r>
        <w:rPr/>
        <w:t>Include if applicable.</w:t>
      </w:r>
    </w:p>
  </w:footnote>
  <w:footnote w:id="5">
    <w:p>
      <w:pPr>
        <w:pStyle w:val="FootnoteText"/>
        <w:rPr/>
      </w:pPr>
      <w:r>
        <w:rPr>
          <w:rStyle w:val="FootnoteCharacters"/>
        </w:rPr>
        <w:footnoteRef/>
      </w:r>
      <w:r>
        <w:rPr/>
        <w:t xml:space="preserve"> </w:t>
      </w:r>
      <w:r>
        <w:rPr/>
        <w:t>Include if applicable.</w:t>
      </w:r>
    </w:p>
  </w:footnote>
  <w:footnote w:id="6">
    <w:p>
      <w:pPr>
        <w:pStyle w:val="FootnoteText"/>
        <w:rPr/>
      </w:pPr>
      <w:r>
        <w:rPr>
          <w:rStyle w:val="FootnoteCharacters"/>
        </w:rPr>
        <w:footnoteRef/>
      </w:r>
      <w:r>
        <w:rPr/>
        <w:t xml:space="preserve"> </w:t>
      </w:r>
      <w:r>
        <w:rPr/>
        <w:t xml:space="preserve">Include as appropriate. </w:t>
      </w:r>
    </w:p>
  </w:footnote>
  <w:footnote w:id="7">
    <w:p>
      <w:pPr>
        <w:pStyle w:val="FootnoteText"/>
        <w:rPr/>
      </w:pPr>
      <w:r>
        <w:rPr>
          <w:rStyle w:val="FootnoteCharacters"/>
        </w:rPr>
        <w:footnoteRef/>
      </w:r>
      <w:r>
        <w:rPr/>
        <w:t xml:space="preserve"> </w:t>
      </w:r>
      <w:r>
        <w:rPr/>
        <w:t>Include if relevant; if Authority is not entitled to claim immunity, provide written acknowledgment.</w:t>
      </w:r>
    </w:p>
  </w:footnote>
  <w:footnote w:id="8">
    <w:p>
      <w:pPr>
        <w:pStyle w:val="FootnoteText"/>
        <w:rPr/>
      </w:pPr>
      <w:r>
        <w:rPr>
          <w:rStyle w:val="FootnoteCharacters"/>
        </w:rPr>
        <w:footnoteRef/>
      </w:r>
      <w:r>
        <w:rPr/>
        <w:t xml:space="preserve"> </w:t>
      </w:r>
      <w:r>
        <w:rPr/>
        <w:t>To be modified to reflect the specifics of the relevant Authorizing Law and/or Hedging Policy.</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DATED 7/9/01</w:t>
    </w:r>
  </w:p>
</w:hdr>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sz w:val="24"/>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2001-07-10T13:16:00Z</dcterms:created>
  <dc:creator>Valued Sony Customer</dc:creator>
  <dc:description/>
  <dc:language>en-CA</dc:language>
  <cp:lastModifiedBy>sbaile2</cp:lastModifiedBy>
  <cp:lastPrinted>2001-09-26T16:35:00Z</cp:lastPrinted>
  <dcterms:modified xsi:type="dcterms:W3CDTF">2001-09-26T19:07:00Z</dcterms:modified>
  <cp:revision>3</cp:revision>
  <dc:subject/>
  <dc:title>FORM OF RESOLUTIONS OF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OCS ID Info">
    <vt:lpwstr>{filename}</vt:lpwstr>
  </property>
  <property fmtid="{D5CDD505-2E9C-101B-9397-08002B2CF9AE}" pid="3" name="PCDOCS ID Long">
    <vt:lpwstr>579302.4</vt:lpwstr>
  </property>
  <property fmtid="{D5CDD505-2E9C-101B-9397-08002B2CF9AE}" pid="4" name="PCDOCS ID Short">
    <vt:lpwstr>579302.4</vt:lpwstr>
  </property>
</Properties>
</file>