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0" w:after="0"/>
        <w:ind w:hanging="0" w:end="0"/>
        <w:jc w:val="center"/>
        <w:rPr>
          <w:rFonts w:ascii="Times New Roman" w:hAnsi="Times New Roman" w:cs="Times New Roman"/>
          <w:b/>
          <w:sz w:val="22"/>
        </w:rPr>
      </w:pPr>
      <w:r>
        <w:rPr>
          <w:rFonts w:cs="Times New Roman" w:ascii="Times New Roman" w:hAnsi="Times New Roman"/>
          <w:b/>
          <w:sz w:val="22"/>
        </w:rPr>
      </w:r>
    </w:p>
    <w:p>
      <w:pPr>
        <w:pStyle w:val="BodyText"/>
        <w:spacing w:lineRule="auto" w:line="240" w:before="0" w:after="0"/>
        <w:ind w:hanging="0" w:end="0"/>
        <w:jc w:val="center"/>
        <w:rPr/>
      </w:pPr>
      <w:r>
        <w:rPr>
          <w:rFonts w:cs="Times New Roman" w:ascii="Times New Roman" w:hAnsi="Times New Roman"/>
          <w:b/>
          <w:i/>
          <w:sz w:val="28"/>
        </w:rPr>
        <w:t>Dow Jones Newswires</w:t>
      </w:r>
      <w:r>
        <w:rPr>
          <w:rFonts w:cs="Times New Roman" w:ascii="Times New Roman" w:hAnsi="Times New Roman"/>
          <w:b/>
          <w:i/>
          <w:sz w:val="28"/>
          <w:vertAlign w:val="superscript"/>
        </w:rPr>
        <w:t>sm</w:t>
      </w:r>
      <w:r>
        <w:rPr>
          <w:rFonts w:cs="Times New Roman" w:ascii="Times New Roman" w:hAnsi="Times New Roman"/>
          <w:b/>
          <w:i/>
          <w:sz w:val="28"/>
        </w:rPr>
        <w:t xml:space="preserve"> </w:t>
      </w:r>
    </w:p>
    <w:p>
      <w:pPr>
        <w:pStyle w:val="BodyText"/>
        <w:spacing w:lineRule="auto" w:line="240" w:before="0" w:after="0"/>
        <w:ind w:hanging="0" w:end="0"/>
        <w:jc w:val="center"/>
        <w:rPr>
          <w:rFonts w:ascii="Times New Roman" w:hAnsi="Times New Roman" w:cs="Times New Roman"/>
          <w:b/>
          <w:i/>
          <w:i/>
          <w:sz w:val="20"/>
        </w:rPr>
      </w:pPr>
      <w:r>
        <w:rPr>
          <w:rFonts w:cs="Times New Roman" w:ascii="Times New Roman" w:hAnsi="Times New Roman"/>
          <w:b/>
          <w:i/>
          <w:sz w:val="20"/>
        </w:rPr>
      </w:r>
    </w:p>
    <w:p>
      <w:pPr>
        <w:pStyle w:val="BodyText"/>
        <w:spacing w:lineRule="auto" w:line="240" w:before="0" w:after="0"/>
        <w:ind w:hanging="0" w:end="0"/>
        <w:jc w:val="center"/>
        <w:rPr>
          <w:rFonts w:ascii="Times New Roman" w:hAnsi="Times New Roman" w:cs="Times New Roman"/>
          <w:b/>
          <w:sz w:val="22"/>
        </w:rPr>
      </w:pPr>
      <w:r>
        <w:rPr>
          <w:rFonts w:cs="Times New Roman" w:ascii="Times New Roman" w:hAnsi="Times New Roman"/>
          <w:b/>
          <w:sz w:val="22"/>
        </w:rPr>
        <w:t>WEB-BASED SERVICE DISTRIBUTION AGREEMENT</w:t>
      </w:r>
    </w:p>
    <w:p>
      <w:pPr>
        <w:pStyle w:val="BodyText"/>
        <w:spacing w:lineRule="auto" w:line="240" w:before="0" w:after="0"/>
        <w:ind w:hanging="0" w:end="0"/>
        <w:jc w:val="center"/>
        <w:rPr>
          <w:rFonts w:ascii="Times New Roman" w:hAnsi="Times New Roman" w:cs="Times New Roman"/>
          <w:b/>
          <w:sz w:val="20"/>
        </w:rPr>
      </w:pPr>
      <w:r>
        <w:rPr>
          <w:rFonts w:cs="Times New Roman" w:ascii="Times New Roman" w:hAnsi="Times New Roman"/>
          <w:b/>
          <w:sz w:val="20"/>
        </w:rPr>
      </w:r>
    </w:p>
    <w:p>
      <w:pPr>
        <w:pStyle w:val="BodyText"/>
        <w:spacing w:lineRule="auto" w:line="240" w:before="240" w:after="0"/>
        <w:jc w:val="both"/>
        <w:rPr>
          <w:rFonts w:ascii="Times New Roman" w:hAnsi="Times New Roman" w:cs="Times New Roman"/>
          <w:sz w:val="20"/>
        </w:rPr>
      </w:pPr>
      <w:r>
        <w:rPr>
          <w:rFonts w:cs="Times New Roman" w:ascii="Times New Roman" w:hAnsi="Times New Roman"/>
          <w:sz w:val="20"/>
        </w:rPr>
        <w:t>This Web-Based Distribution Agreement (“Agreement”) is between the undersigned corporation, partnership or other legal entity (“Distributor”) and Dow Jones &amp; Company, Inc. (“Dow Jones”).  Distributor owns and operates the online trading and investment service presently known as “________________________”, as described in Exhibit A (the “Distributor Service”).  Distributor wants to obtain from Dow Jones the right to receive the content defined in Exhibit B (the “Dow Jones Information”) via the delivery methods defined in Exhibit C (the “Delivery Methods”) and provide subscribers to the Distributor Service access to the Dow Jones Information, all on the terms and conditions set forth below.</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1.</w:t>
        <w:tab/>
        <w:t>Grant of Rights; Restrictions.</w:t>
      </w:r>
    </w:p>
    <w:p>
      <w:pPr>
        <w:pStyle w:val="Normal"/>
        <w:spacing w:lineRule="auto" w:line="240"/>
        <w:jc w:val="both"/>
        <w:rPr/>
      </w:pPr>
      <w:r>
        <w:rPr>
          <w:rFonts w:cs="Times New Roman" w:ascii="Times New Roman" w:hAnsi="Times New Roman"/>
          <w:b/>
          <w:sz w:val="20"/>
        </w:rPr>
        <w:t>(a)</w:t>
        <w:tab/>
        <w:t xml:space="preserve">Access to Dow Jones Information.  </w:t>
      </w:r>
      <w:r>
        <w:rPr>
          <w:rFonts w:cs="Times New Roman" w:ascii="Times New Roman" w:hAnsi="Times New Roman"/>
          <w:sz w:val="20"/>
        </w:rPr>
        <w:t>Dow Jones hereby grants to Distributor, subject to the terms and conditions contained in this Agreement, a limited, non-exclusive, nontransferable right to: (i) receive via the Delivery Methods the Dow Jones Information; (ii) store the Dow Jones Information for not more than 30 days on one or more host computers controlled, either directly or indirectly, by Distributor and located within the United States (the “Distributor Host Computer”); and (iii) distribute and display the Dow Jones Information to "Distributor Subscribers" (as defined in Section 1(b)(i)), by means of the Distributor Service.  Distributor shall not sublicense or otherwise transfer or assign any right granted in Section 1(a) to any other person or entity.  All rights not expressly granted to Distributor herein shall be retained by Dow Jones.</w:t>
      </w:r>
    </w:p>
    <w:p>
      <w:pPr>
        <w:pStyle w:val="Normal"/>
        <w:spacing w:lineRule="auto" w:line="240"/>
        <w:jc w:val="both"/>
        <w:rPr/>
      </w:pPr>
      <w:r>
        <w:rPr>
          <w:rFonts w:cs="Times New Roman" w:ascii="Times New Roman" w:hAnsi="Times New Roman"/>
          <w:b/>
          <w:sz w:val="20"/>
        </w:rPr>
        <w:t>(b)</w:t>
      </w:r>
      <w:r>
        <w:rPr>
          <w:rFonts w:cs="Times New Roman" w:ascii="Times New Roman" w:hAnsi="Times New Roman"/>
          <w:sz w:val="20"/>
        </w:rPr>
        <w:tab/>
      </w:r>
      <w:r>
        <w:rPr>
          <w:rFonts w:cs="Times New Roman" w:ascii="Times New Roman" w:hAnsi="Times New Roman"/>
          <w:b/>
          <w:sz w:val="20"/>
        </w:rPr>
        <w:t xml:space="preserve">Distributor Subscribers.  </w:t>
      </w:r>
    </w:p>
    <w:p>
      <w:pPr>
        <w:pStyle w:val="Normal"/>
        <w:spacing w:lineRule="auto" w:line="240"/>
        <w:jc w:val="both"/>
        <w:rPr/>
      </w:pPr>
      <w:r>
        <w:rPr>
          <w:rFonts w:cs="Times New Roman" w:ascii="Times New Roman" w:hAnsi="Times New Roman"/>
          <w:b/>
          <w:sz w:val="20"/>
        </w:rPr>
        <w:tab/>
        <w:t>(i)</w:t>
        <w:tab/>
      </w:r>
      <w:r>
        <w:rPr>
          <w:rFonts w:cs="Times New Roman" w:ascii="Times New Roman" w:hAnsi="Times New Roman"/>
          <w:sz w:val="20"/>
        </w:rPr>
        <w:t xml:space="preserve">A "Distributor Subscriber" shall mean an individual, natural person: (A) whose principal residence is in the territory defined in Exhibit A ("Territory"); and (B) who has assets on account with and/or has completed a trade with, Distributor; and (C) who subscribes to the Distributor Service; and (D) who indicates his acceptance to a “pop-up” online user agreement, a current copy of which is attached hereto as Exhibit D, governing the terms of access to the Dow Jones Information (the “DJ Terms &amp; Conditions”), in a manner reasonably satisfactory to Dow Jones; and (E) who is not a “Securities Professional” (as defined in the DJ Terms &amp; Conditions); and (F) who has access via the Distributor Service to any portion of the Dow Jones Information through the use of a unique password that does not permit simultaneous access by more than one person. </w:t>
      </w:r>
    </w:p>
    <w:p>
      <w:pPr>
        <w:pStyle w:val="Normal"/>
        <w:spacing w:lineRule="auto" w:line="240"/>
        <w:jc w:val="both"/>
        <w:rPr/>
      </w:pPr>
      <w:r>
        <w:rPr>
          <w:rFonts w:cs="Times New Roman" w:ascii="Times New Roman" w:hAnsi="Times New Roman"/>
          <w:sz w:val="20"/>
        </w:rPr>
        <w:tab/>
      </w:r>
      <w:r>
        <w:rPr>
          <w:rFonts w:cs="Times New Roman" w:ascii="Times New Roman" w:hAnsi="Times New Roman"/>
          <w:b/>
          <w:sz w:val="20"/>
        </w:rPr>
        <w:t>(ii)</w:t>
      </w:r>
      <w:r>
        <w:rPr>
          <w:rFonts w:cs="Times New Roman" w:ascii="Times New Roman" w:hAnsi="Times New Roman"/>
          <w:sz w:val="20"/>
        </w:rPr>
        <w:tab/>
        <w:t xml:space="preserve">Dow Jones shall have the right to amend or update the DJ Terms &amp; Conditions at any time in its sole discretion and Distributor shall incorporate such amended or updated DJ Terms &amp; Conditions within the Distributor Service in accordance with Section 1(b)(i)(D) of this Agreement. </w:t>
      </w:r>
      <w:r>
        <w:br w:type="page"/>
      </w:r>
    </w:p>
    <w:p>
      <w:pPr>
        <w:pStyle w:val="Normal"/>
        <w:spacing w:lineRule="auto" w:line="240"/>
        <w:jc w:val="both"/>
        <w:rPr>
          <w:rFonts w:ascii="Times New Roman" w:hAnsi="Times New Roman" w:cs="Times New Roman"/>
          <w:b/>
          <w:sz w:val="20"/>
        </w:rPr>
      </w:pPr>
      <w:r>
        <w:rPr>
          <w:rFonts w:cs="Times New Roman" w:ascii="Times New Roman" w:hAnsi="Times New Roman"/>
          <w:b/>
          <w:sz w:val="20"/>
        </w:rPr>
        <w:t>(c)</w:t>
        <w:tab/>
        <w:t>Additional License Restrictions.</w:t>
      </w:r>
    </w:p>
    <w:p>
      <w:pPr>
        <w:pStyle w:val="Normal"/>
        <w:keepNext w:val="true"/>
        <w:keepLines/>
        <w:numPr>
          <w:ilvl w:val="0"/>
          <w:numId w:val="3"/>
        </w:numPr>
        <w:tabs>
          <w:tab w:val="clear" w:pos="720"/>
          <w:tab w:val="left" w:pos="0" w:leader="none"/>
        </w:tabs>
        <w:spacing w:lineRule="auto" w:line="240"/>
        <w:ind w:firstLine="1440" w:start="0" w:end="0"/>
        <w:jc w:val="both"/>
        <w:rPr>
          <w:rFonts w:ascii="Times New Roman" w:hAnsi="Times New Roman" w:cs="Times New Roman"/>
          <w:sz w:val="20"/>
        </w:rPr>
      </w:pPr>
      <w:r>
        <w:rPr>
          <w:rFonts w:cs="Times New Roman" w:ascii="Times New Roman" w:hAnsi="Times New Roman"/>
          <w:sz w:val="20"/>
        </w:rPr>
        <w:t xml:space="preserve">Distributor shall not make the Dow Jones Information available to any person other than a Distributor Subscriber (with the exception of Distributor support personnel who require access for customer or product support purposes) or distribute the Dow Jones Information through any means other than through the Distributor Service. </w:t>
      </w:r>
    </w:p>
    <w:p>
      <w:pPr>
        <w:pStyle w:val="Normal"/>
        <w:keepNext w:val="true"/>
        <w:keepLines/>
        <w:numPr>
          <w:ilvl w:val="0"/>
          <w:numId w:val="3"/>
        </w:numPr>
        <w:tabs>
          <w:tab w:val="clear" w:pos="720"/>
          <w:tab w:val="left" w:pos="0" w:leader="none"/>
        </w:tabs>
        <w:spacing w:lineRule="auto" w:line="240"/>
        <w:ind w:firstLine="1440" w:start="0" w:end="0"/>
        <w:jc w:val="both"/>
        <w:rPr>
          <w:rFonts w:ascii="Times New Roman" w:hAnsi="Times New Roman" w:cs="Times New Roman"/>
          <w:sz w:val="20"/>
        </w:rPr>
      </w:pPr>
      <w:r>
        <w:rPr>
          <w:rFonts w:cs="Times New Roman" w:ascii="Times New Roman" w:hAnsi="Times New Roman"/>
          <w:sz w:val="20"/>
        </w:rPr>
        <w:t>Distributor shall not charge Distributor Subscribers specific consideration for access to the Dow Jones Information.</w:t>
      </w:r>
    </w:p>
    <w:p>
      <w:pPr>
        <w:pStyle w:val="Normal"/>
        <w:keepNext w:val="true"/>
        <w:keepLines/>
        <w:numPr>
          <w:ilvl w:val="0"/>
          <w:numId w:val="3"/>
        </w:numPr>
        <w:tabs>
          <w:tab w:val="clear" w:pos="720"/>
          <w:tab w:val="left" w:pos="0" w:leader="none"/>
        </w:tabs>
        <w:spacing w:lineRule="auto" w:line="240"/>
        <w:ind w:firstLine="1440" w:start="0" w:end="0"/>
        <w:jc w:val="both"/>
        <w:rPr>
          <w:rFonts w:ascii="Times New Roman" w:hAnsi="Times New Roman" w:cs="Times New Roman"/>
          <w:sz w:val="20"/>
        </w:rPr>
      </w:pPr>
      <w:r>
        <w:rPr>
          <w:rFonts w:cs="Times New Roman" w:ascii="Times New Roman" w:hAnsi="Times New Roman"/>
          <w:sz w:val="20"/>
        </w:rPr>
        <w:t xml:space="preserve">Distributor shall not authorize making any of the Dow Jones Information available as part of a “co-branded”, “private label”, “channel” or “framing” web site, web service, or Internet access service, or similar arrangements that provide access to Dow Jones Information as a part of other web sites; provided, however, that the foregoing restriction shall not apply to a service such as AOL insofar as it functions merely as an access-provider or web-site organizer and the Distributor Service remains a separate, stand-alone service. </w:t>
      </w:r>
    </w:p>
    <w:p>
      <w:pPr>
        <w:pStyle w:val="Normal"/>
        <w:keepNext w:val="true"/>
        <w:keepLines/>
        <w:numPr>
          <w:ilvl w:val="0"/>
          <w:numId w:val="3"/>
        </w:numPr>
        <w:tabs>
          <w:tab w:val="clear" w:pos="720"/>
          <w:tab w:val="left" w:pos="0" w:leader="none"/>
        </w:tabs>
        <w:spacing w:lineRule="auto" w:line="240"/>
        <w:ind w:firstLine="1440" w:start="0" w:end="0"/>
        <w:jc w:val="both"/>
        <w:rPr>
          <w:rFonts w:ascii="Times New Roman" w:hAnsi="Times New Roman" w:cs="Times New Roman"/>
          <w:sz w:val="20"/>
        </w:rPr>
      </w:pPr>
      <w:r>
        <w:rPr>
          <w:rFonts w:cs="Times New Roman" w:ascii="Times New Roman" w:hAnsi="Times New Roman"/>
          <w:sz w:val="20"/>
        </w:rPr>
        <w:t>Distributor shall not allow the Dow Jones Information to be indexed by a web search engine that is not operated as part of the Distributor Service.</w:t>
      </w:r>
    </w:p>
    <w:p>
      <w:pPr>
        <w:pStyle w:val="Normal"/>
        <w:spacing w:lineRule="auto" w:line="240"/>
        <w:ind w:firstLine="1440" w:end="0"/>
        <w:jc w:val="both"/>
        <w:rPr/>
      </w:pPr>
      <w:r>
        <w:rPr>
          <w:rFonts w:cs="Times New Roman" w:ascii="Times New Roman" w:hAnsi="Times New Roman"/>
          <w:b/>
          <w:sz w:val="20"/>
        </w:rPr>
        <w:t>(v)</w:t>
      </w:r>
      <w:r>
        <w:rPr>
          <w:rFonts w:cs="Times New Roman" w:ascii="Times New Roman" w:hAnsi="Times New Roman"/>
          <w:sz w:val="20"/>
        </w:rPr>
        <w:tab/>
        <w:t>Distributor shall not grant any site or enterprise licenses to receive access to Dow Jones Information, without Dow Jones' prior written consent.</w:t>
      </w:r>
    </w:p>
    <w:p>
      <w:pPr>
        <w:pStyle w:val="Normal"/>
        <w:tabs>
          <w:tab w:val="clear" w:pos="720"/>
          <w:tab w:val="left" w:pos="0" w:leader="none"/>
          <w:tab w:val="left" w:pos="540" w:leader="none"/>
        </w:tabs>
        <w:spacing w:lineRule="auto" w:line="240"/>
        <w:jc w:val="both"/>
        <w:rPr/>
      </w:pPr>
      <w:r>
        <w:rPr>
          <w:rFonts w:cs="Times New Roman" w:ascii="Times New Roman" w:hAnsi="Times New Roman"/>
          <w:b/>
          <w:sz w:val="20"/>
        </w:rPr>
        <w:tab/>
        <w:t>(vi)</w:t>
        <w:tab/>
      </w:r>
      <w:r>
        <w:rPr>
          <w:rFonts w:cs="Times New Roman" w:ascii="Times New Roman" w:hAnsi="Times New Roman"/>
          <w:sz w:val="20"/>
        </w:rPr>
        <w:t>Distributor shall not post the Dow Jones Information in any "public" or "free" area, or area accessible without a password, on the World Wide Web, other than a sample, or demonstration, using non-real-time Dow Jones Information at least ten days old with the original date and time of the story or headline clearly indicated and the form and content having been approved by Dow Jones in advance in writing (“Samples”).  (Distributor can also use Samples in promotional materials, subject to Section 4(b) hereof).</w:t>
      </w:r>
    </w:p>
    <w:p>
      <w:pPr>
        <w:pStyle w:val="Normal"/>
        <w:spacing w:lineRule="auto" w:line="240"/>
        <w:ind w:firstLine="1440" w:end="0"/>
        <w:jc w:val="both"/>
        <w:rPr>
          <w:rFonts w:ascii="Times New Roman" w:hAnsi="Times New Roman" w:cs="Times New Roman"/>
          <w:b/>
          <w:sz w:val="20"/>
        </w:rPr>
      </w:pPr>
      <w:r>
        <w:rPr>
          <w:rFonts w:cs="Times New Roman" w:ascii="Times New Roman" w:hAnsi="Times New Roman"/>
          <w:b/>
          <w:sz w:val="20"/>
        </w:rPr>
        <w:t>(vii)</w:t>
        <w:tab/>
      </w:r>
      <w:r>
        <w:rPr>
          <w:rFonts w:cs="Times New Roman" w:ascii="Times New Roman" w:hAnsi="Times New Roman"/>
          <w:sz w:val="20"/>
        </w:rPr>
        <w:t>Except as specifically provided herein, Distributor shall not use, store, manipulate, distribute or otherwise make available, any Dow Jones Information without the prior written consent of Dow Jones. In addition, Distributor shall advise, by means of a disclaimer approved in advance by Dow Jones, each third party who obtains access to Dow Jones Information (including, without limitation, any Distributor Subscriber) not to use, store, manipulate, distribute or otherwise make available, any Dow Jones Information without the prior written consent of Dow Jones.</w:t>
      </w:r>
    </w:p>
    <w:p>
      <w:pPr>
        <w:pStyle w:val="Heading2"/>
        <w:keepNext w:val="false"/>
        <w:keepLines w:val="false"/>
        <w:spacing w:lineRule="auto" w:line="240"/>
        <w:ind w:firstLine="1440" w:start="0" w:end="0"/>
        <w:jc w:val="both"/>
        <w:rPr>
          <w:rFonts w:ascii="Times New Roman" w:hAnsi="Times New Roman" w:cs="Times New Roman"/>
          <w:sz w:val="20"/>
        </w:rPr>
      </w:pPr>
      <w:r>
        <w:rPr>
          <w:rFonts w:cs="Times New Roman" w:ascii="Times New Roman" w:hAnsi="Times New Roman"/>
          <w:sz w:val="20"/>
        </w:rPr>
        <w:t>(viii)</w:t>
        <w:tab/>
      </w:r>
      <w:r>
        <w:rPr>
          <w:rFonts w:cs="Times New Roman" w:ascii="Times New Roman" w:hAnsi="Times New Roman"/>
          <w:b w:val="false"/>
          <w:sz w:val="20"/>
        </w:rPr>
        <w:t>Distributor shall not edit, alter or otherwise change in any manner the content of the Dow Jones Information, including, without limitation, the time and date information applicable to each headline and story and all copyright and proprietary rights notices.</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2.</w:t>
        <w:tab/>
        <w:t>Conditions.</w:t>
      </w:r>
    </w:p>
    <w:p>
      <w:pPr>
        <w:pStyle w:val="Normal"/>
        <w:spacing w:lineRule="auto" w:line="240"/>
        <w:jc w:val="both"/>
        <w:rPr/>
      </w:pPr>
      <w:r>
        <w:rPr>
          <w:rFonts w:cs="Times New Roman" w:ascii="Times New Roman" w:hAnsi="Times New Roman"/>
          <w:b/>
          <w:sz w:val="20"/>
        </w:rPr>
        <w:t>(a)</w:t>
        <w:tab/>
        <w:t xml:space="preserve">Delivery and Installation.  </w:t>
      </w:r>
      <w:r>
        <w:rPr>
          <w:rFonts w:cs="Times New Roman" w:ascii="Times New Roman" w:hAnsi="Times New Roman"/>
          <w:sz w:val="20"/>
        </w:rPr>
        <w:t>Distributor shall acquire, install, operate and maintain at its expense all communications lines, equipment, software, services and related technology necessary to receive the Dow Jones Information via the Delivery Method.  Distributor also shall be responsible for, and shall bear the cost of, any development work, software or hardware relating to the setup and integration of the Dow Jones Information as part of the Distributor Service including the formatting, timing, storage and other limitations as defined in Exhibit B.</w:t>
      </w:r>
    </w:p>
    <w:p>
      <w:pPr>
        <w:pStyle w:val="Normal"/>
        <w:spacing w:lineRule="auto" w:line="240"/>
        <w:jc w:val="both"/>
        <w:rPr/>
      </w:pPr>
      <w:r>
        <w:rPr>
          <w:rFonts w:cs="Times New Roman" w:ascii="Times New Roman" w:hAnsi="Times New Roman"/>
          <w:b/>
          <w:sz w:val="20"/>
        </w:rPr>
        <w:t>(b)</w:t>
      </w:r>
      <w:r>
        <w:rPr>
          <w:rFonts w:cs="Times New Roman" w:ascii="Times New Roman" w:hAnsi="Times New Roman"/>
          <w:sz w:val="20"/>
        </w:rPr>
        <w:tab/>
      </w:r>
      <w:r>
        <w:rPr>
          <w:rFonts w:cs="Times New Roman" w:ascii="Times New Roman" w:hAnsi="Times New Roman"/>
          <w:b/>
          <w:sz w:val="20"/>
        </w:rPr>
        <w:t>Presentation</w:t>
      </w:r>
      <w:r>
        <w:rPr>
          <w:rFonts w:cs="Times New Roman" w:ascii="Times New Roman" w:hAnsi="Times New Roman"/>
          <w:sz w:val="20"/>
        </w:rPr>
        <w:t xml:space="preserve">. </w:t>
      </w:r>
      <w:r>
        <w:rPr>
          <w:rFonts w:cs="Times New Roman" w:ascii="Times New Roman" w:hAnsi="Times New Roman"/>
          <w:b/>
          <w:sz w:val="20"/>
        </w:rPr>
        <w:t xml:space="preserve"> </w:t>
      </w:r>
      <w:r>
        <w:rPr>
          <w:rFonts w:cs="Times New Roman" w:ascii="Times New Roman" w:hAnsi="Times New Roman"/>
          <w:sz w:val="20"/>
        </w:rPr>
        <w:t xml:space="preserve">Distributor shall insure that the Dow Jones Information available through the Distributor Service is (i) presented substantially as appears on the web page attached hereto as Exhibit E, (ii) featured at least as prominently as are the news services of other news service providers, and (iii) clearly identified as content from Dow Jones.  Any substantial changes to the design of the pages on which Dow Jones Information is to be displayed shall be subject to Dow Jones prior approval. </w:t>
      </w:r>
    </w:p>
    <w:p>
      <w:pPr>
        <w:pStyle w:val="Normal"/>
        <w:spacing w:lineRule="auto" w:line="240"/>
        <w:jc w:val="both"/>
        <w:rPr/>
      </w:pPr>
      <w:r>
        <w:rPr>
          <w:rFonts w:cs="Times New Roman" w:ascii="Times New Roman" w:hAnsi="Times New Roman"/>
          <w:b/>
          <w:sz w:val="20"/>
        </w:rPr>
        <w:t>(c)</w:t>
        <w:tab/>
        <w:t xml:space="preserve">Speed and Quality of Transmissions.  </w:t>
      </w:r>
      <w:r>
        <w:rPr>
          <w:rFonts w:cs="Times New Roman" w:ascii="Times New Roman" w:hAnsi="Times New Roman"/>
          <w:sz w:val="20"/>
        </w:rPr>
        <w:t>Distributor shall use its reasonable efforts to insure that each transmission of Dow Jones Information (i) is free from errors or defects, and (ii) with the exception of isolated short-term technical difficulties and any scheduled maintenance, is made available to Distributor Subscribers in real time, without delay after receipt from Dow Jones.</w:t>
      </w:r>
    </w:p>
    <w:p>
      <w:pPr>
        <w:pStyle w:val="Normal"/>
        <w:numPr>
          <w:ilvl w:val="0"/>
          <w:numId w:val="2"/>
        </w:numPr>
        <w:tabs>
          <w:tab w:val="clear" w:pos="720"/>
          <w:tab w:val="left" w:pos="90" w:leader="none"/>
        </w:tabs>
        <w:spacing w:lineRule="auto" w:line="240"/>
        <w:ind w:firstLine="720" w:start="0" w:end="0"/>
        <w:jc w:val="both"/>
        <w:rPr>
          <w:rFonts w:ascii="Times New Roman" w:hAnsi="Times New Roman" w:cs="Times New Roman"/>
          <w:sz w:val="20"/>
        </w:rPr>
      </w:pPr>
      <w:r>
        <w:rPr>
          <w:rFonts w:cs="Times New Roman" w:ascii="Times New Roman" w:hAnsi="Times New Roman"/>
          <w:b/>
          <w:sz w:val="20"/>
        </w:rPr>
        <w:t xml:space="preserve">Specifications.  </w:t>
      </w:r>
      <w:r>
        <w:rPr>
          <w:rFonts w:cs="Times New Roman" w:ascii="Times New Roman" w:hAnsi="Times New Roman"/>
          <w:sz w:val="20"/>
        </w:rPr>
        <w:t>Distributor shall adhere to the Dow Jones Composite Feed specifications, a copy of which has been provided to Distributor, and any updates thereof delivered to Distributor.  Distributor shall not store, and shall dispose of, any codes and content it receives from Dow Jones hereunder other than the Dow Jones Information licensed hereunder.</w:t>
      </w:r>
    </w:p>
    <w:p>
      <w:pPr>
        <w:pStyle w:val="Normal"/>
        <w:numPr>
          <w:ilvl w:val="0"/>
          <w:numId w:val="2"/>
        </w:numPr>
        <w:tabs>
          <w:tab w:val="clear" w:pos="720"/>
          <w:tab w:val="left" w:pos="0" w:leader="none"/>
          <w:tab w:val="left" w:pos="1440" w:leader="none"/>
          <w:tab w:val="left" w:pos="3960" w:leader="none"/>
        </w:tabs>
        <w:spacing w:lineRule="auto" w:line="240"/>
        <w:ind w:firstLine="720" w:start="0" w:end="0"/>
        <w:jc w:val="both"/>
        <w:rPr>
          <w:rFonts w:ascii="Times New Roman" w:hAnsi="Times New Roman" w:cs="Times New Roman"/>
          <w:sz w:val="20"/>
        </w:rPr>
      </w:pPr>
      <w:r>
        <w:rPr>
          <w:rFonts w:cs="Times New Roman" w:ascii="Times New Roman" w:hAnsi="Times New Roman"/>
          <w:b/>
          <w:sz w:val="20"/>
        </w:rPr>
        <w:t>Launch Date.</w:t>
      </w:r>
      <w:r>
        <w:rPr>
          <w:rFonts w:cs="Times New Roman" w:ascii="Times New Roman" w:hAnsi="Times New Roman"/>
          <w:sz w:val="20"/>
        </w:rPr>
        <w:t xml:space="preserve">  The parties agree that the Distributor Service incorporating the Dow Jones Information will be launched on ________________________, unless an earlier or later date is approved by Dow Jones in writing (which approval shall not be unreasonably withheld) (the “Launch Date”).  </w:t>
      </w:r>
    </w:p>
    <w:p>
      <w:pPr>
        <w:pStyle w:val="Normal"/>
        <w:spacing w:lineRule="auto" w:line="240"/>
        <w:jc w:val="both"/>
        <w:rPr/>
      </w:pPr>
      <w:r>
        <w:rPr>
          <w:rFonts w:cs="Times New Roman" w:ascii="Times New Roman" w:hAnsi="Times New Roman"/>
          <w:b/>
          <w:sz w:val="20"/>
        </w:rPr>
        <w:t>(f)</w:t>
      </w:r>
      <w:r>
        <w:rPr>
          <w:rFonts w:cs="Times New Roman" w:ascii="Times New Roman" w:hAnsi="Times New Roman"/>
          <w:sz w:val="20"/>
        </w:rPr>
        <w:tab/>
        <w:t>Distributor shall provide Dow Jones with fifteen (15) passwords and any applicable software for the Distributor Service to enable Dow Jones to monitor free of charge the distribution of the Dow Jones Information via the Distributor Service.</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3.</w:t>
        <w:tab/>
        <w:t>Proprietary Rights.</w:t>
      </w:r>
    </w:p>
    <w:p>
      <w:pPr>
        <w:pStyle w:val="Normal"/>
        <w:spacing w:lineRule="auto" w:line="240"/>
        <w:jc w:val="both"/>
        <w:rPr/>
      </w:pPr>
      <w:r>
        <w:rPr>
          <w:rFonts w:cs="Times New Roman" w:ascii="Times New Roman" w:hAnsi="Times New Roman"/>
          <w:b/>
          <w:sz w:val="20"/>
        </w:rPr>
        <w:t>(a)</w:t>
        <w:tab/>
        <w:t xml:space="preserve">Ownership; Copyright.  </w:t>
      </w:r>
      <w:r>
        <w:rPr>
          <w:rFonts w:cs="Times New Roman" w:ascii="Times New Roman" w:hAnsi="Times New Roman"/>
          <w:sz w:val="20"/>
        </w:rPr>
        <w:t xml:space="preserve">Distributor acknowledges that Dow Jones has asserted that, as between Distributor and Dow Jones, all ownership and proprietary rights (including, without limitation, the copyrights) to the Dow Jones Information are and shall remain the sole and exclusive property of Dow Jones or its licensors.  </w:t>
      </w:r>
    </w:p>
    <w:p>
      <w:pPr>
        <w:pStyle w:val="Normal"/>
        <w:spacing w:lineRule="auto" w:line="240"/>
        <w:jc w:val="both"/>
        <w:rPr/>
      </w:pPr>
      <w:r>
        <w:rPr>
          <w:rFonts w:cs="Times New Roman" w:ascii="Times New Roman" w:hAnsi="Times New Roman"/>
          <w:b/>
          <w:sz w:val="20"/>
        </w:rPr>
        <w:t>(b)</w:t>
      </w:r>
      <w:r>
        <w:rPr>
          <w:rFonts w:cs="Times New Roman" w:ascii="Times New Roman" w:hAnsi="Times New Roman"/>
          <w:sz w:val="20"/>
        </w:rPr>
        <w:tab/>
      </w:r>
      <w:r>
        <w:rPr>
          <w:rFonts w:cs="Times New Roman" w:ascii="Times New Roman" w:hAnsi="Times New Roman"/>
          <w:b/>
          <w:sz w:val="20"/>
        </w:rPr>
        <w:t>Trademarks.</w:t>
      </w:r>
      <w:r>
        <w:rPr>
          <w:rFonts w:cs="Times New Roman" w:ascii="Times New Roman" w:hAnsi="Times New Roman"/>
          <w:sz w:val="20"/>
        </w:rPr>
        <w:t xml:space="preserve">  Distributor acknowledges that Dow Jones has asserted that, as between Distributor and Dow Jones, Dow Jones or its licensors are the sole owners of the trademarks and service marks ("Marks") used in connection with the Dow Jones Information and that nothing contained in this Agreement grants Distributor any right to use any Dow Jones Mark, logo or trade name, except as expressly provided in this Agreement.</w:t>
      </w:r>
    </w:p>
    <w:p>
      <w:pPr>
        <w:pStyle w:val="Normal"/>
        <w:spacing w:lineRule="auto" w:line="240"/>
        <w:jc w:val="both"/>
        <w:rPr/>
      </w:pPr>
      <w:r>
        <w:rPr>
          <w:rFonts w:cs="Times New Roman" w:ascii="Times New Roman" w:hAnsi="Times New Roman"/>
          <w:b/>
          <w:sz w:val="20"/>
        </w:rPr>
        <w:t>(c)</w:t>
        <w:tab/>
        <w:t xml:space="preserve">Infringement.  </w:t>
      </w:r>
      <w:r>
        <w:rPr>
          <w:rFonts w:cs="Times New Roman" w:ascii="Times New Roman" w:hAnsi="Times New Roman"/>
          <w:sz w:val="20"/>
        </w:rPr>
        <w:t>Distributor shall promptly advise Dow Jones of any possible infringement of which Distributor becomes aware of any of Dow Jones' Marks, copyrights, trade secrets or other proprietary rights, or any use of the Dow Jones Information in violation of this Agreement.</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4.</w:t>
        <w:tab/>
        <w:t>Advertising; Promotion; Free Trials.</w:t>
      </w:r>
    </w:p>
    <w:p>
      <w:pPr>
        <w:pStyle w:val="Normal"/>
        <w:spacing w:lineRule="auto" w:line="240"/>
        <w:jc w:val="both"/>
        <w:rPr/>
      </w:pPr>
      <w:r>
        <w:rPr>
          <w:rFonts w:cs="Times New Roman" w:ascii="Times New Roman" w:hAnsi="Times New Roman"/>
          <w:b/>
          <w:sz w:val="20"/>
        </w:rPr>
        <w:t>(a)</w:t>
        <w:tab/>
        <w:t>Advertising</w:t>
      </w:r>
      <w:r>
        <w:rPr>
          <w:rFonts w:cs="Times New Roman" w:ascii="Times New Roman" w:hAnsi="Times New Roman"/>
          <w:sz w:val="20"/>
        </w:rPr>
        <w:t>.  The Distributor Service shall not include third party advertising or promotional materials on the same screen display or web page as any Dow Jones Information unless otherwise expressly agreed to by the parties, including without limitation with respect to the applicable financial terms.  In the event Dow Jones does so agree in its sole discretion, Distributor shall cause all advertising or promotional material that appears on the same screen display or web page as any Dow Jones Information to comply with the then-current Dow Jones Advertising Guidelines, as amended from time to time by Dow Jones in its sole discretion (the "Ad Guidelines").  The current version of the Ad Guidelines are attached as Exhibit G.  Dow Jones will deliver at least 30 days' advance notice prior to amending the Ad Guidelines.</w:t>
      </w:r>
    </w:p>
    <w:p>
      <w:pPr>
        <w:pStyle w:val="Normal"/>
        <w:spacing w:lineRule="auto" w:line="240"/>
        <w:jc w:val="both"/>
        <w:rPr/>
      </w:pPr>
      <w:r>
        <w:rPr>
          <w:rFonts w:cs="Times New Roman" w:ascii="Times New Roman" w:hAnsi="Times New Roman"/>
          <w:b/>
          <w:sz w:val="20"/>
        </w:rPr>
        <w:t>(b)</w:t>
      </w:r>
      <w:r>
        <w:rPr>
          <w:rFonts w:cs="Times New Roman" w:ascii="Times New Roman" w:hAnsi="Times New Roman"/>
          <w:sz w:val="20"/>
        </w:rPr>
        <w:tab/>
      </w:r>
      <w:r>
        <w:rPr>
          <w:rFonts w:cs="Times New Roman" w:ascii="Times New Roman" w:hAnsi="Times New Roman"/>
          <w:b/>
          <w:sz w:val="20"/>
        </w:rPr>
        <w:t xml:space="preserve">Promotional Materials.  </w:t>
      </w:r>
      <w:r>
        <w:rPr>
          <w:rFonts w:cs="Times New Roman" w:ascii="Times New Roman" w:hAnsi="Times New Roman"/>
          <w:sz w:val="20"/>
        </w:rPr>
        <w:t>Distributor shall not make, publish or distribute or cooperate with any third party in making, publishing or distributing any public announcements, press releases, advertising, marketing, promotional or other materials (whether in print, electronically or otherwise) ("Materials") that use Dow Jones’ name, logos, or Marks with regard to the execution or performance of this Agreement, without the prior written approval of Dow Jones.  If Dow Jones has not notified Distributor of its disapproval within ten (10) business</w:t>
      </w:r>
      <w:r>
        <w:rPr>
          <w:rFonts w:cs="Times New Roman" w:ascii="Times New Roman" w:hAnsi="Times New Roman"/>
          <w:b/>
          <w:sz w:val="20"/>
        </w:rPr>
        <w:t xml:space="preserve"> </w:t>
      </w:r>
      <w:r>
        <w:rPr>
          <w:rFonts w:cs="Times New Roman" w:ascii="Times New Roman" w:hAnsi="Times New Roman"/>
          <w:sz w:val="20"/>
        </w:rPr>
        <w:t>days after Dow Jones has received the samples of a particular item of Material, such Material shall be deemed approved.  The parties shall designate contacts, including any back up contacts, for purposes of this Section.  Any breach by Distributor of this Section shall be deemed an incurable default under this Agreement and in the event of such breach, Dow Jones may immediately terminate this Agreement upon notice to Distributor.</w:t>
      </w:r>
    </w:p>
    <w:p>
      <w:pPr>
        <w:pStyle w:val="Normal"/>
        <w:jc w:val="both"/>
        <w:rPr>
          <w:rFonts w:ascii="Times New Roman" w:hAnsi="Times New Roman" w:cs="Times New Roman"/>
          <w:b/>
          <w:sz w:val="20"/>
        </w:rPr>
      </w:pPr>
      <w:r>
        <w:rPr>
          <w:rFonts w:cs="Times New Roman" w:ascii="Times New Roman" w:hAnsi="Times New Roman"/>
          <w:b/>
          <w:sz w:val="20"/>
        </w:rPr>
        <w:t>(c)</w:t>
        <w:tab/>
        <w:t xml:space="preserve">Free Trials.  </w:t>
      </w:r>
      <w:r>
        <w:rPr>
          <w:rFonts w:cs="Times New Roman" w:ascii="Times New Roman" w:hAnsi="Times New Roman"/>
          <w:sz w:val="20"/>
        </w:rPr>
        <w:t>Distributor may deliver the Distributor Service incorporating the Dow Jones Information to Distributor Subscribers (who have assets on account with, and/or have completed a trade with, Distributor) on a trial basis for thirty (30) consecutive days and Dow Jones agrees that it will not charge any fees in respect of such potential Distributor Subscribers during the trial period, provided that: (i) Distributor shall cause each such potential Distributor Subscriber to be legally bound by the Dow Jones Terms and Conditions, (ii) Distributor shall not offer such a free trial to any potential Distributor Subscriber more than once during any calendar year without Dow Jones' prior written consent, and (iii) Distributor shall immediately terminate delivery at the end of the trial period.  Such potential Distributor Subscribers who are given access to Dow Jones Information beyond the 30 day trial period after the Effective Date shall be counted as Distributor Subscribers for payment purposes hereunder, notwithstanding anything to the contrary in Section 5(a).</w:t>
      </w:r>
    </w:p>
    <w:p>
      <w:pPr>
        <w:pStyle w:val="Heading2"/>
        <w:spacing w:lineRule="auto" w:line="240"/>
        <w:jc w:val="both"/>
        <w:rPr>
          <w:rFonts w:ascii="Times New Roman" w:hAnsi="Times New Roman" w:cs="Times New Roman"/>
          <w:b w:val="false"/>
          <w:sz w:val="20"/>
        </w:rPr>
      </w:pPr>
      <w:r>
        <w:rPr>
          <w:rFonts w:cs="Times New Roman" w:ascii="Times New Roman" w:hAnsi="Times New Roman"/>
          <w:sz w:val="20"/>
        </w:rPr>
        <w:t>5.</w:t>
      </w:r>
      <w:r>
        <w:rPr>
          <w:rFonts w:cs="Times New Roman" w:ascii="Times New Roman" w:hAnsi="Times New Roman"/>
          <w:b w:val="false"/>
          <w:sz w:val="20"/>
        </w:rPr>
        <w:tab/>
      </w:r>
      <w:r>
        <w:rPr>
          <w:rFonts w:cs="Times New Roman" w:ascii="Times New Roman" w:hAnsi="Times New Roman"/>
          <w:sz w:val="20"/>
        </w:rPr>
        <w:t>Payments.</w:t>
      </w:r>
    </w:p>
    <w:p>
      <w:pPr>
        <w:pStyle w:val="Normal"/>
        <w:keepNext w:val="true"/>
        <w:keepLines/>
        <w:spacing w:lineRule="auto" w:line="240"/>
        <w:jc w:val="both"/>
        <w:rPr/>
      </w:pPr>
      <w:r>
        <w:rPr>
          <w:rFonts w:cs="Times New Roman" w:ascii="Times New Roman" w:hAnsi="Times New Roman"/>
          <w:b/>
          <w:sz w:val="20"/>
        </w:rPr>
        <w:t>(a)</w:t>
        <w:tab/>
        <w:t>Calculation of Payments.</w:t>
      </w:r>
      <w:r>
        <w:rPr>
          <w:rFonts w:cs="Times New Roman" w:ascii="Times New Roman" w:hAnsi="Times New Roman"/>
          <w:sz w:val="20"/>
        </w:rPr>
        <w:t xml:space="preserve">  Beginning on _______________, Distributor shall pay to Dow Jones the payments ("Payments") defined in Exhibit F at the times set forth in Section 5(c).</w:t>
      </w:r>
    </w:p>
    <w:p>
      <w:pPr>
        <w:pStyle w:val="Normal"/>
        <w:spacing w:lineRule="auto" w:line="240"/>
        <w:jc w:val="both"/>
        <w:rPr/>
      </w:pPr>
      <w:r>
        <w:rPr>
          <w:rFonts w:cs="Times New Roman" w:ascii="Times New Roman" w:hAnsi="Times New Roman"/>
          <w:b/>
          <w:sz w:val="20"/>
        </w:rPr>
        <w:t>(b)</w:t>
        <w:tab/>
        <w:t xml:space="preserve">Payment.  </w:t>
      </w:r>
      <w:r>
        <w:rPr>
          <w:rFonts w:cs="Times New Roman" w:ascii="Times New Roman" w:hAnsi="Times New Roman"/>
          <w:sz w:val="20"/>
        </w:rPr>
        <w:t>Within fifteen (15) days after the end of each calendar month, Distributor shall deliver to Dow Jones a statement of the number of Distributor Subscribers for such month.  Dow Jones shall issue an invoice to Distributor based on such statement and, within three weeks of Distributor’s receipt of such invoice, Distributor shall issue a check to Dow Jones for the invoiced amount.</w:t>
      </w:r>
    </w:p>
    <w:p>
      <w:pPr>
        <w:pStyle w:val="Normal"/>
        <w:spacing w:lineRule="auto" w:line="240"/>
        <w:jc w:val="both"/>
        <w:rPr/>
      </w:pPr>
      <w:r>
        <w:rPr>
          <w:rFonts w:cs="Times New Roman" w:ascii="Times New Roman" w:hAnsi="Times New Roman"/>
          <w:b/>
          <w:sz w:val="20"/>
        </w:rPr>
        <w:t>(c)</w:t>
      </w:r>
      <w:r>
        <w:rPr>
          <w:rFonts w:cs="Times New Roman" w:ascii="Times New Roman" w:hAnsi="Times New Roman"/>
          <w:sz w:val="20"/>
        </w:rPr>
        <w:tab/>
      </w:r>
      <w:r>
        <w:rPr>
          <w:rFonts w:cs="Times New Roman" w:ascii="Times New Roman" w:hAnsi="Times New Roman"/>
          <w:b/>
          <w:sz w:val="20"/>
        </w:rPr>
        <w:t>Taxes.</w:t>
      </w:r>
      <w:r>
        <w:rPr>
          <w:rFonts w:cs="Times New Roman" w:ascii="Times New Roman" w:hAnsi="Times New Roman"/>
          <w:sz w:val="20"/>
        </w:rPr>
        <w:t xml:space="preserve">  Distributor shall pay any taxes, fees and similar governmental charges related to the execution or performance of this Agreement, other than applicable income taxes imposed on Dow Jones related to its receipt of Payments.</w:t>
      </w:r>
    </w:p>
    <w:p>
      <w:pPr>
        <w:pStyle w:val="Normal"/>
        <w:spacing w:lineRule="auto" w:line="240"/>
        <w:jc w:val="both"/>
        <w:rPr/>
      </w:pPr>
      <w:r>
        <w:rPr>
          <w:rFonts w:cs="Times New Roman" w:ascii="Times New Roman" w:hAnsi="Times New Roman"/>
          <w:b/>
          <w:sz w:val="20"/>
        </w:rPr>
        <w:t>(d)</w:t>
        <w:tab/>
        <w:t>Maintenance and Inspection of Records.</w:t>
      </w:r>
      <w:r>
        <w:rPr>
          <w:rFonts w:cs="Times New Roman" w:ascii="Times New Roman" w:hAnsi="Times New Roman"/>
          <w:sz w:val="20"/>
        </w:rPr>
        <w:t xml:space="preserve">  Distributor shall maintain complete and accurate books and records, in accordance with generally accepted accounting practices, of all matters related to its compliance with its obligations hereunder ("Records").  Dow Jones shall have the right itself, or through its authorized representatives, upon at least 30 days' prior written notice to inspect the Records of Distributor during normal business hours once per year, </w:t>
      </w:r>
      <w:r>
        <w:rPr>
          <w:rFonts w:cs="Times New Roman" w:ascii="Times New Roman" w:hAnsi="Times New Roman"/>
          <w:sz w:val="20"/>
          <w:u w:val="single"/>
        </w:rPr>
        <w:t>provided</w:t>
      </w:r>
      <w:r>
        <w:rPr>
          <w:rFonts w:cs="Times New Roman" w:ascii="Times New Roman" w:hAnsi="Times New Roman"/>
          <w:sz w:val="20"/>
        </w:rPr>
        <w:t xml:space="preserve"> that Dow Jones shall have such right in response to a default by Distributor on any of its obligation hereunder, without a limitation on the number per year; and </w:t>
      </w:r>
      <w:r>
        <w:rPr>
          <w:rFonts w:cs="Times New Roman" w:ascii="Times New Roman" w:hAnsi="Times New Roman"/>
          <w:sz w:val="20"/>
          <w:u w:val="single"/>
        </w:rPr>
        <w:t>provided further</w:t>
      </w:r>
      <w:r>
        <w:rPr>
          <w:rFonts w:cs="Times New Roman" w:ascii="Times New Roman" w:hAnsi="Times New Roman"/>
          <w:sz w:val="20"/>
        </w:rPr>
        <w:t xml:space="preserve"> that if such an inspection reveals an underpayment to Dow Jones of more than 4%, the cost of such inspection shall be paid by Distributor.  Dow Jones will keep confidential all information gained from such inspection, and use it solely for the purpose of verifying compliance with the terms hereof.</w:t>
      </w:r>
    </w:p>
    <w:p>
      <w:pPr>
        <w:pStyle w:val="Normal"/>
        <w:spacing w:lineRule="auto" w:line="240"/>
        <w:jc w:val="both"/>
        <w:rPr/>
      </w:pPr>
      <w:r>
        <w:rPr>
          <w:rFonts w:cs="Times New Roman" w:ascii="Times New Roman" w:hAnsi="Times New Roman"/>
          <w:b/>
          <w:sz w:val="20"/>
        </w:rPr>
        <w:t>(e)</w:t>
        <w:tab/>
        <w:t xml:space="preserve">Currency.  </w:t>
      </w:r>
      <w:r>
        <w:rPr>
          <w:rFonts w:cs="Times New Roman" w:ascii="Times New Roman" w:hAnsi="Times New Roman"/>
          <w:sz w:val="20"/>
        </w:rPr>
        <w:t>All amounts are stated in U.S. Dollars and shall be paid in U.S. currency.</w:t>
      </w:r>
    </w:p>
    <w:p>
      <w:pPr>
        <w:pStyle w:val="Normal"/>
        <w:spacing w:lineRule="auto" w:line="240"/>
        <w:ind w:hanging="0" w:end="0"/>
        <w:jc w:val="both"/>
        <w:rPr/>
      </w:pPr>
      <w:r>
        <w:rPr>
          <w:rFonts w:cs="Times New Roman" w:ascii="Times New Roman" w:hAnsi="Times New Roman"/>
          <w:b/>
          <w:sz w:val="20"/>
        </w:rPr>
        <w:t>6.</w:t>
        <w:tab/>
        <w:t xml:space="preserve">Disclaimer.  </w:t>
      </w:r>
      <w:r>
        <w:rPr>
          <w:rFonts w:cs="Times New Roman" w:ascii="Times New Roman" w:hAnsi="Times New Roman"/>
          <w:sz w:val="20"/>
        </w:rPr>
        <w:t>DISTRIBUTOR AGREES THAT NEITHER DOW JONES NOR ANY OF ITS DISTRIBUTORS, AFFILIATES, AGENTS OR LICENSORS WARRANTS THE ACCURACY, COMPLETENESS, CURRENTNESS, MERCHANTABILITY OR FITNESS FOR A PARTICULAR PURPOSE OF THE DOW JONES INFORMATION.  IN NO EVENT WILL DOW JONES OR ANY OF ITS DISTRIBUTORS, AFFILIATES, AGENTS OR LICENSORS BE LIABLE FOR ANY LOSS, INCLUDING CONSEQUENTIAL, SPECIAL OR SIMILAR DAMAGES, RESULTING DIRECTLY OR INDIRECTLY FROM DISTRIBUTOR’S USE OF THE DOW JONES INFORMATION OR FROM ANY DECISION MADE OR ACTION TAKEN BY DISTRIBUTOR OR ANY THIRD PARTY IN RELIANCE UPON INFORMATION CONTAINED IN THE DOW JONES INFORMATION, EVEN IF ADVISED OF THE POSSIBILITY OF SUCH DAMAGES.  IN NO EVENT SHALL THE LIABILITY OF DOW JONES, ITS DISTRIBUTORS, AFFILIATES, AGENTS AND LICENSORS ARISING OUT OF ANY CLAIM RELATED TO THIS AGREEMENT EXCEED THE AGGREGATE AMOUNT PAID BY DISTRIBUTOR HEREUNDER IN THE 2 MONTHS IMMEDIATELY PRECEDING THE EVENT GIVING RISE TO SUCH CLAIM.</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7.</w:t>
        <w:tab/>
        <w:t>Term and Termination.</w:t>
      </w:r>
    </w:p>
    <w:p>
      <w:pPr>
        <w:pStyle w:val="Heading2"/>
        <w:keepNext w:val="false"/>
        <w:keepLines w:val="false"/>
        <w:spacing w:lineRule="auto" w:line="240"/>
        <w:ind w:hanging="0" w:start="0" w:end="-14"/>
        <w:jc w:val="both"/>
        <w:rPr/>
      </w:pPr>
      <w:r>
        <w:rPr>
          <w:rFonts w:cs="Times New Roman" w:ascii="Times New Roman" w:hAnsi="Times New Roman"/>
          <w:sz w:val="20"/>
        </w:rPr>
        <w:tab/>
        <w:t>(a)</w:t>
        <w:tab/>
        <w:t xml:space="preserve">Term; Liquidated Damages.  </w:t>
      </w:r>
      <w:r>
        <w:rPr>
          <w:rFonts w:cs="Times New Roman" w:ascii="Times New Roman" w:hAnsi="Times New Roman"/>
          <w:b w:val="false"/>
          <w:sz w:val="20"/>
        </w:rPr>
        <w:t>The term of this Agreement shall commence on the Effective Date and, unless terminated earlier in accordance herewith, shall continue for a period of eighteen (18) months.  This Agreement shall renew thereafter automatically on the same terms and conditions for additional successive periods of eighteen (18) months unless either party gives the other at least 60 days written notice of its intention not to renew on the same terms and conditions.  Notwithstanding the foregoing, this Agreement shall automatically terminate upon the expiration or termination of the ________________________ Subscription Agreement dated as of _________________ between Dow Jones and Distributor.  If Distributor terminates this Agreement other than (i) by reason of a default by Dow Jones, or (ii) in accordance with Section 7(b) hereof, Distributor shall pay to Dow Jones as liquidated damages (and not as a penalty), in addition to any amounts that may be due under the Agreement, an amount equal to the Minimum Monthly Charge set out on Exhibit F hereto times the number of months remaining in the initial term or the renewal term, as the case may be.</w:t>
      </w:r>
    </w:p>
    <w:p>
      <w:pPr>
        <w:pStyle w:val="Normal"/>
        <w:spacing w:lineRule="auto" w:line="240"/>
        <w:jc w:val="both"/>
        <w:rPr/>
      </w:pPr>
      <w:r>
        <w:rPr>
          <w:rFonts w:cs="Times New Roman" w:ascii="Times New Roman" w:hAnsi="Times New Roman"/>
          <w:b/>
          <w:sz w:val="20"/>
        </w:rPr>
        <w:t>(b)</w:t>
        <w:tab/>
        <w:t xml:space="preserve">Insolvency.  </w:t>
      </w:r>
      <w:r>
        <w:rPr>
          <w:rFonts w:cs="Times New Roman" w:ascii="Times New Roman" w:hAnsi="Times New Roman"/>
          <w:sz w:val="20"/>
        </w:rPr>
        <w:t>In the event that either party shall be adjudged insolvent or bankrupt, or upon the institution of any proceedings by it seeking relief, reorganization or arrangement under any laws relating to insolvency, or if an involuntary petition in bankruptcy is filed against such party and said petition is not discharged within 60 days after such filing, or upon any assignment for the benefit of its creditors, or upon the appointment of a receiver, liquidator or trustee of any of its assets, or upon the liquidation, dissolution or winding up of its business (an "Event of Bankruptcy"), then the party affected by any such Event of Bankruptcy shall immediately give notice thereof to the other party, and the other party at its option may terminate this Agreement, and the licenses granted hereunder, upon written notice.</w:t>
      </w:r>
    </w:p>
    <w:p>
      <w:pPr>
        <w:pStyle w:val="Normal"/>
        <w:spacing w:lineRule="auto" w:line="240"/>
        <w:jc w:val="both"/>
        <w:rPr/>
      </w:pPr>
      <w:r>
        <w:rPr>
          <w:rFonts w:cs="Times New Roman" w:ascii="Times New Roman" w:hAnsi="Times New Roman"/>
          <w:b/>
          <w:sz w:val="20"/>
        </w:rPr>
        <w:t>(c)</w:t>
        <w:tab/>
        <w:t xml:space="preserve">Change in Control.  </w:t>
      </w:r>
      <w:r>
        <w:rPr>
          <w:rFonts w:cs="Times New Roman" w:ascii="Times New Roman" w:hAnsi="Times New Roman"/>
          <w:sz w:val="20"/>
        </w:rPr>
        <w:t>If there is a direct or indirect change in the effective voting control of Distributor, or if Distributor merges into or is acquired by a third party, or if Distributor sells or transfers the Distributor Service or all or substantially all of the assets of the business unit containing the Distributor Service to a third party (a "Change in Control") other than an affiliate as of the date hereof, or a future affiliate with the consent of Dow Jones (such consent not to be unreasonably withheld), then Distributor shall give prompt written notice thereof to Dow Jones, and Dow Jones at its option may, within 30 days after receipt of such notice, terminate this Agreement immediately by delivering written notice.  Distributor may notify Dow Jones in writing of any proposed Change in Control prior to its proposed effectiveness, and Dow Jones shall, within 30 days after receipt of such notice (or if no timely notice is given, at any time after Dow Jones learns of such Change in Control), notify Distributor whether Dow Jones would exercise its right to terminate this Agreement if such proposed Change in Control were consummated.</w:t>
      </w:r>
    </w:p>
    <w:p>
      <w:pPr>
        <w:pStyle w:val="Normal"/>
        <w:spacing w:lineRule="auto" w:line="240"/>
        <w:jc w:val="both"/>
        <w:rPr/>
      </w:pPr>
      <w:r>
        <w:rPr>
          <w:rFonts w:cs="Times New Roman" w:ascii="Times New Roman" w:hAnsi="Times New Roman"/>
          <w:b/>
          <w:sz w:val="20"/>
        </w:rPr>
        <w:t>(d)</w:t>
        <w:tab/>
        <w:t xml:space="preserve">Effect of Termination.  </w:t>
      </w:r>
      <w:r>
        <w:rPr>
          <w:rFonts w:cs="Times New Roman" w:ascii="Times New Roman" w:hAnsi="Times New Roman"/>
          <w:sz w:val="20"/>
        </w:rPr>
        <w:t>Upon the expiration or termination of this Agreement for any reason, Distributor shall (i) immediately inhibit all access to the Dow Jones Information through the Distributor Service, (ii) delete any Dow Jones Information then stored on the Distributor Host Computer, (iii) cease advertising and promoting the availability of the Dow Jones Information via the Distributor Service and (iv) discontinue all uses of Dow Jones' trade names or Marks.  In addition, upon expiration or termination of this Agreement, each party, at its expense, shall promptly return to the other all copies of the other party’s Confidential Information.</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8.</w:t>
        <w:tab/>
        <w:t>Confidential Information.</w:t>
      </w:r>
    </w:p>
    <w:p>
      <w:pPr>
        <w:pStyle w:val="BodyTextIndent"/>
        <w:spacing w:lineRule="auto" w:line="240"/>
        <w:rPr/>
      </w:pPr>
      <w:r>
        <w:rPr/>
        <w:t>Distributor and Dow Jones understand and agree that in the performance of this Agreement each party may have access to private or confidential information of the other party, including, but not limited to, trade secrets, marketing and business plans and technical information ("Confidential Information").  Both parties agree that the terms of this Agreement, including without limitation its financial terms such as the Payments and the information contained in usage reports, shall be deemed Confidential Information owned by the other party.  Distributor acknowledges and agrees that the technical and functional specifications and the code and design of the Composite Feed and all tools and utilities supplied by Dow Jones to Distributor are Confidential Information of Dow Jones.  In addition, information that is orally disclosed to the other party shall constitute Confidential Information if within 10 days after such disclosure the disclosing party delivers to the receiving party a written document describing such Confidential Information and referencing the place and date of such oral disclosure and the names of the employees of the party to whom such disclosure was made.  Each party agrees that:  (i) all Confidential Information shall remain the exclusive property of the owner; (ii) it shall maintain, and shall use prudent methods to cause its employees and agents to maintain, the confidentiality and secrecy of the Confidential Information; (iii) it shall not, and shall use prudent methods designed to ensure that its employees and agents do not, copy, publish, disclose to others or use (other than pursuant to the terms hereof) the Confidential Information; and (iv) it shall return or destroy all copies of Confidential Information upon request of the other party.  Notwithstanding the foregoing, Confidential Information shall not include any information to the extent it (i) is or becomes a part of the public domain through no act or omission on the part of the receiving party, (ii) is disclosed to third parties by the disclosing party without restriction on such third parties, (iii) is in the receiving party's possession, without actual or constructive knowledge of an obligation of confidentiality with respect thereto, at or prior to the time of disclosure under this Agreement, (iv) is disclosed to the receiving party by a third party having no obligation of confidentiality with respect thereto, (v) is independently developed by the receiving party without reference to the disclosing party's Confidential Information; (vi) is released from confidential treatment by written consent of the disclosing party; or (viii) is required to be disclosed by statute, rule, regulation or order of any self-regulatory organization.</w:t>
      </w:r>
    </w:p>
    <w:p>
      <w:pPr>
        <w:pStyle w:val="Normal"/>
        <w:numPr>
          <w:ilvl w:val="0"/>
          <w:numId w:val="4"/>
        </w:numPr>
        <w:spacing w:lineRule="auto" w:line="240"/>
        <w:jc w:val="both"/>
        <w:rPr>
          <w:rFonts w:ascii="Times New Roman" w:hAnsi="Times New Roman" w:cs="Times New Roman"/>
          <w:b/>
          <w:sz w:val="20"/>
        </w:rPr>
      </w:pPr>
      <w:r>
        <w:rPr>
          <w:rFonts w:cs="Times New Roman" w:ascii="Times New Roman" w:hAnsi="Times New Roman"/>
          <w:b/>
          <w:sz w:val="20"/>
        </w:rPr>
        <w:t>Indemnification.</w:t>
      </w:r>
    </w:p>
    <w:p>
      <w:pPr>
        <w:pStyle w:val="Normal"/>
        <w:jc w:val="both"/>
        <w:rPr/>
      </w:pPr>
      <w:r>
        <w:rPr>
          <w:rFonts w:cs="Times New Roman" w:ascii="Times New Roman" w:hAnsi="Times New Roman"/>
          <w:b/>
          <w:sz w:val="20"/>
        </w:rPr>
        <w:t>(a) By Dow Jones.</w:t>
      </w:r>
      <w:r>
        <w:rPr>
          <w:rFonts w:cs="Times New Roman" w:ascii="Times New Roman" w:hAnsi="Times New Roman"/>
          <w:sz w:val="20"/>
        </w:rPr>
        <w:t xml:space="preserve">  In the event of any claim, suit or action by any third party against Distributor for infringement under U.S. copyright law arising out of Distributor’s use of the Dow Jones Information in accordance with this Agreement, Distributor shall promptly notify Dow Jones, and Dow Jones, at its expense, shall defend such claim, suit or action, and shall indemnify and hold harmless Distributor against any judgment, liability, loss, cost or damage (including any settlement amount approved by Dow Jones, litigation costs and reasonable attorneys' fees) related to such claim, suit or action.  </w:t>
      </w:r>
    </w:p>
    <w:p>
      <w:pPr>
        <w:pStyle w:val="Normal"/>
        <w:jc w:val="both"/>
        <w:rPr/>
      </w:pPr>
      <w:r>
        <w:rPr>
          <w:rFonts w:cs="Times New Roman" w:ascii="Times New Roman" w:hAnsi="Times New Roman"/>
          <w:b/>
          <w:sz w:val="20"/>
        </w:rPr>
        <w:t>(b) By Distributor.</w:t>
      </w:r>
      <w:r>
        <w:rPr>
          <w:rFonts w:cs="Times New Roman" w:ascii="Times New Roman" w:hAnsi="Times New Roman"/>
          <w:sz w:val="20"/>
        </w:rPr>
        <w:t xml:space="preserve">  In the event of any claim, suit or action by any third party against Dow Jones arising out of the distribution of the Dow Jones Information on Distributor Service (except for claims, suits or actions for which Dow Jones is required to indemnify Distributor under Section 9(a)), Dow Jones shall promptly notify Distributor, and Distributor, at its expense, shall defend such claim, suit or action, and shall indemnify and hold harmless Dow Jones against any judgment, liability, loss, cost or damage (including any settlement amount approved by Distributor, litigation costs and reasonable attorneys' fees) related to such claim, suit or action.  </w:t>
      </w:r>
    </w:p>
    <w:p>
      <w:pPr>
        <w:pStyle w:val="Heading2"/>
        <w:keepNext w:val="false"/>
        <w:keepLines w:val="false"/>
        <w:spacing w:lineRule="auto" w:line="240"/>
        <w:jc w:val="both"/>
        <w:rPr>
          <w:rFonts w:ascii="Times New Roman" w:hAnsi="Times New Roman" w:cs="Times New Roman"/>
          <w:sz w:val="20"/>
        </w:rPr>
      </w:pPr>
      <w:r>
        <w:rPr>
          <w:rFonts w:cs="Times New Roman" w:ascii="Times New Roman" w:hAnsi="Times New Roman"/>
          <w:sz w:val="20"/>
        </w:rPr>
        <w:t>10.</w:t>
        <w:tab/>
        <w:t>Miscellaneous.</w:t>
      </w:r>
    </w:p>
    <w:p>
      <w:pPr>
        <w:pStyle w:val="Normal"/>
        <w:spacing w:lineRule="auto" w:line="240"/>
        <w:jc w:val="both"/>
        <w:rPr/>
      </w:pPr>
      <w:r>
        <w:rPr>
          <w:rFonts w:cs="Times New Roman" w:ascii="Times New Roman" w:hAnsi="Times New Roman"/>
          <w:b/>
          <w:sz w:val="20"/>
        </w:rPr>
        <w:t>(a)</w:t>
        <w:tab/>
        <w:t xml:space="preserve">Notices.  </w:t>
      </w:r>
      <w:r>
        <w:rPr>
          <w:rFonts w:cs="Times New Roman" w:ascii="Times New Roman" w:hAnsi="Times New Roman"/>
          <w:sz w:val="20"/>
        </w:rPr>
        <w:t>All notices shall be in writing, and delivered by certified mail, return receipt requested, overnight courier service, or by facsimile with confirmation to the address set forth on the signature page, or other address stipulated in writing by a party.  Notice shall be deemed delivered and received on the date it is actually received.</w:t>
      </w:r>
    </w:p>
    <w:p>
      <w:pPr>
        <w:pStyle w:val="Normal"/>
        <w:spacing w:lineRule="auto" w:line="240"/>
        <w:jc w:val="both"/>
        <w:rPr/>
      </w:pPr>
      <w:r>
        <w:rPr>
          <w:rFonts w:cs="Times New Roman" w:ascii="Times New Roman" w:hAnsi="Times New Roman"/>
          <w:b/>
          <w:sz w:val="20"/>
        </w:rPr>
        <w:t>(b)</w:t>
        <w:tab/>
        <w:t xml:space="preserve">Amendment, Assignment.  </w:t>
      </w:r>
      <w:r>
        <w:rPr>
          <w:rFonts w:cs="Times New Roman" w:ascii="Times New Roman" w:hAnsi="Times New Roman"/>
          <w:sz w:val="20"/>
        </w:rPr>
        <w:t xml:space="preserve">This Agreement may not be amended, nor the rights hereunder assigned or sublicensed (other than to a Distributor subsidiary that owns and operates the Distributor Service) except in a writing executed by authorized representatives of Distributor and Dow Jones.  This Agreement shall be binding upon and inure to the benefit of the parties and their respective successors and permitted assigns.  </w:t>
      </w:r>
    </w:p>
    <w:p>
      <w:pPr>
        <w:pStyle w:val="Normal"/>
        <w:spacing w:lineRule="auto" w:line="240"/>
        <w:jc w:val="both"/>
        <w:rPr/>
      </w:pPr>
      <w:r>
        <w:rPr>
          <w:rFonts w:cs="Times New Roman" w:ascii="Times New Roman" w:hAnsi="Times New Roman"/>
          <w:b/>
          <w:sz w:val="20"/>
        </w:rPr>
        <w:t>(c)</w:t>
        <w:tab/>
        <w:t xml:space="preserve">Survival of Certain Provisions.  </w:t>
      </w:r>
      <w:r>
        <w:rPr>
          <w:rFonts w:cs="Times New Roman" w:ascii="Times New Roman" w:hAnsi="Times New Roman"/>
          <w:sz w:val="20"/>
        </w:rPr>
        <w:t>The rights and obligations in Sections [3(a), 3(b), 3(c), 5(b), 5(c), 5(d), 5(e), 7, 8 and 9] shall survive termination or expiration of this Agreement for any reason.</w:t>
      </w:r>
    </w:p>
    <w:p>
      <w:pPr>
        <w:pStyle w:val="Normal"/>
        <w:spacing w:lineRule="auto" w:line="240"/>
        <w:jc w:val="both"/>
        <w:rPr/>
      </w:pPr>
      <w:r>
        <w:rPr>
          <w:rFonts w:cs="Times New Roman" w:ascii="Times New Roman" w:hAnsi="Times New Roman"/>
          <w:b/>
          <w:sz w:val="20"/>
        </w:rPr>
        <w:t>(d)</w:t>
        <w:tab/>
        <w:t xml:space="preserve">Consequential Damages.  </w:t>
      </w:r>
      <w:r>
        <w:rPr>
          <w:rFonts w:cs="Times New Roman" w:ascii="Times New Roman" w:hAnsi="Times New Roman"/>
          <w:sz w:val="20"/>
        </w:rPr>
        <w:t>Neither party shall be liable to the other for any damages other than direct damages, including but not limited to consequential, indirect, special, exemplary, or punitive damages, or any lost revenues or lost profits, even if advised of the possibility of such damages.</w:t>
      </w:r>
    </w:p>
    <w:p>
      <w:pPr>
        <w:pStyle w:val="Normal"/>
        <w:spacing w:lineRule="auto" w:line="240"/>
        <w:jc w:val="both"/>
        <w:rPr/>
      </w:pPr>
      <w:r>
        <w:rPr>
          <w:rFonts w:cs="Times New Roman" w:ascii="Times New Roman" w:hAnsi="Times New Roman"/>
          <w:b/>
          <w:sz w:val="20"/>
        </w:rPr>
        <w:t>(e)</w:t>
        <w:tab/>
        <w:t xml:space="preserve">Entire Agreement.  </w:t>
      </w:r>
      <w:r>
        <w:rPr>
          <w:rFonts w:cs="Times New Roman" w:ascii="Times New Roman" w:hAnsi="Times New Roman"/>
          <w:sz w:val="20"/>
        </w:rPr>
        <w:t>This Agreement contains the final and entire agreement of the parties on the subject matter herein and supersedes all previous and contemporaneous verbal or written negotiations or agreements on the subject matter herein.</w:t>
      </w:r>
    </w:p>
    <w:p>
      <w:pPr>
        <w:pStyle w:val="Normal"/>
        <w:spacing w:lineRule="auto" w:line="240"/>
        <w:jc w:val="both"/>
        <w:rPr/>
      </w:pPr>
      <w:r>
        <w:rPr>
          <w:rFonts w:cs="Times New Roman" w:ascii="Times New Roman" w:hAnsi="Times New Roman"/>
          <w:b/>
          <w:sz w:val="20"/>
        </w:rPr>
        <w:t>(f)</w:t>
        <w:tab/>
        <w:t xml:space="preserve">Waiver.  </w:t>
      </w:r>
      <w:r>
        <w:rPr>
          <w:rFonts w:cs="Times New Roman" w:ascii="Times New Roman" w:hAnsi="Times New Roman"/>
          <w:sz w:val="20"/>
        </w:rPr>
        <w:t>The failure of either party at any time to require performance by the other party of any provision hereof shall not affect the full right to require such performance at any time thereafter, nor shall the waiver by either party of a breach of any provision hereof be taken or held to be a waiver of any succeeding breach of such provision or as a waiver of the provision itself.</w:t>
      </w:r>
    </w:p>
    <w:p>
      <w:pPr>
        <w:pStyle w:val="Normal"/>
        <w:spacing w:lineRule="auto" w:line="240"/>
        <w:jc w:val="both"/>
        <w:rPr/>
      </w:pPr>
      <w:r>
        <w:rPr>
          <w:rFonts w:cs="Times New Roman" w:ascii="Times New Roman" w:hAnsi="Times New Roman"/>
          <w:b/>
          <w:sz w:val="20"/>
        </w:rPr>
        <w:t>(g)</w:t>
        <w:tab/>
        <w:t xml:space="preserve">Separability.  </w:t>
      </w:r>
      <w:r>
        <w:rPr>
          <w:rFonts w:cs="Times New Roman" w:ascii="Times New Roman" w:hAnsi="Times New Roman"/>
          <w:sz w:val="20"/>
        </w:rPr>
        <w:t>If any provision of this Agreement or its application in a particular circumstance is held to be invalid or unenforceable to any extent, the remainder of the Agreement, or the application of such provision in other circumstances, shall not be affected thereby, and each provision shall be valid and enforced to the fullest extent permitted by law.</w:t>
      </w:r>
    </w:p>
    <w:p>
      <w:pPr>
        <w:pStyle w:val="Normal"/>
        <w:spacing w:lineRule="auto" w:line="240"/>
        <w:jc w:val="both"/>
        <w:rPr/>
      </w:pPr>
      <w:r>
        <w:rPr>
          <w:rFonts w:cs="Times New Roman" w:ascii="Times New Roman" w:hAnsi="Times New Roman"/>
          <w:b/>
          <w:sz w:val="20"/>
        </w:rPr>
        <w:t>(h)</w:t>
        <w:tab/>
        <w:t xml:space="preserve">Governing Law.  </w:t>
      </w:r>
      <w:r>
        <w:rPr>
          <w:rFonts w:cs="Times New Roman" w:ascii="Times New Roman" w:hAnsi="Times New Roman"/>
          <w:sz w:val="20"/>
        </w:rPr>
        <w:t>This Agreement will be governed by, and construed in accordance with, the laws of the State of New York applicable to contracts entered into and wholly performed in New York.</w:t>
      </w:r>
    </w:p>
    <w:p>
      <w:pPr>
        <w:pStyle w:val="normalblock"/>
        <w:keepNext w:val="true"/>
        <w:keepLines/>
        <w:spacing w:lineRule="auto" w:line="240"/>
        <w:rPr/>
      </w:pPr>
      <w:r>
        <w:rPr>
          <w:rFonts w:cs="Times New Roman" w:ascii="Times New Roman" w:hAnsi="Times New Roman"/>
          <w:sz w:val="20"/>
        </w:rPr>
        <w:tab/>
      </w:r>
      <w:r>
        <w:rPr>
          <w:rFonts w:cs="Times New Roman" w:ascii="Times New Roman" w:hAnsi="Times New Roman"/>
          <w:b/>
          <w:sz w:val="20"/>
        </w:rPr>
        <w:t xml:space="preserve">IN WITNESS WHEREOF, </w:t>
      </w:r>
      <w:r>
        <w:rPr>
          <w:rFonts w:cs="Times New Roman" w:ascii="Times New Roman" w:hAnsi="Times New Roman"/>
          <w:sz w:val="20"/>
        </w:rPr>
        <w:t>duly authorized representatives of both parties hereto have executed this Agreement as of _________________ (“Effective Date”):</w:t>
      </w:r>
    </w:p>
    <w:p>
      <w:pPr>
        <w:pStyle w:val="normalblock"/>
        <w:keepNext w:val="true"/>
        <w:keepLines/>
        <w:spacing w:lineRule="auto" w:line="240"/>
        <w:rPr>
          <w:rFonts w:ascii="Times New Roman" w:hAnsi="Times New Roman" w:cs="Times New Roman"/>
          <w:sz w:val="20"/>
        </w:rPr>
      </w:pPr>
      <w:r>
        <w:rPr>
          <w:rFonts w:cs="Times New Roman" w:ascii="Times New Roman" w:hAnsi="Times New Roman"/>
          <w:sz w:val="20"/>
        </w:rPr>
      </w:r>
    </w:p>
    <w:p>
      <w:pPr>
        <w:pStyle w:val="plain"/>
        <w:keepNext w:val="true"/>
        <w:keepLines/>
        <w:tabs>
          <w:tab w:val="clear" w:pos="720"/>
          <w:tab w:val="left" w:pos="5040" w:leader="none"/>
        </w:tabs>
        <w:spacing w:lineRule="auto" w:line="240"/>
        <w:rPr>
          <w:rFonts w:ascii="Times New Roman" w:hAnsi="Times New Roman" w:cs="Times New Roman"/>
          <w:b/>
          <w:sz w:val="20"/>
        </w:rPr>
      </w:pPr>
      <w:r>
        <w:rPr>
          <w:rFonts w:cs="Times New Roman" w:ascii="Times New Roman" w:hAnsi="Times New Roman"/>
          <w:b/>
          <w:sz w:val="20"/>
        </w:rPr>
        <w:t>_____________________________</w:t>
        <w:tab/>
        <w:t>DOW JONES &amp; COMPANY, INC.</w:t>
      </w:r>
    </w:p>
    <w:p>
      <w:pPr>
        <w:pStyle w:val="plain"/>
        <w:keepNext w:val="true"/>
        <w:keepLines/>
        <w:tabs>
          <w:tab w:val="clear" w:pos="720"/>
          <w:tab w:val="right" w:pos="4230" w:leader="underscore"/>
        </w:tabs>
        <w:spacing w:lineRule="auto" w:line="240"/>
        <w:rPr>
          <w:rFonts w:ascii="Times New Roman" w:hAnsi="Times New Roman" w:cs="Times New Roman"/>
          <w:b/>
          <w:sz w:val="20"/>
        </w:rPr>
      </w:pPr>
      <w:r>
        <w:rPr>
          <w:rFonts w:cs="Times New Roman" w:ascii="Times New Roman" w:hAnsi="Times New Roman"/>
          <w:b/>
          <w:sz w:val="20"/>
        </w:rPr>
      </w:r>
    </w:p>
    <w:p>
      <w:pPr>
        <w:pStyle w:val="center"/>
        <w:keepNext w:val="true"/>
        <w:tabs>
          <w:tab w:val="clear" w:pos="720"/>
          <w:tab w:val="left" w:pos="450" w:leader="none"/>
          <w:tab w:val="left" w:pos="504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By: __________________________</w:t>
        <w:tab/>
        <w:t>By: _____________________________</w:t>
      </w:r>
    </w:p>
    <w:p>
      <w:pPr>
        <w:pStyle w:val="center"/>
        <w:keepNext w:val="true"/>
        <w:tabs>
          <w:tab w:val="clear" w:pos="720"/>
          <w:tab w:val="left" w:pos="450" w:leader="none"/>
          <w:tab w:val="left" w:pos="4590" w:leader="none"/>
          <w:tab w:val="left" w:pos="5040" w:leader="none"/>
          <w:tab w:val="left" w:pos="5220" w:leader="none"/>
          <w:tab w:val="left" w:pos="5760" w:leader="none"/>
        </w:tabs>
        <w:spacing w:lineRule="auto" w:line="240" w:before="0" w:after="0"/>
        <w:jc w:val="start"/>
        <w:rPr>
          <w:rFonts w:ascii="Times New Roman" w:hAnsi="Times New Roman" w:cs="Times New Roman"/>
          <w:sz w:val="20"/>
        </w:rPr>
      </w:pPr>
      <w:r>
        <w:rPr>
          <w:rFonts w:cs="Times New Roman" w:ascii="Times New Roman" w:hAnsi="Times New Roman"/>
          <w:sz w:val="20"/>
        </w:rPr>
        <w:t>Name:</w:t>
        <w:tab/>
        <w:tab/>
        <w:t>Name:</w:t>
      </w:r>
    </w:p>
    <w:p>
      <w:pPr>
        <w:pStyle w:val="center"/>
        <w:keepNext w:val="true"/>
        <w:tabs>
          <w:tab w:val="clear" w:pos="720"/>
          <w:tab w:val="left" w:pos="450" w:leader="none"/>
          <w:tab w:val="left" w:pos="5040" w:leader="none"/>
        </w:tabs>
        <w:spacing w:lineRule="auto" w:line="240" w:before="0" w:after="0"/>
        <w:jc w:val="start"/>
        <w:rPr>
          <w:rFonts w:ascii="Times New Roman" w:hAnsi="Times New Roman" w:cs="Times New Roman"/>
          <w:sz w:val="20"/>
        </w:rPr>
      </w:pPr>
      <w:r>
        <w:rPr>
          <w:rFonts w:cs="Times New Roman" w:ascii="Times New Roman" w:hAnsi="Times New Roman"/>
          <w:sz w:val="20"/>
        </w:rPr>
        <w:t>Title:</w:t>
        <w:tab/>
        <w:tab/>
        <w:t>Title:</w:t>
      </w:r>
    </w:p>
    <w:p>
      <w:pPr>
        <w:pStyle w:val="center"/>
        <w:keepNext w:val="true"/>
        <w:tabs>
          <w:tab w:val="clear" w:pos="720"/>
          <w:tab w:val="left" w:pos="450" w:leader="none"/>
          <w:tab w:val="left" w:pos="5040" w:leader="none"/>
        </w:tabs>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Next w:val="true"/>
        <w:tabs>
          <w:tab w:val="clear" w:pos="720"/>
          <w:tab w:val="left" w:pos="450" w:leader="none"/>
          <w:tab w:val="left" w:pos="5040" w:leader="none"/>
        </w:tabs>
        <w:spacing w:lineRule="auto" w:line="240" w:before="0" w:after="0"/>
        <w:jc w:val="start"/>
        <w:rPr>
          <w:rFonts w:ascii="Times New Roman" w:hAnsi="Times New Roman" w:cs="Times New Roman"/>
          <w:sz w:val="20"/>
        </w:rPr>
      </w:pPr>
      <w:r>
        <w:rPr>
          <w:rFonts w:cs="Times New Roman" w:ascii="Times New Roman" w:hAnsi="Times New Roman"/>
          <w:sz w:val="20"/>
        </w:rPr>
        <w:t>Date: _________________________</w:t>
        <w:tab/>
        <w:t>Date: ____________________________</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Address for Notices:</w:t>
        <w:tab/>
        <w:t>Address for Notices:</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___________________________</w:t>
        <w:tab/>
        <w:t>U.S. Highway 1 at Ridge Road</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___________________________</w:t>
        <w:tab/>
        <w:t>South Brunswick, NJ 08852</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___________________________</w:t>
        <w:tab/>
        <w:t>Attn.: Vice President, Marketing and Sales</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b/>
        <w:tab/>
        <w:tab/>
        <w:t>Dow Jones Newswires</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b/>
        <w:tab/>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b/>
        <w:tab/>
        <w:t>with a copy to the same street address, but</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b/>
        <w:tab/>
        <w:t>Attn.:  Legal Dept.</w:t>
      </w:r>
    </w:p>
    <w:p>
      <w:pPr>
        <w:pStyle w:val="center"/>
        <w:keepNext w:val="true"/>
        <w:tabs>
          <w:tab w:val="clear" w:pos="720"/>
          <w:tab w:val="left" w:pos="450" w:leader="none"/>
          <w:tab w:val="left" w:pos="5220" w:leader="none"/>
        </w:tabs>
        <w:spacing w:lineRule="auto" w:line="240" w:before="0" w:after="0"/>
        <w:jc w:val="start"/>
        <w:rPr>
          <w:rFonts w:ascii="Times New Roman" w:hAnsi="Times New Roman" w:cs="Times New Roman"/>
          <w:sz w:val="20"/>
        </w:rPr>
      </w:pPr>
      <w:r>
        <w:rPr>
          <w:rFonts w:cs="Times New Roman" w:ascii="Times New Roman" w:hAnsi="Times New Roman"/>
          <w:sz w:val="20"/>
        </w:rPr>
        <w:tab/>
        <w:tab/>
      </w:r>
      <w:r>
        <w:br w:type="page"/>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t>EXHIBIT A</w:t>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t>DESCRIPTION OF THE DISTRIBUTOR SERVICE; TERRITORY</w:t>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t>Description of Service (including delivery platforms):</w:t>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b/>
          <w:sz w:val="20"/>
        </w:rPr>
      </w:pPr>
      <w:r>
        <w:rPr>
          <w:rFonts w:cs="Times New Roman" w:ascii="Times New Roman" w:hAnsi="Times New Roman"/>
          <w:b/>
          <w:sz w:val="20"/>
        </w:rPr>
        <w:t>[to be supplied initially by Distributor]</w:t>
      </w:r>
    </w:p>
    <w:p>
      <w:pPr>
        <w:pStyle w:val="center"/>
        <w:keepLines w:val="false"/>
        <w:spacing w:lineRule="auto" w:line="240" w:before="0" w:after="0"/>
        <w:jc w:val="start"/>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t>Territory:  __________________________</w:t>
      </w:r>
    </w:p>
    <w:p>
      <w:pPr>
        <w:pStyle w:val="center"/>
        <w:keepLines w:val="false"/>
        <w:spacing w:lineRule="auto" w:line="240" w:before="0" w:after="0"/>
        <w:ind w:firstLine="720" w:end="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r>
      <w:r>
        <w:br w:type="page"/>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t>EXHIBIT B</w:t>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rPr>
          <w:rFonts w:ascii="Times New Roman" w:hAnsi="Times New Roman" w:cs="Times New Roman"/>
          <w:sz w:val="20"/>
        </w:rPr>
      </w:pPr>
      <w:r>
        <w:rPr>
          <w:rFonts w:cs="Times New Roman" w:ascii="Times New Roman" w:hAnsi="Times New Roman"/>
          <w:b/>
          <w:sz w:val="20"/>
        </w:rPr>
        <w:t>DESCRIPTION OF THE DOW JONES INFORMATION</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sz w:val="20"/>
        </w:rPr>
      </w:pPr>
      <w:r>
        <w:rPr>
          <w:rFonts w:cs="Times New Roman" w:ascii="Times New Roman" w:hAnsi="Times New Roman"/>
          <w:sz w:val="20"/>
        </w:rPr>
        <w:t>[description of editorial content (including wires and codes), applicable delay periods, etc.]</w:t>
      </w:r>
    </w:p>
    <w:p>
      <w:pPr>
        <w:pStyle w:val="center"/>
        <w:keepLines w:val="false"/>
        <w:spacing w:lineRule="auto" w:line="240" w:before="0" w:after="0"/>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pPr>
      <w:r>
        <w:rPr>
          <w:rFonts w:cs="Times New Roman" w:ascii="Times New Roman" w:hAnsi="Times New Roman"/>
          <w:b/>
          <w:sz w:val="20"/>
        </w:rPr>
        <w:t>Certain exclusions</w:t>
      </w:r>
      <w:r>
        <w:rPr>
          <w:rFonts w:cs="Times New Roman" w:ascii="Times New Roman" w:hAnsi="Times New Roman"/>
          <w:sz w:val="20"/>
        </w:rPr>
        <w:t>:  articles originating from any edition of The Wall Street Journal, Barron’s, Smartmoney or the Nikkei Report</w:t>
      </w:r>
    </w:p>
    <w:p>
      <w:pPr>
        <w:pStyle w:val="center"/>
        <w:keepLines w:val="false"/>
        <w:spacing w:lineRule="auto" w:line="240" w:before="0" w:after="0"/>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before="0" w:after="0"/>
        <w:jc w:val="start"/>
        <w:rPr>
          <w:rFonts w:ascii="Times New Roman" w:hAnsi="Times New Roman" w:cs="Times New Roman"/>
          <w:b/>
          <w:sz w:val="20"/>
        </w:rPr>
      </w:pPr>
      <w:r>
        <w:rPr>
          <w:rFonts w:cs="Times New Roman" w:ascii="Times New Roman" w:hAnsi="Times New Roman"/>
          <w:b/>
          <w:sz w:val="20"/>
        </w:rPr>
        <w:t>No Scrolling Headlines</w:t>
      </w:r>
    </w:p>
    <w:p>
      <w:pPr>
        <w:pStyle w:val="center"/>
        <w:keepLines w:val="false"/>
        <w:spacing w:lineRule="auto" w:line="240" w:before="0" w:after="0"/>
        <w:jc w:val="start"/>
        <w:rPr>
          <w:rFonts w:ascii="Times New Roman" w:hAnsi="Times New Roman" w:cs="Times New Roman"/>
          <w:b/>
          <w:sz w:val="20"/>
        </w:rPr>
      </w:pPr>
      <w:r>
        <w:rPr>
          <w:rFonts w:cs="Times New Roman" w:ascii="Times New Roman" w:hAnsi="Times New Roman"/>
          <w:b/>
          <w:sz w:val="20"/>
        </w:rPr>
        <w:t xml:space="preserve">No Stand-Alone </w:t>
      </w:r>
      <w:r>
        <w:br w:type="page"/>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t>EXHIBIT C</w:t>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rPr>
          <w:rFonts w:ascii="Times New Roman" w:hAnsi="Times New Roman" w:cs="Times New Roman"/>
          <w:b/>
          <w:sz w:val="20"/>
        </w:rPr>
      </w:pPr>
      <w:r>
        <w:rPr>
          <w:rFonts w:cs="Times New Roman" w:ascii="Times New Roman" w:hAnsi="Times New Roman"/>
          <w:b/>
          <w:sz w:val="20"/>
        </w:rPr>
        <w:t>DELIVERY METHODS</w:t>
      </w:r>
    </w:p>
    <w:p>
      <w:pPr>
        <w:pStyle w:val="center"/>
        <w:keepLines w:val="false"/>
        <w:spacing w:lineRule="auto" w:line="240"/>
        <w:ind w:firstLine="720" w:end="0"/>
        <w:jc w:val="start"/>
        <w:rPr>
          <w:rFonts w:ascii="Times New Roman" w:hAnsi="Times New Roman" w:cs="Times New Roman"/>
          <w:sz w:val="20"/>
        </w:rPr>
      </w:pPr>
      <w:r>
        <w:rPr>
          <w:rFonts w:cs="Times New Roman" w:ascii="Times New Roman" w:hAnsi="Times New Roman"/>
          <w:sz w:val="20"/>
        </w:rPr>
        <w:t>Dow Jones shall make the Dow Jones Newswires, from which the Dow Jones Information shall be derived, available at Dow Jones’ South Brunswick facility via the Dow Jones Composite Feed.</w:t>
      </w:r>
      <w:r>
        <w:br w:type="page"/>
      </w:r>
    </w:p>
    <w:p>
      <w:pPr>
        <w:pStyle w:val="center"/>
        <w:keepLines w:val="false"/>
        <w:spacing w:lineRule="auto" w:line="240"/>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t>EXHIBIT D</w:t>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before="0" w:after="0"/>
        <w:ind w:end="-14"/>
        <w:rPr>
          <w:rFonts w:ascii="Times New Roman" w:hAnsi="Times New Roman" w:cs="Times New Roman"/>
          <w:b/>
          <w:sz w:val="20"/>
        </w:rPr>
      </w:pPr>
      <w:r>
        <w:rPr>
          <w:rFonts w:cs="Times New Roman" w:ascii="Times New Roman" w:hAnsi="Times New Roman"/>
          <w:b/>
          <w:sz w:val="20"/>
        </w:rPr>
        <w:t>DJ TERMS AND CONDITIONS</w:t>
      </w:r>
    </w:p>
    <w:p>
      <w:pPr>
        <w:pStyle w:val="center"/>
        <w:keepLines w:val="false"/>
        <w:spacing w:lineRule="auto" w:line="240" w:before="0" w:after="0"/>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sz w:val="20"/>
        </w:rPr>
      </w:pPr>
      <w:r>
        <w:rPr>
          <w:rFonts w:cs="Times New Roman" w:ascii="Times New Roman" w:hAnsi="Times New Roman"/>
          <w:sz w:val="20"/>
        </w:rPr>
        <w:t>Your use of information from Dow Jones &amp; Company (the “Licensed Information”) through this service constitutes your agreement to be bound by these Terms of Use.</w:t>
      </w:r>
    </w:p>
    <w:p>
      <w:pPr>
        <w:pStyle w:val="BodyTextIndent"/>
        <w:rPr/>
      </w:pPr>
      <w:r>
        <w:rPr/>
        <w:t>By using the Licensed Information, you are representing to Dow Jones that you are at least 18 years old (or the minimum legal age in the jurisdiction in which you are viewing this Licensed Information) and are not a securities professional.  A “securities professional” is someone who (i) acts as a broker or dealer in the purchase or sale of negotiable financial instruments for third parties or is registered or qualified in any capacity under any U.S. federal or state or Canadian or provincial securities or commodities trading law, rule or regulation, or the rules or regulations of any securities or commodities exchange, market or association; (ii) falls within the definition of "investment banker" as that term is defined in the U.S. Investment Company Act of 1940; (iii) is a national securities or commodities exchange, registered securities or commodities association or registered clearing agency; or (iv) engages in the buying and selling of negotiable financial instruments for a third party’s account (as opposed to for his or her own personal portfolio of investments).</w:t>
      </w:r>
    </w:p>
    <w:p>
      <w:pPr>
        <w:pStyle w:val="Normal"/>
        <w:jc w:val="both"/>
        <w:rPr>
          <w:rFonts w:ascii="Times New Roman" w:hAnsi="Times New Roman" w:cs="Times New Roman"/>
          <w:sz w:val="20"/>
        </w:rPr>
      </w:pPr>
      <w:r>
        <w:rPr>
          <w:rFonts w:cs="Times New Roman" w:ascii="Times New Roman" w:hAnsi="Times New Roman"/>
          <w:sz w:val="20"/>
        </w:rPr>
        <w:t>Dow Jones may discontinue or change the Licensed Information at any time, without notice.</w:t>
      </w:r>
    </w:p>
    <w:p>
      <w:pPr>
        <w:pStyle w:val="Normal"/>
        <w:jc w:val="both"/>
        <w:rPr>
          <w:rFonts w:ascii="Times New Roman" w:hAnsi="Times New Roman" w:cs="Times New Roman"/>
          <w:sz w:val="20"/>
        </w:rPr>
      </w:pPr>
      <w:r>
        <w:rPr>
          <w:rFonts w:cs="Times New Roman" w:ascii="Times New Roman" w:hAnsi="Times New Roman"/>
          <w:sz w:val="20"/>
        </w:rPr>
        <w:t>The Licensed Information is the property of Dow Jones or its licensors, and is protected by copyright and other intellectual property laws.  The Licensed Information may be used only for your personal and non-commercial use.  You agree not to copy, reproduce, modify, distribute, transmit, display, perform, publish, transfer, create derivative works from, broadcast or circulate any Licensed Information to anyone, including but not limited to others in the same company or organization, without the express prior written consent of Dow Jones, with this one exception:</w:t>
      </w:r>
    </w:p>
    <w:p>
      <w:pPr>
        <w:pStyle w:val="Normal"/>
        <w:jc w:val="both"/>
        <w:rPr>
          <w:rFonts w:ascii="Times New Roman" w:hAnsi="Times New Roman" w:cs="Times New Roman"/>
          <w:sz w:val="20"/>
        </w:rPr>
      </w:pPr>
      <w:r>
        <w:rPr>
          <w:rFonts w:cs="Times New Roman" w:ascii="Times New Roman" w:hAnsi="Times New Roman"/>
          <w:sz w:val="20"/>
        </w:rPr>
        <w:t>You may, on an occasional and irregular basis, reproduce, distribute, display or transmit an insubstantial portion of Licensed Information, for a noncommercial purpose and without charge, to a limited number of individuals, provided you include all copyright and other proprietary rights notices with such portion of the Licensed Information in the same form in which the notices appear at the Licensed Information, the original source attribution, and the phrase "Used with permission from Dow Jones &amp; Company.”</w:t>
      </w:r>
    </w:p>
    <w:p>
      <w:pPr>
        <w:pStyle w:val="Normal"/>
        <w:jc w:val="both"/>
        <w:rPr>
          <w:rFonts w:ascii="Times New Roman" w:hAnsi="Times New Roman" w:cs="Times New Roman"/>
          <w:sz w:val="20"/>
        </w:rPr>
      </w:pPr>
      <w:r>
        <w:rPr>
          <w:rFonts w:cs="Times New Roman" w:ascii="Times New Roman" w:hAnsi="Times New Roman"/>
          <w:sz w:val="20"/>
        </w:rPr>
        <w:t xml:space="preserve">The Licensed Information includes facts, views, opinions and recommendations of individuals and organizations deemed of interest.  Dow Jones does not guarantee or warrant the accuracy, completeness or timeliness of, or otherwise endorse, these views, opinions and recommendations.  </w:t>
      </w:r>
    </w:p>
    <w:p>
      <w:pPr>
        <w:pStyle w:val="Normal"/>
        <w:jc w:val="both"/>
        <w:rPr/>
      </w:pPr>
      <w:r>
        <w:rPr>
          <w:rFonts w:cs="Times New Roman" w:ascii="Times New Roman" w:hAnsi="Times New Roman"/>
          <w:caps/>
          <w:sz w:val="20"/>
        </w:rPr>
        <w:t>Dow Jones is not responsible for any delay in your receipt of the Licensed Information resulting from the inherent limitations of Internet transmission via the world wide web.  Due to the number of sources from which the Licensed Information is obtained, and the inherent hazards of electronic distribution, there may be delays, omissions or inaccuracies in the Licensed Information.</w:t>
      </w:r>
      <w:r>
        <w:rPr>
          <w:rFonts w:cs="Times New Roman" w:ascii="Times New Roman" w:hAnsi="Times New Roman"/>
          <w:sz w:val="20"/>
        </w:rPr>
        <w:t xml:space="preserve">  THE LICENSED INFORMATION IS PROVIDED “AS IS”, WITHOUT ANY WARRANTIES.  DOW JONES AND ITS AFFILIATES, AGENTS AND LICENSORS CANNOT AND DO NOT WARRANT THE ACCURACY, COMPLETENESS, CURRENTNESS, TIMELINESS, NONINFRINGEMENT, TITLE, MERCHANTABILITY OR FITNESS FOR A PARTICULAR PURPOSE OF THE LICENSED INFORMATION, AND DOW JONES HEREBY DISCLAIMS ANY SUCH EXPRESS OR IMPLIED WARRANTIES.  NEITHER DOW JONES NOR ANY OF ITS AFFILIATES, AGENTS OR LICENSORS SHALL BE LIABLE TO YOU OR ANYONE ELSE FOR ANY LOSS OR INJURY, OTHER THAN DEATH OR PERSONAL INJURY RESULTING DIRECTLY FROM USE OF THE LICENSED INFORMATION, CAUSED IN WHOLE OR PART BY ITS NEGLIGENCE OR </w:t>
      </w:r>
    </w:p>
    <w:p>
      <w:pPr>
        <w:pStyle w:val="Normal"/>
        <w:jc w:val="center"/>
        <w:rPr>
          <w:rFonts w:ascii="Times New Roman" w:hAnsi="Times New Roman" w:cs="Times New Roman"/>
          <w:b/>
          <w:sz w:val="20"/>
        </w:rPr>
      </w:pPr>
      <w:r>
        <w:rPr>
          <w:rFonts w:cs="Times New Roman" w:ascii="Times New Roman" w:hAnsi="Times New Roman"/>
          <w:b/>
          <w:sz w:val="20"/>
        </w:rPr>
        <w:t>EXHIBIT D (CONTINUED)</w:t>
      </w:r>
    </w:p>
    <w:p>
      <w:pPr>
        <w:pStyle w:val="Normal"/>
        <w:ind w:hanging="0" w:end="0"/>
        <w:jc w:val="both"/>
        <w:rPr>
          <w:rFonts w:ascii="Times New Roman" w:hAnsi="Times New Roman" w:cs="Times New Roman"/>
          <w:sz w:val="20"/>
        </w:rPr>
      </w:pPr>
      <w:r>
        <w:rPr>
          <w:rFonts w:cs="Times New Roman" w:ascii="Times New Roman" w:hAnsi="Times New Roman"/>
          <w:sz w:val="20"/>
        </w:rPr>
        <w:t>CONTINGENCIES BEYOND ITS CONTROL IN PROCURING, COMPILING, INTERPRETING, REPORTING OR DELIVERING THE LICENSED INFORMATION.  IN NO EVENT WILL DOW JONES, ITS AFFILIATES, AGENTS OR LICENSORS BE LIABLE TO YOU OR ANYONE ELSE FOR ANY DECISION MADE OR ACTION TAKEN BY YOU IN RELIANCE ON SUCH LICENSED INFORMATION.  DOW JONES AND ITS AFFILIATES, AGENTS AND LICENSORS SHALL NOT BE LIABLE TO YOU OR ANYONE ELSE FOR ANY DAMAGES (INCLUDING, WITHOUT LIMITATION, CONSEQUENTIAL, SPECIAL, INCIDENTAL, INDIRECT, OR SIMILAR DAMAGES), OTHER THAN DIRECT DAMAGES, EVEN IF ADVISED OF THE POSSIBILITY OF SUCH DAMAGES.  BECAUSE SOME STATES OR JURISDICTIONS DO NOT ALLOW THE EXCLUSION OR LIMITATION OF LIABILITY FOR DAMAGES OR THE EXCLUSION OF CERTAIN TYPES OF WARRANTIES, PARTS OR ALL OF THE ABOVE LIMITATION MAY NOT APPLY TO YOU.</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Copyright 1999 Dow Jones &amp; Company, Inc.  All rights reserved.</w:t>
      </w:r>
      <w:r>
        <w:br w:type="page"/>
      </w:r>
    </w:p>
    <w:p>
      <w:pPr>
        <w:pStyle w:val="center"/>
        <w:keepLines w:val="false"/>
        <w:spacing w:lineRule="auto" w:line="240"/>
        <w:ind w:end="720"/>
        <w:rPr>
          <w:rFonts w:ascii="Times New Roman" w:hAnsi="Times New Roman" w:cs="Times New Roman"/>
          <w:b/>
          <w:sz w:val="20"/>
        </w:rPr>
      </w:pPr>
      <w:r>
        <w:rPr>
          <w:rFonts w:cs="Times New Roman" w:ascii="Times New Roman" w:hAnsi="Times New Roman"/>
          <w:b/>
          <w:sz w:val="20"/>
        </w:rPr>
        <w:t>EXHIBIT E</w:t>
      </w:r>
    </w:p>
    <w:p>
      <w:pPr>
        <w:pStyle w:val="center"/>
        <w:keepLines w:val="false"/>
        <w:spacing w:lineRule="auto" w:line="240"/>
        <w:ind w:end="720"/>
        <w:rPr>
          <w:rFonts w:ascii="Times New Roman" w:hAnsi="Times New Roman" w:cs="Times New Roman"/>
          <w:b/>
          <w:sz w:val="20"/>
        </w:rPr>
      </w:pPr>
      <w:r>
        <w:rPr>
          <w:rFonts w:cs="Times New Roman" w:ascii="Times New Roman" w:hAnsi="Times New Roman"/>
          <w:b/>
          <w:sz w:val="20"/>
        </w:rPr>
        <w:t>PRESENTATION OF DOW JONES INFORMATION</w:t>
      </w:r>
    </w:p>
    <w:p>
      <w:pPr>
        <w:pStyle w:val="center"/>
        <w:keepLines w:val="false"/>
        <w:spacing w:lineRule="auto" w:line="240"/>
        <w:ind w:end="720"/>
        <w:rPr>
          <w:rFonts w:ascii="Times New Roman" w:hAnsi="Times New Roman" w:cs="Times New Roman"/>
          <w:b/>
          <w:sz w:val="20"/>
        </w:rPr>
      </w:pPr>
      <w:r>
        <w:rPr>
          <w:rFonts w:cs="Times New Roman" w:ascii="Times New Roman" w:hAnsi="Times New Roman"/>
          <w:b/>
          <w:sz w:val="20"/>
        </w:rPr>
        <w:t>[ATTACH WEB PAGE]</w:t>
      </w:r>
      <w:r>
        <w:br w:type="page"/>
      </w:r>
    </w:p>
    <w:p>
      <w:pPr>
        <w:pStyle w:val="center"/>
        <w:keepLines w:val="false"/>
        <w:spacing w:lineRule="auto" w:line="240"/>
        <w:ind w:end="720"/>
        <w:rPr>
          <w:rFonts w:ascii="Times New Roman" w:hAnsi="Times New Roman" w:cs="Times New Roman"/>
          <w:b/>
          <w:sz w:val="20"/>
        </w:rPr>
      </w:pPr>
      <w:r>
        <w:rPr>
          <w:rFonts w:cs="Times New Roman" w:ascii="Times New Roman" w:hAnsi="Times New Roman"/>
          <w:b/>
          <w:sz w:val="20"/>
        </w:rPr>
        <w:t>EXHIBIT F</w:t>
      </w:r>
    </w:p>
    <w:p>
      <w:pPr>
        <w:pStyle w:val="center"/>
        <w:keepLines w:val="false"/>
        <w:spacing w:lineRule="auto" w:line="240"/>
        <w:ind w:end="720"/>
        <w:jc w:val="start"/>
        <w:rPr>
          <w:rFonts w:ascii="Times New Roman" w:hAnsi="Times New Roman" w:cs="Times New Roman"/>
          <w:b/>
          <w:sz w:val="20"/>
        </w:rPr>
      </w:pPr>
      <w:r>
        <w:rPr>
          <w:rFonts w:cs="Times New Roman" w:ascii="Times New Roman" w:hAnsi="Times New Roman"/>
          <w:b/>
          <w:sz w:val="20"/>
        </w:rPr>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t>Payment:</w:t>
      </w:r>
    </w:p>
    <w:p>
      <w:pPr>
        <w:pStyle w:val="center"/>
        <w:keepLines w:val="false"/>
        <w:spacing w:lineRule="auto" w:line="240"/>
        <w:ind w:end="720"/>
        <w:jc w:val="start"/>
        <w:rPr/>
      </w:pPr>
      <w:r>
        <w:rPr>
          <w:rFonts w:cs="Times New Roman" w:ascii="Times New Roman" w:hAnsi="Times New Roman"/>
          <w:sz w:val="20"/>
        </w:rPr>
        <w:tab/>
      </w:r>
      <w:r>
        <w:rPr>
          <w:rFonts w:cs="Times New Roman" w:ascii="Times New Roman" w:hAnsi="Times New Roman"/>
          <w:sz w:val="20"/>
          <w:u w:val="single"/>
        </w:rPr>
        <w:t>Number of Distributor Subscribers</w:t>
      </w:r>
      <w:r>
        <w:rPr>
          <w:rFonts w:cs="Times New Roman" w:ascii="Times New Roman" w:hAnsi="Times New Roman"/>
          <w:sz w:val="20"/>
        </w:rPr>
        <w:t>:</w:t>
        <w:tab/>
        <w:tab/>
      </w:r>
      <w:r>
        <w:rPr>
          <w:rFonts w:cs="Times New Roman" w:ascii="Times New Roman" w:hAnsi="Times New Roman"/>
          <w:sz w:val="20"/>
          <w:u w:val="single"/>
        </w:rPr>
        <w:t>Monthly Rate per Distributor Subscriber</w:t>
      </w:r>
      <w:r>
        <w:rPr>
          <w:rFonts w:cs="Times New Roman" w:ascii="Times New Roman" w:hAnsi="Times New Roman"/>
          <w:sz w:val="20"/>
        </w:rPr>
        <w:t>:</w:t>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t>Minimum Monthly Charge:</w:t>
        <w:tab/>
        <w:t>$_______________</w:t>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t>Port Access Fees (if applicable):</w:t>
        <w:tab/>
        <w:t>$_______________</w:t>
      </w:r>
    </w:p>
    <w:p>
      <w:pPr>
        <w:pStyle w:val="center"/>
        <w:keepLines w:val="false"/>
        <w:spacing w:lineRule="auto" w:line="240"/>
        <w:ind w:end="720"/>
        <w:jc w:val="start"/>
        <w:rPr>
          <w:rFonts w:ascii="Times New Roman" w:hAnsi="Times New Roman" w:cs="Times New Roman"/>
          <w:sz w:val="20"/>
        </w:rPr>
      </w:pPr>
      <w:r>
        <w:rPr>
          <w:rFonts w:cs="Times New Roman" w:ascii="Times New Roman" w:hAnsi="Times New Roman"/>
          <w:sz w:val="20"/>
        </w:rPr>
      </w:r>
      <w:r>
        <w:br w:type="page"/>
      </w:r>
    </w:p>
    <w:p>
      <w:pPr>
        <w:pStyle w:val="center"/>
        <w:keepLines w:val="false"/>
        <w:spacing w:lineRule="auto" w:line="240"/>
        <w:rPr>
          <w:rFonts w:ascii="Times New Roman" w:hAnsi="Times New Roman" w:cs="Times New Roman"/>
          <w:b/>
          <w:sz w:val="20"/>
        </w:rPr>
      </w:pPr>
      <w:r>
        <w:rPr>
          <w:rFonts w:cs="Times New Roman" w:ascii="Times New Roman" w:hAnsi="Times New Roman"/>
          <w:b/>
          <w:sz w:val="20"/>
        </w:rPr>
        <w:t>EXHIBIT G</w:t>
      </w:r>
    </w:p>
    <w:p>
      <w:pPr>
        <w:pStyle w:val="center"/>
        <w:keepLines w:val="false"/>
        <w:spacing w:lineRule="auto" w:line="240"/>
        <w:rPr>
          <w:rFonts w:ascii="Times New Roman" w:hAnsi="Times New Roman" w:cs="Times New Roman"/>
          <w:sz w:val="20"/>
        </w:rPr>
      </w:pPr>
      <w:r>
        <w:rPr>
          <w:rFonts w:cs="Times New Roman" w:ascii="Times New Roman" w:hAnsi="Times New Roman"/>
          <w:b/>
          <w:sz w:val="20"/>
        </w:rPr>
        <w:t xml:space="preserve">DOW JONES ADVERTISING GUIDELINES </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Advertising or promotional materials related to the following products or services shall not appear on any screen display or web page on which any Dow Jones Information, or any Dow Jones Mark, trade name or logo, appears:</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Tobacco products</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Pornography or "adult services", including, without limitation, massage parlors or escort services)</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Alcohol</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Firearms</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Employment recruiting</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Archival business research services and newswires</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Advertisements for any product or service which gratuitously or excessively uses the word "sex" or other sexually explicit or vulgar term or description</w:t>
      </w:r>
    </w:p>
    <w:p>
      <w:pPr>
        <w:pStyle w:val="center"/>
        <w:keepLines w:val="false"/>
        <w:spacing w:lineRule="auto" w:line="240"/>
        <w:jc w:val="start"/>
        <w:rPr>
          <w:rFonts w:ascii="Times New Roman" w:hAnsi="Times New Roman" w:cs="Times New Roman"/>
          <w:sz w:val="20"/>
        </w:rPr>
      </w:pPr>
      <w:r>
        <w:rPr>
          <w:rFonts w:cs="Times New Roman" w:ascii="Times New Roman" w:hAnsi="Times New Roman"/>
          <w:sz w:val="20"/>
        </w:rPr>
        <w:t>Games of chance, lotteries, gambling sites, and other products, services or web sites involving wagering</w:t>
      </w:r>
    </w:p>
    <w:p>
      <w:pPr>
        <w:pStyle w:val="Normal"/>
        <w:rPr>
          <w:rFonts w:ascii="Times New Roman" w:hAnsi="Times New Roman" w:cs="Times New Roman"/>
          <w:sz w:val="20"/>
        </w:rPr>
      </w:pPr>
      <w:r>
        <w:rPr>
          <w:rFonts w:cs="Times New Roman" w:ascii="Times New Roman" w:hAnsi="Times New Roman"/>
          <w:sz w:val="20"/>
        </w:rPr>
      </w:r>
    </w:p>
    <w:p>
      <w:pPr>
        <w:pStyle w:val="center"/>
        <w:keepLines w:val="false"/>
        <w:spacing w:lineRule="auto" w:line="240"/>
        <w:ind w:end="72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LinePrinter">
    <w:charset w:val="00" w:characterSet="windows-1252"/>
    <w:family w:val="swiss"/>
    <w:pitch w:val="default"/>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403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52400"/>
                      </a:xfrm>
                      <a:prstGeom prst="rect"/>
                      <a:solidFill>
                        <a:srgbClr val="FFFFFF">
                          <a:alpha val="0"/>
                        </a:srgbClr>
                      </a:solidFill>
                    </wps:spPr>
                    <wps:txbx>
                      <w:txbxContent>
                        <w:p>
                          <w:pPr>
                            <w:pStyle w:val="Foot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15</w:t>
                          </w:r>
                          <w:r>
                            <w:rPr>
                              <w:rStyle w:val="PageNumber"/>
                              <w:sz w:val="22"/>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1.05pt;height:12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15</w:t>
                    </w:r>
                    <w:r>
                      <w:rPr>
                        <w:rStyle w:val="PageNumber"/>
                        <w:sz w:val="22"/>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t>f:/forms/Newswires/Distribution Agmts/Newswires Web Distribution.10.4.99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f:/forms/Newswires/Distribution Agmts/Newswires Web Distribution.10.4.99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1440"/>
        </w:tabs>
        <w:ind w:start="1440" w:hanging="720"/>
      </w:pPr>
      <w:rPr>
        <w:b/>
      </w:rPr>
    </w:lvl>
  </w:abstractNum>
  <w:abstractNum w:abstractNumId="3">
    <w:lvl w:ilvl="0">
      <w:start w:val="1"/>
      <w:numFmt w:val="lowerRoman"/>
      <w:lvlText w:val="(%1)"/>
      <w:lvlJc w:val="start"/>
      <w:pPr>
        <w:tabs>
          <w:tab w:val="num" w:pos="2160"/>
        </w:tabs>
        <w:ind w:start="2160" w:hanging="720"/>
      </w:pPr>
      <w:rPr>
        <w:b/>
      </w:rPr>
    </w:lvl>
  </w:abstractNum>
  <w:abstractNum w:abstractNumId="4">
    <w:lvl w:ilvl="0">
      <w:start w:val="9"/>
      <w:numFmt w:val="decimal"/>
      <w:lvlText w:val="%1."/>
      <w:lvlJc w:val="start"/>
      <w:pPr>
        <w:tabs>
          <w:tab w:val="num" w:pos="720"/>
        </w:tabs>
        <w:ind w:start="720" w:hanging="72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docVars>
    <w:docVar w:name="wwdiARCHIVE$" w:val="KEEP"/>
    <w:docVar w:name="wwdiASSOC$" w:val="CORPORATIONS"/>
    <w:docVar w:name="wwdiAUTHOR$" w:val="BROWN, STACY V."/>
    <w:docVar w:name="wwdiCATID$" w:val="na"/>
    <w:docVar w:name="wwdiCKOGROUP$" w:val="GENERAL USERS"/>
    <w:docVar w:name="wwdiFILECAT$" w:val="NA_32A"/>
    <w:docVar w:name="wwdiFILENAME$" w:val="NA953250.043"/>
    <w:docVar w:name="wwdiNAME1$" w:val="DOW JONES &amp; COMPANY"/>
    <w:docVar w:name="wwdiNAME2$" w:val="BROWN, STACY"/>
    <w:docVar w:name="wwdiREF$" w:val="22170-00228"/>
    <w:docVar w:name="wwdiSTARTTIME$" w:val="277"/>
    <w:docVar w:name="wwdiTITLE$" w:val="TORONTO DOMINION BANK"/>
    <w:docVar w:name="wwdiTYPIST$" w:val="Bruno, Denise A."/>
    <w:docVar w:name="wwdiVERSION$"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before="240" w:after="0"/>
      <w:ind w:firstLine="720" w:start="0" w:end="0"/>
    </w:pPr>
    <w:rPr>
      <w:rFonts w:ascii="Courier" w:hAnsi="Courier" w:eastAsia="Times New Roman" w:cs="Courier"/>
      <w:color w:val="auto"/>
      <w:sz w:val="24"/>
      <w:szCs w:val="20"/>
      <w:lang w:val="en-US" w:eastAsia="zh-CN" w:bidi="hi-IN"/>
    </w:rPr>
  </w:style>
  <w:style w:type="paragraph" w:styleId="Heading1">
    <w:name w:val="heading 1"/>
    <w:basedOn w:val="singleblock"/>
    <w:next w:val="Normal"/>
    <w:qFormat/>
    <w:pPr>
      <w:keepNext w:val="true"/>
      <w:keepLines/>
      <w:numPr>
        <w:ilvl w:val="0"/>
        <w:numId w:val="1"/>
      </w:numPr>
      <w:ind w:hanging="0" w:start="720" w:end="720"/>
      <w:jc w:val="center"/>
      <w:outlineLvl w:val="0"/>
    </w:pPr>
    <w:rPr>
      <w:b/>
    </w:rPr>
  </w:style>
  <w:style w:type="paragraph" w:styleId="Heading2">
    <w:name w:val="heading 2"/>
    <w:basedOn w:val="Heading1"/>
    <w:next w:val="Normal"/>
    <w:qFormat/>
    <w:pPr>
      <w:numPr>
        <w:ilvl w:val="1"/>
        <w:numId w:val="1"/>
      </w:numPr>
      <w:ind w:hanging="720" w:start="720" w:end="720"/>
      <w:jc w:val="start"/>
      <w:outlineLvl w:val="1"/>
    </w:pPr>
    <w:rPr/>
  </w:style>
  <w:style w:type="paragraph" w:styleId="Heading3">
    <w:name w:val="heading 3"/>
    <w:basedOn w:val="Heading2"/>
    <w:next w:val="Normal"/>
    <w:qFormat/>
    <w:pPr>
      <w:numPr>
        <w:ilvl w:val="2"/>
        <w:numId w:val="1"/>
      </w:numPr>
      <w:ind w:hanging="720" w:start="1440" w:end="720"/>
      <w:outlineLvl w:val="2"/>
    </w:pPr>
    <w:rPr/>
  </w:style>
  <w:style w:type="paragraph" w:styleId="Heading4">
    <w:name w:val="heading 4"/>
    <w:basedOn w:val="Heading3"/>
    <w:next w:val="Normal"/>
    <w:qFormat/>
    <w:pPr>
      <w:numPr>
        <w:ilvl w:val="3"/>
        <w:numId w:val="1"/>
      </w:numPr>
      <w:ind w:hanging="720" w:start="2160" w:end="720"/>
      <w:outlineLvl w:val="3"/>
    </w:pPr>
    <w:rPr/>
  </w:style>
  <w:style w:type="paragraph" w:styleId="Heading5">
    <w:name w:val="heading 5"/>
    <w:basedOn w:val="Heading4"/>
    <w:next w:val="Normal"/>
    <w:qFormat/>
    <w:pPr>
      <w:numPr>
        <w:ilvl w:val="4"/>
        <w:numId w:val="1"/>
      </w:numPr>
      <w:ind w:hanging="720" w:start="2880" w:end="720"/>
      <w:outlineLvl w:val="4"/>
    </w:pPr>
    <w:rPr/>
  </w:style>
  <w:style w:type="paragraph" w:styleId="Heading6">
    <w:name w:val="heading 6"/>
    <w:basedOn w:val="Heading5"/>
    <w:next w:val="Normal"/>
    <w:qFormat/>
    <w:pPr>
      <w:numPr>
        <w:ilvl w:val="5"/>
        <w:numId w:val="1"/>
      </w:numPr>
      <w:ind w:hanging="720" w:start="3600" w:end="720"/>
      <w:outlineLvl w:val="5"/>
    </w:pPr>
    <w:rPr/>
  </w:style>
  <w:style w:type="paragraph" w:styleId="Heading7">
    <w:name w:val="heading 7"/>
    <w:basedOn w:val="Heading5"/>
    <w:next w:val="Normal"/>
    <w:qFormat/>
    <w:pPr>
      <w:numPr>
        <w:ilvl w:val="6"/>
        <w:numId w:val="1"/>
      </w:numPr>
      <w:ind w:hanging="720" w:start="4320" w:end="720"/>
      <w:outlineLvl w:val="6"/>
    </w:pPr>
    <w:rPr/>
  </w:style>
  <w:style w:type="paragraph" w:styleId="Heading8">
    <w:name w:val="heading 8"/>
    <w:basedOn w:val="Heading5"/>
    <w:next w:val="Normal"/>
    <w:qFormat/>
    <w:pPr>
      <w:numPr>
        <w:ilvl w:val="7"/>
        <w:numId w:val="1"/>
      </w:numPr>
      <w:ind w:hanging="720" w:start="5040" w:end="720"/>
      <w:outlineLvl w:val="7"/>
    </w:pPr>
    <w:rPr/>
  </w:style>
  <w:style w:type="paragraph" w:styleId="Heading9">
    <w:name w:val="heading 9"/>
    <w:basedOn w:val="Heading5"/>
    <w:next w:val="Normal"/>
    <w:qFormat/>
    <w:pPr>
      <w:numPr>
        <w:ilvl w:val="8"/>
        <w:numId w:val="1"/>
      </w:numPr>
      <w:ind w:hanging="720" w:start="5760" w:end="720"/>
      <w:outlineLvl w:val="8"/>
    </w:pPr>
    <w:rPr/>
  </w:style>
  <w:style w:type="character" w:styleId="WW8Num1z0">
    <w:name w:val="WW8Num1z0"/>
    <w:qFormat/>
    <w:rPr>
      <w:b/>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CommentReference">
    <w:name w:val="Comment Reference"/>
    <w:basedOn w:val="DefaultParagraphFont"/>
    <w:qFormat/>
    <w:rPr>
      <w:u w:val="double"/>
      <w:vertAlign w:val="superscript"/>
    </w:rPr>
  </w:style>
  <w:style w:type="character" w:styleId="FootnoteCharacters">
    <w:name w:val="Footnote Characters"/>
    <w:basedOn w:val="DefaultParagraphFont"/>
    <w:qFormat/>
    <w:rPr>
      <w:color w:val="0000FF"/>
      <w:sz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
    <w:name w:val="single"/>
    <w:basedOn w:val="Normal"/>
    <w:qFormat/>
    <w:pPr/>
    <w:rPr/>
  </w:style>
  <w:style w:type="paragraph" w:styleId="singleblock">
    <w:name w:val="single block"/>
    <w:basedOn w:val="single"/>
    <w:qFormat/>
    <w:pPr>
      <w:ind w:hanging="0" w:start="0" w:end="0"/>
    </w:pPr>
    <w:rPr/>
  </w:style>
  <w:style w:type="paragraph" w:styleId="FootnoteText">
    <w:name w:val="footnote text"/>
    <w:basedOn w:val="single"/>
    <w:pPr>
      <w:tabs>
        <w:tab w:val="clear" w:pos="720"/>
        <w:tab w:val="right" w:pos="259" w:leader="none"/>
        <w:tab w:val="left" w:pos="288" w:leader="none"/>
      </w:tabs>
      <w:ind w:hanging="288" w:start="288" w:end="0"/>
    </w:pPr>
    <w:rPr/>
  </w:style>
  <w:style w:type="paragraph" w:styleId="CommentText">
    <w:name w:val="Comment Text"/>
    <w:basedOn w:val="FootnoteText"/>
    <w:qFormat/>
    <w:pPr/>
    <w:rPr>
      <w:rFonts w:ascii="LinePrinter" w:hAnsi="LinePrinter" w:cs="LinePrinter"/>
      <w:color w:val="FF00FF"/>
      <w:sz w:val="17"/>
    </w:rPr>
  </w:style>
  <w:style w:type="paragraph" w:styleId="TOC8">
    <w:name w:val="toc 8"/>
    <w:basedOn w:val="Normal"/>
    <w:next w:val="Normal"/>
    <w:pPr>
      <w:tabs>
        <w:tab w:val="clear" w:pos="720"/>
        <w:tab w:val="left" w:pos="5760" w:leader="none"/>
        <w:tab w:val="decimal" w:pos="8640" w:leader="dot"/>
        <w:tab w:val="decimal" w:pos="9072" w:leader="none"/>
      </w:tabs>
      <w:ind w:hanging="720" w:start="5760" w:end="720"/>
    </w:pPr>
    <w:rPr>
      <w:color w:val="0000FF"/>
    </w:rPr>
  </w:style>
  <w:style w:type="paragraph" w:styleId="TOC7">
    <w:name w:val="toc 7"/>
    <w:basedOn w:val="Normal"/>
    <w:next w:val="Normal"/>
    <w:pPr>
      <w:tabs>
        <w:tab w:val="clear" w:pos="720"/>
        <w:tab w:val="left" w:pos="5040" w:leader="none"/>
        <w:tab w:val="decimal" w:pos="8640" w:leader="dot"/>
        <w:tab w:val="decimal" w:pos="9072" w:leader="none"/>
      </w:tabs>
      <w:ind w:hanging="720" w:start="5040" w:end="720"/>
    </w:pPr>
    <w:rPr>
      <w:color w:val="0000FF"/>
    </w:rPr>
  </w:style>
  <w:style w:type="paragraph" w:styleId="TOC6">
    <w:name w:val="toc 6"/>
    <w:basedOn w:val="Normal"/>
    <w:next w:val="Normal"/>
    <w:pPr>
      <w:tabs>
        <w:tab w:val="clear" w:pos="720"/>
        <w:tab w:val="left" w:pos="4320" w:leader="none"/>
        <w:tab w:val="decimal" w:pos="8640" w:leader="dot"/>
        <w:tab w:val="right" w:pos="9072" w:leader="none"/>
      </w:tabs>
      <w:ind w:hanging="720" w:start="4320" w:end="720"/>
    </w:pPr>
    <w:rPr>
      <w:color w:val="0000FF"/>
    </w:rPr>
  </w:style>
  <w:style w:type="paragraph" w:styleId="TOC5">
    <w:name w:val="toc 5"/>
    <w:basedOn w:val="Normal"/>
    <w:next w:val="Normal"/>
    <w:pPr>
      <w:tabs>
        <w:tab w:val="clear" w:pos="720"/>
        <w:tab w:val="left" w:pos="3600" w:leader="none"/>
        <w:tab w:val="decimal" w:pos="8640" w:leader="dot"/>
        <w:tab w:val="decimal" w:pos="9072" w:leader="none"/>
      </w:tabs>
      <w:ind w:hanging="720" w:start="3600" w:end="720"/>
    </w:pPr>
    <w:rPr>
      <w:color w:val="0000FF"/>
    </w:rPr>
  </w:style>
  <w:style w:type="paragraph" w:styleId="TOC4">
    <w:name w:val="toc 4"/>
    <w:basedOn w:val="Normal"/>
    <w:next w:val="Normal"/>
    <w:pPr>
      <w:tabs>
        <w:tab w:val="clear" w:pos="720"/>
        <w:tab w:val="left" w:pos="2880" w:leader="none"/>
        <w:tab w:val="decimal" w:pos="8640" w:leader="dot"/>
        <w:tab w:val="decimal" w:pos="9072" w:leader="none"/>
      </w:tabs>
      <w:ind w:hanging="720" w:start="2880" w:end="720"/>
    </w:pPr>
    <w:rPr>
      <w:color w:val="0000FF"/>
    </w:rPr>
  </w:style>
  <w:style w:type="paragraph" w:styleId="TOC3">
    <w:name w:val="toc 3"/>
    <w:basedOn w:val="Normal"/>
    <w:next w:val="Normal"/>
    <w:pPr>
      <w:tabs>
        <w:tab w:val="clear" w:pos="720"/>
        <w:tab w:val="left" w:pos="2160" w:leader="none"/>
        <w:tab w:val="decimal" w:pos="8640" w:leader="dot"/>
        <w:tab w:val="decimal" w:pos="9072" w:leader="none"/>
      </w:tabs>
      <w:ind w:hanging="720" w:start="2160" w:end="720"/>
    </w:pPr>
    <w:rPr>
      <w:color w:val="0000FF"/>
    </w:rPr>
  </w:style>
  <w:style w:type="paragraph" w:styleId="TOC2">
    <w:name w:val="toc 2"/>
    <w:basedOn w:val="Normal"/>
    <w:next w:val="Normal"/>
    <w:pPr>
      <w:tabs>
        <w:tab w:val="clear" w:pos="720"/>
        <w:tab w:val="left" w:pos="1440" w:leader="none"/>
        <w:tab w:val="decimal" w:pos="8640" w:leader="dot"/>
        <w:tab w:val="decimal" w:pos="9072" w:leader="none"/>
      </w:tabs>
      <w:ind w:hanging="720" w:start="1440" w:end="720"/>
    </w:pPr>
    <w:rPr>
      <w:color w:val="0000FF"/>
    </w:rPr>
  </w:style>
  <w:style w:type="paragraph" w:styleId="TOC1">
    <w:name w:val="toc 1"/>
    <w:basedOn w:val="Normal"/>
    <w:next w:val="Normal"/>
    <w:pPr>
      <w:tabs>
        <w:tab w:val="decimal" w:pos="720" w:leader="none"/>
        <w:tab w:val="decimal" w:pos="8640" w:leader="dot"/>
        <w:tab w:val="decimal" w:pos="9072" w:leader="none"/>
      </w:tabs>
      <w:ind w:hanging="720" w:start="720" w:end="720"/>
    </w:pPr>
    <w:rPr>
      <w:color w:val="0000FF"/>
    </w:rPr>
  </w:style>
  <w:style w:type="paragraph" w:styleId="Index1">
    <w:name w:val="index 1"/>
    <w:basedOn w:val="Normal"/>
    <w:next w:val="Normal"/>
    <w:pPr/>
    <w:rPr/>
  </w:style>
  <w:style w:type="paragraph" w:styleId="IndexHeading">
    <w:name w:val="index heading"/>
    <w:basedOn w:val="Normal"/>
    <w:next w:val="Index1"/>
    <w:pPr/>
    <w:rPr/>
  </w:style>
  <w:style w:type="paragraph" w:styleId="unjustifiedblock">
    <w:name w:val="unjustified block"/>
    <w:basedOn w:val="singleblock"/>
    <w:qFormat/>
    <w:pPr/>
    <w:rPr/>
  </w:style>
  <w:style w:type="paragraph" w:styleId="plain">
    <w:name w:val="plain"/>
    <w:basedOn w:val="unjustifiedblock"/>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plain"/>
    <w:pPr>
      <w:tabs>
        <w:tab w:val="clear" w:pos="720"/>
        <w:tab w:val="center" w:pos="4320" w:leader="none"/>
        <w:tab w:val="right" w:pos="8640" w:leader="none"/>
      </w:tabs>
    </w:pPr>
    <w:rPr/>
  </w:style>
  <w:style w:type="paragraph" w:styleId="Header">
    <w:name w:val="header"/>
    <w:basedOn w:val="plain"/>
    <w:pPr>
      <w:tabs>
        <w:tab w:val="clear" w:pos="720"/>
        <w:tab w:val="center" w:pos="4320" w:leader="none"/>
        <w:tab w:val="right" w:pos="8640" w:leader="none"/>
      </w:tabs>
    </w:pPr>
    <w:rPr/>
  </w:style>
  <w:style w:type="paragraph" w:styleId="NormalIndent">
    <w:name w:val="Normal Indent"/>
    <w:basedOn w:val="singleblock"/>
    <w:qFormat/>
    <w:pPr>
      <w:ind w:hanging="0" w:start="1440" w:end="720"/>
    </w:pPr>
    <w:rPr/>
  </w:style>
  <w:style w:type="paragraph" w:styleId="normalblock">
    <w:name w:val="normal block"/>
    <w:basedOn w:val="Normal"/>
    <w:qFormat/>
    <w:pPr>
      <w:ind w:hanging="0" w:start="0" w:end="0"/>
    </w:pPr>
    <w:rPr/>
  </w:style>
  <w:style w:type="paragraph" w:styleId="hangingsingle">
    <w:name w:val="hanging single"/>
    <w:basedOn w:val="singleblock"/>
    <w:qFormat/>
    <w:pPr>
      <w:keepLines/>
      <w:ind w:hanging="720" w:start="720" w:end="360"/>
    </w:pPr>
    <w:rPr/>
  </w:style>
  <w:style w:type="paragraph" w:styleId="footnoteblock">
    <w:name w:val="footnote block"/>
    <w:basedOn w:val="FootnoteText"/>
    <w:qFormat/>
    <w:pPr>
      <w:ind w:hanging="0" w:start="288" w:end="0"/>
    </w:pPr>
    <w:rPr/>
  </w:style>
  <w:style w:type="paragraph" w:styleId="footnoteindent">
    <w:name w:val="footnote indent"/>
    <w:basedOn w:val="footnoteblock"/>
    <w:qFormat/>
    <w:pPr>
      <w:ind w:hanging="0" w:start="1440" w:end="720"/>
    </w:pPr>
    <w:rPr/>
  </w:style>
  <w:style w:type="paragraph" w:styleId="center">
    <w:name w:val="center"/>
    <w:basedOn w:val="unjustifiedblock"/>
    <w:qFormat/>
    <w:pPr>
      <w:keepLines/>
      <w:jc w:val="center"/>
    </w:pPr>
    <w:rPr/>
  </w:style>
  <w:style w:type="paragraph" w:styleId="c">
    <w:name w:val="c"/>
    <w:basedOn w:val="center"/>
    <w:qFormat/>
    <w:pPr/>
    <w:rPr/>
  </w:style>
  <w:style w:type="paragraph" w:styleId="hangingunjustified">
    <w:name w:val="hanging unjustified"/>
    <w:basedOn w:val="unjustifiedblock"/>
    <w:qFormat/>
    <w:pPr>
      <w:keepLines/>
      <w:ind w:hanging="720" w:start="720" w:end="0"/>
    </w:pPr>
    <w:rPr/>
  </w:style>
  <w:style w:type="paragraph" w:styleId="righthalf">
    <w:name w:val="right half"/>
    <w:basedOn w:val="unjustifiedblock"/>
    <w:qFormat/>
    <w:pPr>
      <w:keepLines/>
      <w:ind w:hanging="0" w:start="4320" w:end="0"/>
    </w:pPr>
    <w:rPr/>
  </w:style>
  <w:style w:type="paragraph" w:styleId="table">
    <w:name w:val="table"/>
    <w:basedOn w:val="plain"/>
    <w:qFormat/>
    <w:pPr>
      <w:spacing w:before="120" w:after="120"/>
    </w:pPr>
    <w:rPr/>
  </w:style>
  <w:style w:type="paragraph" w:styleId="toc11">
    <w:name w:val="toc1"/>
    <w:basedOn w:val="unjustifiedblock"/>
    <w:qFormat/>
    <w:pPr>
      <w:keepNext w:val="true"/>
      <w:keepLines/>
      <w:tabs>
        <w:tab w:val="clear" w:pos="720"/>
        <w:tab w:val="left" w:pos="7560" w:leader="dot"/>
        <w:tab w:val="right" w:pos="8280" w:leader="none"/>
      </w:tabs>
      <w:ind w:hanging="720" w:start="720" w:end="1440"/>
    </w:pPr>
    <w:rPr>
      <w:color w:val="0000FF"/>
    </w:rPr>
  </w:style>
  <w:style w:type="paragraph" w:styleId="toc21">
    <w:name w:val="toc2"/>
    <w:basedOn w:val="toc11"/>
    <w:qFormat/>
    <w:pPr>
      <w:keepNext w:val="false"/>
      <w:ind w:hanging="720" w:start="1440" w:end="1440"/>
    </w:pPr>
    <w:rPr/>
  </w:style>
  <w:style w:type="paragraph" w:styleId="toc31">
    <w:name w:val="toc3"/>
    <w:basedOn w:val="toc21"/>
    <w:qFormat/>
    <w:pPr>
      <w:ind w:hanging="720" w:start="2160" w:end="1440"/>
    </w:pPr>
    <w:rPr/>
  </w:style>
  <w:style w:type="paragraph" w:styleId="toc41">
    <w:name w:val="toc4"/>
    <w:basedOn w:val="toc31"/>
    <w:qFormat/>
    <w:pPr>
      <w:ind w:hanging="720" w:start="2880" w:end="1440"/>
    </w:pPr>
    <w:rPr/>
  </w:style>
  <w:style w:type="paragraph" w:styleId="toc51">
    <w:name w:val="toc5"/>
    <w:basedOn w:val="toc41"/>
    <w:qFormat/>
    <w:pPr>
      <w:ind w:hanging="720" w:start="3600" w:end="1440"/>
    </w:pPr>
    <w:rPr/>
  </w:style>
  <w:style w:type="paragraph" w:styleId="toc61">
    <w:name w:val="toc6"/>
    <w:basedOn w:val="toc41"/>
    <w:qFormat/>
    <w:pPr>
      <w:ind w:hanging="720" w:start="4320" w:end="1440"/>
    </w:pPr>
    <w:rPr/>
  </w:style>
  <w:style w:type="paragraph" w:styleId="toc71">
    <w:name w:val="toc7"/>
    <w:basedOn w:val="toc41"/>
    <w:qFormat/>
    <w:pPr>
      <w:ind w:hanging="720" w:start="5040" w:end="1440"/>
    </w:pPr>
    <w:rPr/>
  </w:style>
  <w:style w:type="paragraph" w:styleId="title">
    <w:name w:val="title"/>
    <w:basedOn w:val="center"/>
    <w:qFormat/>
    <w:pPr/>
    <w:rPr>
      <w:b/>
    </w:rPr>
  </w:style>
  <w:style w:type="paragraph" w:styleId="coverpage">
    <w:name w:val="cover page"/>
    <w:basedOn w:val="unjustifiedblock"/>
    <w:qFormat/>
    <w:pPr/>
    <w:rPr/>
  </w:style>
  <w:style w:type="paragraph" w:styleId="macrobutton">
    <w:name w:val="macrobutton"/>
    <w:basedOn w:val="plain"/>
    <w:qFormat/>
    <w:pPr>
      <w:pBdr>
        <w:top w:val="single" w:sz="6" w:space="1" w:color="000000" w:shadow="1"/>
        <w:left w:val="single" w:sz="6" w:space="1" w:color="000000" w:shadow="1"/>
        <w:bottom w:val="single" w:sz="6" w:space="1" w:color="000000" w:shadow="1"/>
        <w:right w:val="single" w:sz="6" w:space="1" w:color="000000" w:shadow="1"/>
      </w:pBdr>
      <w:ind w:hanging="0" w:start="-144" w:end="4320"/>
    </w:pPr>
    <w:rPr>
      <w:rFonts w:ascii="Univers (WN)" w:hAnsi="Univers (WN)" w:cs="Univers (WN)"/>
      <w:b/>
      <w:vanish/>
      <w:color w:val="FF0000"/>
      <w:sz w:val="26"/>
    </w:rPr>
  </w:style>
  <w:style w:type="paragraph" w:styleId="GilbertAssoc1990">
    <w:name w:val="©Gilbert&amp;Assoc. 1990"/>
    <w:basedOn w:val="Normal"/>
    <w:qFormat/>
    <w:pPr/>
    <w:rPr/>
  </w:style>
  <w:style w:type="paragraph" w:styleId="hangingnormal">
    <w:name w:val="hanging normal"/>
    <w:basedOn w:val="normalblock"/>
    <w:qFormat/>
    <w:pPr>
      <w:ind w:hanging="720" w:start="720" w:end="0"/>
    </w:pPr>
    <w:rPr/>
  </w:style>
  <w:style w:type="paragraph" w:styleId="toc1tab">
    <w:name w:val="toc 1 tab"/>
    <w:basedOn w:val="TOC1"/>
    <w:qFormat/>
    <w:pPr>
      <w:tabs>
        <w:tab w:val="clear" w:pos="720"/>
        <w:tab w:val="decimal" w:pos="540" w:leader="none"/>
        <w:tab w:val="decimal" w:pos="900" w:leader="none"/>
        <w:tab w:val="decimal" w:pos="8640" w:leader="dot"/>
        <w:tab w:val="decimal" w:pos="9072" w:leader="none"/>
      </w:tabs>
      <w:ind w:hanging="1440" w:start="720" w:end="720"/>
    </w:pPr>
    <w:rPr/>
  </w:style>
  <w:style w:type="paragraph" w:styleId="EnvelopeAddress">
    <w:name w:val="envelope address"/>
    <w:basedOn w:val="Normal"/>
    <w:pPr>
      <w:spacing w:lineRule="auto" w:line="240" w:before="0" w:after="0"/>
      <w:ind w:hanging="0" w:start="2880" w:end="0"/>
    </w:pPr>
    <w:rPr/>
  </w:style>
  <w:style w:type="paragraph" w:styleId="EnvelopeReturn">
    <w:name w:val="envelope return"/>
    <w:basedOn w:val="Normal"/>
    <w:pPr>
      <w:spacing w:lineRule="auto" w:line="240" w:before="0" w:after="0"/>
      <w:ind w:hanging="0" w:start="0" w:end="0"/>
    </w:pPr>
    <w:rPr/>
  </w:style>
  <w:style w:type="paragraph" w:styleId="ADD">
    <w:name w:val="ADD"/>
    <w:basedOn w:val="Normal"/>
    <w:qFormat/>
    <w:pPr>
      <w:ind w:hanging="900" w:start="2340" w:end="0"/>
    </w:pPr>
    <w:rPr/>
  </w:style>
  <w:style w:type="paragraph" w:styleId="ListContinue2">
    <w:name w:val="List Continue 2"/>
    <w:basedOn w:val="Normal"/>
    <w:qFormat/>
    <w:pPr>
      <w:spacing w:before="240" w:after="120"/>
      <w:ind w:firstLine="720" w:start="720" w:end="0"/>
    </w:pPr>
    <w:rPr/>
  </w:style>
  <w:style w:type="paragraph" w:styleId="BodyTextIndent">
    <w:name w:val="Body Text Indent"/>
    <w:basedOn w:val="Normal"/>
    <w:pPr>
      <w:jc w:val="both"/>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1999-10-04T16:56:00Z</dcterms:created>
  <dc:creator>Authorized Gateway Customer</dc:creator>
  <dc:description/>
  <dc:language>en-CA</dc:language>
  <cp:lastModifiedBy>Syeda Sullivan</cp:lastModifiedBy>
  <cp:lastPrinted>1999-09-23T13:42:00Z</cp:lastPrinted>
  <dcterms:modified xsi:type="dcterms:W3CDTF">2000-03-28T13:25:00Z</dcterms:modified>
  <cp:revision>5</cp:revision>
  <dc:subject/>
  <dc:title>Schwab Distribution</dc:title>
</cp:coreProperties>
</file>