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drawing>
          <wp:anchor behindDoc="0" distT="0" distB="0" distL="114935" distR="114935" simplePos="0" locked="0" layoutInCell="0" allowOverlap="1" relativeHeight="20">
            <wp:simplePos x="0" y="0"/>
            <wp:positionH relativeFrom="column">
              <wp:posOffset>-420370</wp:posOffset>
            </wp:positionH>
            <wp:positionV relativeFrom="paragraph">
              <wp:posOffset>-40005</wp:posOffset>
            </wp:positionV>
            <wp:extent cx="3563620" cy="996315"/>
            <wp:effectExtent l="0" t="0" r="0" b="0"/>
            <wp:wrapTopAndBottom/>
            <wp:docPr id="1" name="sp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 descr="" title=""/>
                    <pic:cNvPicPr>
                      <a:picLocks noChangeAspect="1" noChangeArrowheads="1"/>
                    </pic:cNvPicPr>
                  </pic:nvPicPr>
                  <pic:blipFill>
                    <a:blip r:embed="rId2"/>
                    <a:srcRect l="-5" t="-19" r="-5" b="-19"/>
                    <a:stretch>
                      <a:fillRect/>
                    </a:stretch>
                  </pic:blipFill>
                  <pic:spPr bwMode="auto">
                    <a:xfrm>
                      <a:off x="0" y="0"/>
                      <a:ext cx="3563620" cy="996315"/>
                    </a:xfrm>
                    <a:prstGeom prst="rect">
                      <a:avLst/>
                    </a:prstGeom>
                    <a:noFill/>
                  </pic:spPr>
                </pic:pic>
              </a:graphicData>
            </a:graphic>
          </wp:anchor>
        </w:drawing>
        <mc:AlternateContent>
          <mc:Choice Requires="wps">
            <w:drawing>
              <wp:anchor behindDoc="0" distT="0" distB="0" distL="114935" distR="114935" simplePos="0" locked="0" layoutInCell="1" allowOverlap="1" relativeHeight="21">
                <wp:simplePos x="0" y="0"/>
                <wp:positionH relativeFrom="column">
                  <wp:posOffset>-447675</wp:posOffset>
                </wp:positionH>
                <wp:positionV relativeFrom="paragraph">
                  <wp:posOffset>-200025</wp:posOffset>
                </wp:positionV>
                <wp:extent cx="6810375" cy="0"/>
                <wp:effectExtent l="0" t="9525" r="0" b="9525"/>
                <wp:wrapNone/>
                <wp:docPr id="2" name=""/>
                <a:graphic xmlns:a="http://schemas.openxmlformats.org/drawingml/2006/main">
                  <a:graphicData uri="http://schemas.microsoft.com/office/word/2010/wordprocessingShape">
                    <wps:wsp>
                      <wps:cNvSpPr/>
                      <wps:spPr>
                        <a:xfrm>
                          <a:off x="0" y="0"/>
                          <a:ext cx="6810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5.25pt,-15.75pt" to="500.95pt,-15.75pt" stroked="t" o:allowincell="f" style="position:absolute">
                <v:stroke color="black" weight="19080" joinstyle="miter" endcap="flat"/>
                <v:fill o:detectmouseclick="t" on="false"/>
                <w10:wrap type="none"/>
              </v:line>
            </w:pict>
          </mc:Fallback>
        </mc:AlternateContent>
      </w:r>
    </w:p>
    <w:p>
      <w:pPr>
        <w:pStyle w:val="Normal"/>
        <w:rPr/>
      </w:pPr>
      <w:r>
        <w:rPr/>
      </w:r>
    </w:p>
    <w:p>
      <w:pPr>
        <w:pStyle w:val="Header"/>
        <w:tabs>
          <w:tab w:val="clear" w:pos="4320"/>
          <w:tab w:val="clear" w:pos="8640"/>
        </w:tabs>
        <w:rPr>
          <w:lang w:val="en-CA" w:eastAsia="en-CA"/>
        </w:rPr>
      </w:pPr>
      <w:r>
        <w:rPr>
          <w:lang w:val="en-CA" w:eastAsia="en-CA"/>
        </w:rPr>
      </w:r>
    </w:p>
    <w:p>
      <w:pPr>
        <w:pStyle w:val="Normal"/>
        <w:rPr>
          <w:lang w:val="en-CA" w:eastAsia="en-CA"/>
        </w:rPr>
      </w:pPr>
      <w:r>
        <w:rPr>
          <w:lang w:val="en-CA" w:eastAsia="en-CA"/>
        </w:rPr>
      </w:r>
    </w:p>
    <w:p>
      <w:pPr>
        <w:pStyle w:val="Normal"/>
        <w:rPr/>
      </w:pPr>
      <w:r>
        <w:rPr/>
      </w:r>
    </w:p>
    <w:p>
      <w:pPr>
        <w:pStyle w:val="Normal"/>
        <w:rPr/>
      </w:pPr>
      <w:r>
        <w:rPr/>
      </w:r>
    </w:p>
    <w:p>
      <w:pPr>
        <w:pStyle w:val="Header"/>
        <w:tabs>
          <w:tab w:val="clear" w:pos="4320"/>
          <w:tab w:val="clear" w:pos="8640"/>
        </w:tabs>
        <w:spacing w:lineRule="auto" w:line="360" w:before="0" w:after="0"/>
        <w:rPr>
          <w:lang w:val="en-CA" w:eastAsia="en-CA"/>
        </w:rPr>
      </w:pPr>
      <w:r>
        <w:rPr>
          <w:lang w:val="en-CA" w:eastAsia="en-CA"/>
        </w:rPr>
      </w:r>
      <w:r>
        <mc:AlternateContent>
          <mc:Choice Requires="wps">
            <w:drawing>
              <wp:anchor behindDoc="0" distT="0" distB="0" distL="114935" distR="114935" simplePos="0" locked="0" layoutInCell="0" allowOverlap="1" relativeHeight="22">
                <wp:simplePos x="0" y="0"/>
                <wp:positionH relativeFrom="column">
                  <wp:posOffset>0</wp:posOffset>
                </wp:positionH>
                <wp:positionV relativeFrom="paragraph">
                  <wp:posOffset>487680</wp:posOffset>
                </wp:positionV>
                <wp:extent cx="5819775" cy="2181225"/>
                <wp:effectExtent l="0" t="0" r="0" b="0"/>
                <wp:wrapSquare wrapText="bothSides"/>
                <wp:docPr id="3" name="Frame1"/>
                <a:graphic xmlns:a="http://schemas.openxmlformats.org/drawingml/2006/main">
                  <a:graphicData uri="http://schemas.microsoft.com/office/word/2010/wordprocessingShape">
                    <wps:wsp>
                      <wps:cNvSpPr txBox="1"/>
                      <wps:spPr>
                        <a:xfrm>
                          <a:off x="0" y="0"/>
                          <a:ext cx="5819775" cy="2181225"/>
                        </a:xfrm>
                        <a:prstGeom prst="rect"/>
                        <a:solidFill>
                          <a:srgbClr val="FFFFFF"/>
                        </a:solidFill>
                      </wps:spPr>
                      <wps:txbx>
                        <w:txbxContent>
                          <w:p>
                            <w:pPr>
                              <w:pStyle w:val="Heading"/>
                              <w:spacing w:before="240" w:after="60"/>
                              <w:rPr>
                                <w:sz w:val="48"/>
                              </w:rPr>
                            </w:pPr>
                            <w:r>
                              <w:rPr>
                                <w:sz w:val="48"/>
                              </w:rPr>
                              <w:t>Credit Policy</w:t>
                            </w:r>
                          </w:p>
                          <w:p>
                            <w:pPr>
                              <w:pStyle w:val="Heading"/>
                              <w:spacing w:before="240" w:after="60"/>
                              <w:rPr>
                                <w:sz w:val="48"/>
                              </w:rPr>
                            </w:pPr>
                            <w:r>
                              <w:rPr>
                                <w:sz w:val="48"/>
                              </w:rPr>
                            </w:r>
                          </w:p>
                        </w:txbxContent>
                      </wps:txbx>
                      <wps:bodyPr anchor="t" lIns="92075" tIns="46355" rIns="92075" bIns="46355">
                        <a:noAutofit/>
                      </wps:bodyPr>
                    </wps:wsp>
                  </a:graphicData>
                </a:graphic>
              </wp:anchor>
            </w:drawing>
          </mc:Choice>
          <mc:Fallback>
            <w:pict>
              <v:rect fillcolor="#FFFFFF" style="position:absolute;rotation:-0;width:458.25pt;height:171.75pt;mso-wrap-distance-left:9.05pt;mso-wrap-distance-right:9.05pt;mso-wrap-distance-top:0pt;mso-wrap-distance-bottom:0pt;margin-top:38.4pt;mso-position-vertical-relative:text;margin-left:0pt;mso-position-horizontal-relative:text">
                <v:textbox inset="0.100694444444444in,0.0506944444444444in,0.100694444444444in,0.0506944444444444in">
                  <w:txbxContent>
                    <w:p>
                      <w:pPr>
                        <w:pStyle w:val="Heading"/>
                        <w:spacing w:before="240" w:after="60"/>
                        <w:rPr>
                          <w:sz w:val="48"/>
                        </w:rPr>
                      </w:pPr>
                      <w:r>
                        <w:rPr>
                          <w:sz w:val="48"/>
                        </w:rPr>
                        <w:t>Credit Policy</w:t>
                      </w:r>
                    </w:p>
                    <w:p>
                      <w:pPr>
                        <w:pStyle w:val="Heading"/>
                        <w:spacing w:before="240" w:after="60"/>
                        <w:rPr>
                          <w:sz w:val="48"/>
                        </w:rPr>
                      </w:pPr>
                      <w:r>
                        <w:rPr>
                          <w:sz w:val="48"/>
                        </w:rPr>
                      </w:r>
                    </w:p>
                  </w:txbxContent>
                </v:textbox>
                <w10:wrap type="square"/>
              </v:rect>
            </w:pict>
          </mc:Fallback>
        </mc:AlternateContent>
      </w:r>
    </w:p>
    <w:p>
      <w:pPr>
        <w:pStyle w:val="Normal"/>
        <w:rPr>
          <w:i/>
          <w:i/>
          <w:iCs/>
          <w:color w:val="000000"/>
          <w:lang w:val="en-CA" w:eastAsia="en-CA"/>
        </w:rPr>
      </w:pPr>
      <w:r>
        <w:rPr>
          <w:i/>
          <w:iCs/>
          <w:color w:val="000000"/>
          <w:lang w:val="en-CA" w:eastAsia="en-CA"/>
        </w:rPr>
      </w:r>
    </w:p>
    <w:p>
      <w:pPr>
        <w:sectPr>
          <w:footerReference w:type="default" r:id="rId3"/>
          <w:type w:val="nextPage"/>
          <w:pgSz w:w="12240" w:h="15840"/>
          <w:pgMar w:left="1440" w:right="1440" w:gutter="0" w:header="0" w:top="1440" w:footer="720" w:bottom="1260"/>
          <w:pgNumType w:start="1" w:fmt="lowerRoman"/>
          <w:formProt w:val="false"/>
          <w:textDirection w:val="lrTb"/>
          <w:docGrid w:type="default" w:linePitch="360" w:charSpace="0"/>
        </w:sectPr>
        <w:pStyle w:val="Normal"/>
        <w:rPr>
          <w:i/>
          <w:i/>
          <w:iCs/>
          <w:color w:val="000000"/>
          <w:sz w:val="20"/>
          <w:lang w:val="en-CA" w:eastAsia="en-CA"/>
        </w:rPr>
      </w:pPr>
      <w:r>
        <w:rPr>
          <w:i/>
          <w:iCs/>
          <w:color w:val="000000"/>
          <w:sz w:val="20"/>
          <w:lang w:val="en-CA" w:eastAsia="en-CA"/>
        </w:rPr>
        <mc:AlternateContent>
          <mc:Choice Requires="wps">
            <w:drawing>
              <wp:anchor behindDoc="0" distT="0" distB="0" distL="114935" distR="114935" simplePos="0" locked="0" layoutInCell="1" allowOverlap="1" relativeHeight="24">
                <wp:simplePos x="0" y="0"/>
                <wp:positionH relativeFrom="column">
                  <wp:posOffset>-457200</wp:posOffset>
                </wp:positionH>
                <wp:positionV relativeFrom="paragraph">
                  <wp:posOffset>4568190</wp:posOffset>
                </wp:positionV>
                <wp:extent cx="6810375" cy="0"/>
                <wp:effectExtent l="0" t="9525" r="0" b="9525"/>
                <wp:wrapNone/>
                <wp:docPr id="4" name=""/>
                <a:graphic xmlns:a="http://schemas.openxmlformats.org/drawingml/2006/main">
                  <a:graphicData uri="http://schemas.microsoft.com/office/word/2010/wordprocessingShape">
                    <wps:wsp>
                      <wps:cNvSpPr/>
                      <wps:spPr>
                        <a:xfrm>
                          <a:off x="0" y="0"/>
                          <a:ext cx="6810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359.7pt" to="500.2pt,359.7pt" stroked="t" o:allowincell="f" style="position:absolute">
                <v:stroke color="black" weight="190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-304800</wp:posOffset>
                </wp:positionH>
                <wp:positionV relativeFrom="paragraph">
                  <wp:posOffset>2584450</wp:posOffset>
                </wp:positionV>
                <wp:extent cx="6810375" cy="0"/>
                <wp:effectExtent l="0" t="9525" r="0" b="9525"/>
                <wp:wrapNone/>
                <wp:docPr id="5" name=""/>
                <a:graphic xmlns:a="http://schemas.openxmlformats.org/drawingml/2006/main">
                  <a:graphicData uri="http://schemas.microsoft.com/office/word/2010/wordprocessingShape">
                    <wps:wsp>
                      <wps:cNvSpPr/>
                      <wps:spPr>
                        <a:xfrm>
                          <a:off x="0" y="0"/>
                          <a:ext cx="6810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24pt,203.5pt" to="512.2pt,203.5pt" stroked="t" o:allowincell="f" style="position:absolute">
                <v:stroke color="black" weight="19080"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23">
                <wp:simplePos x="0" y="0"/>
                <wp:positionH relativeFrom="column">
                  <wp:posOffset>0</wp:posOffset>
                </wp:positionH>
                <wp:positionV relativeFrom="paragraph">
                  <wp:posOffset>527050</wp:posOffset>
                </wp:positionV>
                <wp:extent cx="5819775" cy="2014220"/>
                <wp:effectExtent l="0" t="0" r="0" b="0"/>
                <wp:wrapSquare wrapText="bothSides"/>
                <wp:docPr id="6" name="Frame2"/>
                <a:graphic xmlns:a="http://schemas.openxmlformats.org/drawingml/2006/main">
                  <a:graphicData uri="http://schemas.microsoft.com/office/word/2010/wordprocessingShape">
                    <wps:wsp>
                      <wps:cNvSpPr txBox="1"/>
                      <wps:spPr>
                        <a:xfrm>
                          <a:off x="0" y="0"/>
                          <a:ext cx="5819775" cy="2014220"/>
                        </a:xfrm>
                        <a:prstGeom prst="rect"/>
                        <a:solidFill>
                          <a:srgbClr val="FFFFFF"/>
                        </a:solidFill>
                      </wps:spPr>
                      <wps:txbx>
                        <w:txbxContent>
                          <w:p>
                            <w:pPr>
                              <w:pStyle w:val="Normal"/>
                              <w:jc w:val="center"/>
                              <w:rPr>
                                <w:rFonts w:ascii="Arial" w:hAnsi="Arial" w:cs="Arial"/>
                              </w:rPr>
                            </w:pPr>
                            <w:r>
                              <w:rPr>
                                <w:rFonts w:cs="Arial" w:ascii="Arial" w:hAnsi="Arial"/>
                              </w:rPr>
                              <w:t>MAINTAINED BY</w:t>
                            </w:r>
                          </w:p>
                          <w:p>
                            <w:pPr>
                              <w:pStyle w:val="Normal"/>
                              <w:jc w:val="center"/>
                              <w:rPr>
                                <w:rFonts w:ascii="Arial" w:hAnsi="Arial" w:cs="Arial"/>
                              </w:rPr>
                            </w:pPr>
                            <w:r>
                              <w:rPr>
                                <w:rFonts w:cs="Arial" w:ascii="Arial" w:hAnsi="Arial"/>
                              </w:rPr>
                              <w:t>Tariff Accounting</w:t>
                            </w:r>
                          </w:p>
                          <w:p>
                            <w:pPr>
                              <w:pStyle w:val="Normal"/>
                              <w:jc w:val="center"/>
                              <w:rPr>
                                <w:rFonts w:ascii="Arial" w:hAnsi="Arial" w:cs="Arial"/>
                                <w:sz w:val="16"/>
                              </w:rPr>
                            </w:pPr>
                            <w:r>
                              <w:rPr>
                                <w:rFonts w:cs="Arial" w:ascii="Arial" w:hAnsi="Arial"/>
                                <w:sz w:val="16"/>
                              </w:rPr>
                            </w:r>
                          </w:p>
                          <w:p>
                            <w:pPr>
                              <w:pStyle w:val="Normal"/>
                              <w:jc w:val="center"/>
                              <w:rPr>
                                <w:rFonts w:ascii="Arial" w:hAnsi="Arial" w:cs="Arial"/>
                                <w:color w:val="000000"/>
                                <w:sz w:val="16"/>
                              </w:rPr>
                            </w:pPr>
                            <w:r>
                              <w:rPr>
                                <w:rFonts w:cs="Arial" w:ascii="Arial" w:hAnsi="Arial"/>
                                <w:color w:val="000000"/>
                                <w:sz w:val="16"/>
                              </w:rPr>
                            </w:r>
                          </w:p>
                          <w:p>
                            <w:pPr>
                              <w:pStyle w:val="Normal"/>
                              <w:jc w:val="center"/>
                              <w:rPr>
                                <w:rFonts w:ascii="Arial" w:hAnsi="Arial" w:cs="Arial"/>
                              </w:rPr>
                            </w:pPr>
                            <w:r>
                              <w:rPr>
                                <w:rFonts w:cs="Arial" w:ascii="Arial" w:hAnsi="Arial"/>
                              </w:rPr>
                              <w:t>PUBLISHED:  November 14, 2001</w:t>
                            </w:r>
                          </w:p>
                          <w:p>
                            <w:pPr>
                              <w:pStyle w:val="Normal"/>
                              <w:jc w:val="center"/>
                              <w:rPr>
                                <w:rFonts w:ascii="Arial" w:hAnsi="Arial" w:cs="Arial"/>
                              </w:rPr>
                            </w:pPr>
                            <w:r>
                              <w:rPr>
                                <w:rFonts w:cs="Arial" w:ascii="Arial" w:hAnsi="Arial"/>
                              </w:rPr>
                              <w:t>LATEST REVISION:  November 14, 2001</w:t>
                            </w:r>
                          </w:p>
                          <w:p>
                            <w:pPr>
                              <w:pStyle w:val="Normal"/>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r>
                          </w:p>
                          <w:p>
                            <w:pPr>
                              <w:pStyle w:val="Normal"/>
                              <w:jc w:val="center"/>
                              <w:rPr>
                                <w:b/>
                                <w:bCs/>
                                <w:i/>
                                <w:i/>
                                <w:iCs/>
                                <w:color w:val="000000"/>
                              </w:rPr>
                            </w:pPr>
                            <w:r>
                              <w:rPr>
                                <w:b/>
                                <w:bCs/>
                                <w:i/>
                                <w:iCs/>
                                <w:color w:val="000000"/>
                              </w:rPr>
                              <w:t>Copyright © 2001 by Southwest Power Pool, Inc. All rights reserved.</w:t>
                            </w:r>
                          </w:p>
                        </w:txbxContent>
                      </wps:txbx>
                      <wps:bodyPr anchor="t" lIns="92075" tIns="46355" rIns="92075" bIns="46355">
                        <a:noAutofit/>
                      </wps:bodyPr>
                    </wps:wsp>
                  </a:graphicData>
                </a:graphic>
              </wp:anchor>
            </w:drawing>
          </mc:Choice>
          <mc:Fallback>
            <w:pict>
              <v:rect fillcolor="#FFFFFF" style="position:absolute;rotation:-0;width:458.25pt;height:158.6pt;mso-wrap-distance-left:9.05pt;mso-wrap-distance-right:9.05pt;mso-wrap-distance-top:0pt;mso-wrap-distance-bottom:0pt;margin-top:41.5pt;mso-position-vertical-relative:text;margin-left:0pt;mso-position-horizontal-relative:text">
                <v:textbox inset="0.100694444444444in,0.0506944444444444in,0.100694444444444in,0.0506944444444444in">
                  <w:txbxContent>
                    <w:p>
                      <w:pPr>
                        <w:pStyle w:val="Normal"/>
                        <w:jc w:val="center"/>
                        <w:rPr>
                          <w:rFonts w:ascii="Arial" w:hAnsi="Arial" w:cs="Arial"/>
                        </w:rPr>
                      </w:pPr>
                      <w:r>
                        <w:rPr>
                          <w:rFonts w:cs="Arial" w:ascii="Arial" w:hAnsi="Arial"/>
                        </w:rPr>
                        <w:t>MAINTAINED BY</w:t>
                      </w:r>
                    </w:p>
                    <w:p>
                      <w:pPr>
                        <w:pStyle w:val="Normal"/>
                        <w:jc w:val="center"/>
                        <w:rPr>
                          <w:rFonts w:ascii="Arial" w:hAnsi="Arial" w:cs="Arial"/>
                        </w:rPr>
                      </w:pPr>
                      <w:r>
                        <w:rPr>
                          <w:rFonts w:cs="Arial" w:ascii="Arial" w:hAnsi="Arial"/>
                        </w:rPr>
                        <w:t>Tariff Accounting</w:t>
                      </w:r>
                    </w:p>
                    <w:p>
                      <w:pPr>
                        <w:pStyle w:val="Normal"/>
                        <w:jc w:val="center"/>
                        <w:rPr>
                          <w:rFonts w:ascii="Arial" w:hAnsi="Arial" w:cs="Arial"/>
                          <w:sz w:val="16"/>
                        </w:rPr>
                      </w:pPr>
                      <w:r>
                        <w:rPr>
                          <w:rFonts w:cs="Arial" w:ascii="Arial" w:hAnsi="Arial"/>
                          <w:sz w:val="16"/>
                        </w:rPr>
                      </w:r>
                    </w:p>
                    <w:p>
                      <w:pPr>
                        <w:pStyle w:val="Normal"/>
                        <w:jc w:val="center"/>
                        <w:rPr>
                          <w:rFonts w:ascii="Arial" w:hAnsi="Arial" w:cs="Arial"/>
                          <w:color w:val="000000"/>
                          <w:sz w:val="16"/>
                        </w:rPr>
                      </w:pPr>
                      <w:r>
                        <w:rPr>
                          <w:rFonts w:cs="Arial" w:ascii="Arial" w:hAnsi="Arial"/>
                          <w:color w:val="000000"/>
                          <w:sz w:val="16"/>
                        </w:rPr>
                      </w:r>
                    </w:p>
                    <w:p>
                      <w:pPr>
                        <w:pStyle w:val="Normal"/>
                        <w:jc w:val="center"/>
                        <w:rPr>
                          <w:rFonts w:ascii="Arial" w:hAnsi="Arial" w:cs="Arial"/>
                        </w:rPr>
                      </w:pPr>
                      <w:r>
                        <w:rPr>
                          <w:rFonts w:cs="Arial" w:ascii="Arial" w:hAnsi="Arial"/>
                        </w:rPr>
                        <w:t>PUBLISHED:  November 14, 2001</w:t>
                      </w:r>
                    </w:p>
                    <w:p>
                      <w:pPr>
                        <w:pStyle w:val="Normal"/>
                        <w:jc w:val="center"/>
                        <w:rPr>
                          <w:rFonts w:ascii="Arial" w:hAnsi="Arial" w:cs="Arial"/>
                        </w:rPr>
                      </w:pPr>
                      <w:r>
                        <w:rPr>
                          <w:rFonts w:cs="Arial" w:ascii="Arial" w:hAnsi="Arial"/>
                        </w:rPr>
                        <w:t>LATEST REVISION:  November 14, 2001</w:t>
                      </w:r>
                    </w:p>
                    <w:p>
                      <w:pPr>
                        <w:pStyle w:val="Normal"/>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r>
                    </w:p>
                    <w:p>
                      <w:pPr>
                        <w:pStyle w:val="Normal"/>
                        <w:jc w:val="center"/>
                        <w:rPr>
                          <w:b/>
                          <w:bCs/>
                          <w:i/>
                          <w:i/>
                          <w:iCs/>
                          <w:color w:val="000000"/>
                        </w:rPr>
                      </w:pPr>
                      <w:r>
                        <w:rPr>
                          <w:b/>
                          <w:bCs/>
                          <w:i/>
                          <w:iCs/>
                          <w:color w:val="000000"/>
                        </w:rPr>
                        <w:t>Copyright © 2001 by Southwest Power Pool, Inc. All rights reserved.</w:t>
                      </w:r>
                    </w:p>
                  </w:txbxContent>
                </v:textbox>
                <w10:wrap type="square"/>
              </v:rect>
            </w:pict>
          </mc:Fallback>
        </mc:AlternateContent>
      </w:r>
    </w:p>
    <w:p>
      <w:pPr>
        <w:pStyle w:val="Normal"/>
        <w:numPr>
          <w:ilvl w:val="0"/>
          <w:numId w:val="7"/>
        </w:numPr>
        <w:rPr/>
      </w:pPr>
      <w:r>
        <w:rPr/>
        <w:t>Purpose</w:t>
      </w:r>
    </w:p>
    <w:p>
      <w:pPr>
        <w:pStyle w:val="Normal"/>
        <w:ind w:start="720" w:end="0"/>
        <w:rPr/>
      </w:pPr>
      <w:r>
        <w:rPr/>
      </w:r>
    </w:p>
    <w:p>
      <w:pPr>
        <w:pStyle w:val="Normal"/>
        <w:ind w:start="720" w:end="0"/>
        <w:rPr/>
      </w:pPr>
      <w:r>
        <w:rPr/>
        <w:t>To establish the Credit Policy of Southwest Power Pool, Inc. (SPP) for the application for and maintenance of credit by Market Participants and Transmission Customers doing business under one or more agreements. This policy will discuss alternative forms of security that will be deemed acceptable in the event that a Market Participant or Transmission Customer does not satisfy the financial viability requirements to establish an unsupported extension of credit. This policy will also set out default conditions. SPP reserves the right to change this policy at any time.</w:t>
      </w:r>
    </w:p>
    <w:p>
      <w:pPr>
        <w:pStyle w:val="Header"/>
        <w:tabs>
          <w:tab w:val="clear" w:pos="4320"/>
          <w:tab w:val="clear" w:pos="8640"/>
        </w:tabs>
        <w:spacing w:lineRule="auto" w:line="360" w:before="0" w:after="0"/>
        <w:rPr/>
      </w:pPr>
      <w:r>
        <w:rPr/>
      </w:r>
    </w:p>
    <w:p>
      <w:pPr>
        <w:pStyle w:val="Normal"/>
        <w:numPr>
          <w:ilvl w:val="0"/>
          <w:numId w:val="7"/>
        </w:numPr>
        <w:rPr/>
      </w:pPr>
      <w:r>
        <w:rPr/>
        <w:t>Policy</w:t>
      </w:r>
    </w:p>
    <w:p>
      <w:pPr>
        <w:pStyle w:val="Normal"/>
        <w:ind w:start="720" w:end="0"/>
        <w:rPr/>
      </w:pPr>
      <w:r>
        <w:rPr/>
      </w:r>
    </w:p>
    <w:p>
      <w:pPr>
        <w:pStyle w:val="BodyTextIndent"/>
        <w:spacing w:lineRule="auto" w:line="360"/>
        <w:rPr>
          <w:bCs w:val="false"/>
        </w:rPr>
      </w:pPr>
      <w:r>
        <w:rPr>
          <w:bCs w:val="false"/>
        </w:rPr>
        <w:t>Prior to a Market Participant or Transmission Customer taking service under one or more agreements it must have an approved Credit Application, and an established Maximum Outstanding Obligation Limit with SPP. Each Market Participant or Transmission Customer must satisfy the Financial Viability Requirements and, if necessary, provide the Financial Security set forth in this Policy.</w:t>
      </w:r>
    </w:p>
    <w:p>
      <w:pPr>
        <w:pStyle w:val="Normal"/>
        <w:ind w:start="720" w:end="0"/>
        <w:rPr>
          <w:bCs/>
        </w:rPr>
      </w:pPr>
      <w:r>
        <w:rPr>
          <w:bCs/>
        </w:rPr>
      </w:r>
    </w:p>
    <w:p>
      <w:pPr>
        <w:pStyle w:val="Heading1"/>
        <w:numPr>
          <w:ilvl w:val="0"/>
          <w:numId w:val="11"/>
        </w:numPr>
        <w:rPr>
          <w:b w:val="false"/>
        </w:rPr>
      </w:pPr>
      <w:r>
        <w:rPr>
          <w:b w:val="false"/>
        </w:rPr>
        <w:t>FINANCIAL VIABILITY REQUIREMENTS</w:t>
      </w:r>
    </w:p>
    <w:p>
      <w:pPr>
        <w:pStyle w:val="Normal"/>
        <w:ind w:start="720" w:end="0"/>
        <w:rPr>
          <w:b/>
        </w:rPr>
      </w:pPr>
      <w:r>
        <w:rPr>
          <w:b/>
        </w:rPr>
      </w:r>
    </w:p>
    <w:p>
      <w:pPr>
        <w:pStyle w:val="BodyTextIndent2"/>
        <w:spacing w:lineRule="auto" w:line="360"/>
        <w:rPr>
          <w:bCs w:val="false"/>
        </w:rPr>
      </w:pPr>
      <w:r>
        <w:rPr>
          <w:bCs w:val="false"/>
        </w:rPr>
        <w:t xml:space="preserve">Each Applicant must submit proof of financial viability as described below. In addition to Financial Security, an Applicant will be required to provide its own, and if applicable, its guarantor’s financial statements and any other requested information. </w:t>
      </w:r>
    </w:p>
    <w:p>
      <w:pPr>
        <w:pStyle w:val="Normal"/>
        <w:ind w:start="1440" w:end="0"/>
        <w:rPr>
          <w:bCs/>
        </w:rPr>
      </w:pPr>
      <w:r>
        <w:rPr>
          <w:bCs/>
        </w:rPr>
      </w:r>
    </w:p>
    <w:p>
      <w:pPr>
        <w:pStyle w:val="Normal"/>
        <w:ind w:start="1440" w:end="0"/>
        <w:rPr/>
      </w:pPr>
      <w:r>
        <w:rPr/>
        <w:t>In determining the amount of credit to be extended, SPP will consider rating agency reports, financial statements, references, litigation, commitments and contingencies, and other available information. Any information requested by SPP must be provided within ten (10) business days of the request.</w:t>
      </w:r>
    </w:p>
    <w:p>
      <w:pPr>
        <w:pStyle w:val="Normal"/>
        <w:ind w:start="1440" w:end="0"/>
        <w:rPr/>
      </w:pPr>
      <w:r>
        <w:rPr/>
      </w:r>
    </w:p>
    <w:p>
      <w:pPr>
        <w:pStyle w:val="Normal"/>
        <w:ind w:start="1440" w:end="0"/>
        <w:rPr/>
      </w:pPr>
      <w:r>
        <w:rPr/>
        <w:t>No customer or participant is given unsecured available credit of more than $1 million.</w:t>
      </w:r>
    </w:p>
    <w:p>
      <w:pPr>
        <w:pStyle w:val="Normal"/>
        <w:ind w:start="1440" w:end="0"/>
        <w:rPr/>
      </w:pPr>
      <w:r>
        <w:rPr/>
      </w:r>
    </w:p>
    <w:p>
      <w:pPr>
        <w:pStyle w:val="Normal"/>
        <w:numPr>
          <w:ilvl w:val="0"/>
          <w:numId w:val="2"/>
        </w:numPr>
        <w:rPr/>
      </w:pPr>
      <w:r>
        <w:rPr/>
        <w:t>Rating Agency Reports</w:t>
      </w:r>
    </w:p>
    <w:p>
      <w:pPr>
        <w:pStyle w:val="Normal"/>
        <w:ind w:start="2160" w:end="0"/>
        <w:rPr/>
      </w:pPr>
      <w:r>
        <w:rPr/>
      </w:r>
    </w:p>
    <w:p>
      <w:pPr>
        <w:pStyle w:val="BodyTextIndent3"/>
        <w:spacing w:lineRule="auto" w:line="360"/>
        <w:rPr>
          <w:bCs w:val="false"/>
        </w:rPr>
      </w:pPr>
      <w:r>
        <w:rPr>
          <w:bCs w:val="false"/>
        </w:rPr>
        <w:t>Market Participants, Transmission Customers, or Applicants being considered for unsecured credit must submit a current rating agency report that indicates a minimum senior unsecured corporate debt rating of:</w:t>
      </w:r>
    </w:p>
    <w:p>
      <w:pPr>
        <w:pStyle w:val="BodyTextIndent3"/>
        <w:rPr>
          <w:bCs w:val="false"/>
        </w:rPr>
      </w:pPr>
      <w:r>
        <w:rPr>
          <w:bCs w:val="false"/>
        </w:rPr>
      </w:r>
    </w:p>
    <w:p>
      <w:pPr>
        <w:pStyle w:val="Normal"/>
        <w:numPr>
          <w:ilvl w:val="0"/>
          <w:numId w:val="10"/>
        </w:numPr>
        <w:rPr/>
      </w:pPr>
      <w:r>
        <w:rPr/>
        <w:t>“</w:t>
      </w:r>
      <w:r>
        <w:rPr/>
        <w:t>BBB” by Standard &amp; Poor’s or</w:t>
      </w:r>
    </w:p>
    <w:p>
      <w:pPr>
        <w:pStyle w:val="Normal"/>
        <w:numPr>
          <w:ilvl w:val="0"/>
          <w:numId w:val="10"/>
        </w:numPr>
        <w:rPr/>
      </w:pPr>
      <w:r>
        <w:rPr/>
        <w:t>“</w:t>
      </w:r>
      <w:r>
        <w:rPr/>
        <w:t>Baa2” by Moody’s</w:t>
      </w:r>
    </w:p>
    <w:p>
      <w:pPr>
        <w:pStyle w:val="Normal"/>
        <w:rPr/>
      </w:pPr>
      <w:r>
        <w:rPr/>
      </w:r>
    </w:p>
    <w:p>
      <w:pPr>
        <w:pStyle w:val="Normal"/>
        <w:numPr>
          <w:ilvl w:val="0"/>
          <w:numId w:val="2"/>
        </w:numPr>
        <w:rPr/>
      </w:pPr>
      <w:r>
        <w:rPr/>
        <w:t>Financial Statements and Related Information</w:t>
      </w:r>
    </w:p>
    <w:p>
      <w:pPr>
        <w:pStyle w:val="Normal"/>
        <w:ind w:start="2160" w:end="0"/>
        <w:rPr/>
      </w:pPr>
      <w:r>
        <w:rPr/>
      </w:r>
    </w:p>
    <w:p>
      <w:pPr>
        <w:pStyle w:val="BodyTextIndent3"/>
        <w:spacing w:lineRule="auto" w:line="360"/>
        <w:rPr>
          <w:bCs w:val="false"/>
        </w:rPr>
      </w:pPr>
      <w:r>
        <w:rPr>
          <w:bCs w:val="false"/>
        </w:rPr>
        <w:t>Each applicant must submit audited financial statements for at least the immediately preceding two fiscal years, or the period of existence, if less than two years. Each applicant must also submit current fiscal year interim financial statements.</w:t>
      </w:r>
    </w:p>
    <w:p>
      <w:pPr>
        <w:pStyle w:val="Normal"/>
        <w:ind w:start="2160" w:end="0"/>
        <w:rPr>
          <w:bCs/>
        </w:rPr>
      </w:pPr>
      <w:r>
        <w:rPr>
          <w:bCs/>
        </w:rPr>
      </w:r>
    </w:p>
    <w:p>
      <w:pPr>
        <w:pStyle w:val="Normal"/>
        <w:ind w:start="2160" w:end="0"/>
        <w:rPr/>
      </w:pPr>
      <w:r>
        <w:rPr/>
        <w:t>The information should include, but not be limited to, the following:</w:t>
      </w:r>
    </w:p>
    <w:p>
      <w:pPr>
        <w:pStyle w:val="Normal"/>
        <w:ind w:start="2160" w:end="0"/>
        <w:rPr/>
      </w:pPr>
      <w:r>
        <w:rPr/>
      </w:r>
    </w:p>
    <w:p>
      <w:pPr>
        <w:pStyle w:val="Normal"/>
        <w:numPr>
          <w:ilvl w:val="0"/>
          <w:numId w:val="8"/>
        </w:numPr>
        <w:rPr/>
      </w:pPr>
      <w:r>
        <w:rPr/>
        <w:t>If publicly traded:</w:t>
      </w:r>
    </w:p>
    <w:p>
      <w:pPr>
        <w:pStyle w:val="Normal"/>
        <w:numPr>
          <w:ilvl w:val="1"/>
          <w:numId w:val="8"/>
        </w:numPr>
        <w:rPr/>
      </w:pPr>
      <w:r>
        <w:rPr/>
        <w:t>Annual and quarterly reports on Form 10-K and Form 10-Q.</w:t>
      </w:r>
    </w:p>
    <w:p>
      <w:pPr>
        <w:pStyle w:val="Normal"/>
        <w:numPr>
          <w:ilvl w:val="1"/>
          <w:numId w:val="8"/>
        </w:numPr>
        <w:rPr/>
      </w:pPr>
      <w:r>
        <w:rPr/>
        <w:t>Form 8-k reports, if any</w:t>
      </w:r>
    </w:p>
    <w:p>
      <w:pPr>
        <w:pStyle w:val="Normal"/>
        <w:ind w:start="2160" w:end="0"/>
        <w:rPr/>
      </w:pPr>
      <w:r>
        <w:rPr/>
      </w:r>
    </w:p>
    <w:p>
      <w:pPr>
        <w:pStyle w:val="Normal"/>
        <w:numPr>
          <w:ilvl w:val="0"/>
          <w:numId w:val="8"/>
        </w:numPr>
        <w:rPr/>
      </w:pPr>
      <w:r>
        <w:rPr/>
        <w:t>If privately held:</w:t>
      </w:r>
    </w:p>
    <w:p>
      <w:pPr>
        <w:pStyle w:val="Normal"/>
        <w:numPr>
          <w:ilvl w:val="1"/>
          <w:numId w:val="8"/>
        </w:numPr>
        <w:rPr/>
      </w:pPr>
      <w:r>
        <w:rPr/>
        <w:t>Management’s Discussion &amp; Analysis</w:t>
      </w:r>
    </w:p>
    <w:p>
      <w:pPr>
        <w:pStyle w:val="Normal"/>
        <w:numPr>
          <w:ilvl w:val="1"/>
          <w:numId w:val="8"/>
        </w:numPr>
        <w:rPr/>
      </w:pPr>
      <w:r>
        <w:rPr/>
        <w:t>Report of Independent Accountants</w:t>
      </w:r>
    </w:p>
    <w:p>
      <w:pPr>
        <w:pStyle w:val="Normal"/>
        <w:numPr>
          <w:ilvl w:val="1"/>
          <w:numId w:val="8"/>
        </w:numPr>
        <w:rPr/>
      </w:pPr>
      <w:r>
        <w:rPr/>
        <w:t>Financial Statements, including:</w:t>
      </w:r>
    </w:p>
    <w:p>
      <w:pPr>
        <w:pStyle w:val="Normal"/>
        <w:numPr>
          <w:ilvl w:val="2"/>
          <w:numId w:val="8"/>
        </w:numPr>
        <w:rPr/>
      </w:pPr>
      <w:r>
        <w:rPr/>
        <w:t>Balance Sheet</w:t>
      </w:r>
    </w:p>
    <w:p>
      <w:pPr>
        <w:pStyle w:val="Normal"/>
        <w:numPr>
          <w:ilvl w:val="2"/>
          <w:numId w:val="8"/>
        </w:numPr>
        <w:rPr/>
      </w:pPr>
      <w:r>
        <w:rPr/>
        <w:t>Income Statement</w:t>
      </w:r>
    </w:p>
    <w:p>
      <w:pPr>
        <w:pStyle w:val="Normal"/>
        <w:numPr>
          <w:ilvl w:val="2"/>
          <w:numId w:val="8"/>
        </w:numPr>
        <w:rPr/>
      </w:pPr>
      <w:r>
        <w:rPr/>
        <w:t>Statement of Cash Flows</w:t>
      </w:r>
    </w:p>
    <w:p>
      <w:pPr>
        <w:pStyle w:val="Normal"/>
        <w:numPr>
          <w:ilvl w:val="2"/>
          <w:numId w:val="8"/>
        </w:numPr>
        <w:rPr/>
      </w:pPr>
      <w:r>
        <w:rPr/>
        <w:t>Statement of Stockholder’s Equity</w:t>
      </w:r>
    </w:p>
    <w:p>
      <w:pPr>
        <w:pStyle w:val="Normal"/>
        <w:ind w:start="2880" w:end="0"/>
        <w:rPr/>
      </w:pPr>
      <w:r>
        <w:rPr/>
        <w:t>iv.</w:t>
        <w:tab/>
        <w:t>Notes to Financial Statements</w:t>
      </w:r>
    </w:p>
    <w:p>
      <w:pPr>
        <w:pStyle w:val="Normal"/>
        <w:rPr/>
      </w:pPr>
      <w:r>
        <w:rPr/>
      </w:r>
    </w:p>
    <w:p>
      <w:pPr>
        <w:pStyle w:val="BodyTextIndent3"/>
        <w:spacing w:lineRule="auto" w:line="360"/>
        <w:rPr>
          <w:bCs w:val="false"/>
        </w:rPr>
      </w:pPr>
      <w:r>
        <w:rPr>
          <w:bCs w:val="false"/>
        </w:rPr>
        <w:t>In the case of start-up companies or those in business less than one year where audited financial statements are not available, the Financial Security section of this policy will apply.</w:t>
      </w:r>
    </w:p>
    <w:p>
      <w:pPr>
        <w:pStyle w:val="Normal"/>
        <w:rPr>
          <w:bCs/>
        </w:rPr>
      </w:pPr>
      <w:r>
        <w:rPr>
          <w:bCs/>
        </w:rPr>
      </w:r>
    </w:p>
    <w:p>
      <w:pPr>
        <w:pStyle w:val="Normal"/>
        <w:numPr>
          <w:ilvl w:val="0"/>
          <w:numId w:val="2"/>
        </w:numPr>
        <w:rPr/>
      </w:pPr>
      <w:r>
        <w:rPr/>
        <w:t>References</w:t>
      </w:r>
    </w:p>
    <w:p>
      <w:pPr>
        <w:pStyle w:val="Normal"/>
        <w:ind w:start="1440" w:end="0"/>
        <w:rPr/>
      </w:pPr>
      <w:r>
        <w:rPr/>
      </w:r>
    </w:p>
    <w:p>
      <w:pPr>
        <w:pStyle w:val="BodyTextIndent3"/>
        <w:spacing w:lineRule="auto" w:line="360"/>
        <w:rPr>
          <w:bCs w:val="false"/>
        </w:rPr>
      </w:pPr>
      <w:r>
        <w:rPr>
          <w:bCs w:val="false"/>
        </w:rPr>
        <w:t>Each Applicant is to provide at least one (1) bank and two (2) utility credit references. If the Applicant does not have the required utility references, trade payable vendor references may be substituted.</w:t>
      </w:r>
    </w:p>
    <w:p>
      <w:pPr>
        <w:pStyle w:val="Normal"/>
        <w:rPr>
          <w:bCs/>
        </w:rPr>
      </w:pPr>
      <w:r>
        <w:rPr>
          <w:bCs/>
        </w:rPr>
      </w:r>
    </w:p>
    <w:p>
      <w:pPr>
        <w:pStyle w:val="Normal"/>
        <w:numPr>
          <w:ilvl w:val="0"/>
          <w:numId w:val="2"/>
        </w:numPr>
        <w:rPr/>
      </w:pPr>
      <w:r>
        <w:rPr/>
        <w:t>Litigation, Commitments and Contingencies</w:t>
      </w:r>
    </w:p>
    <w:p>
      <w:pPr>
        <w:pStyle w:val="Normal"/>
        <w:ind w:start="2160" w:end="0"/>
        <w:rPr/>
      </w:pPr>
      <w:r>
        <w:rPr/>
      </w:r>
    </w:p>
    <w:p>
      <w:pPr>
        <w:pStyle w:val="BodyTextIndent3"/>
        <w:spacing w:lineRule="auto" w:line="360"/>
        <w:rPr>
          <w:bCs w:val="false"/>
        </w:rPr>
      </w:pPr>
      <w:r>
        <w:rPr>
          <w:bCs w:val="false"/>
        </w:rPr>
        <w:t>Each Applicant is also required to provide information as to any known or anticipated material litigation, commitments or contingencies as well as any prior bankruptcy declarations or instances of default by the Applicant or its predecessors.</w:t>
      </w:r>
    </w:p>
    <w:p>
      <w:pPr>
        <w:pStyle w:val="Normal"/>
        <w:rPr>
          <w:bCs/>
        </w:rPr>
      </w:pPr>
      <w:r>
        <w:rPr>
          <w:bCs/>
        </w:rPr>
      </w:r>
    </w:p>
    <w:p>
      <w:pPr>
        <w:pStyle w:val="Normal"/>
        <w:numPr>
          <w:ilvl w:val="0"/>
          <w:numId w:val="2"/>
        </w:numPr>
        <w:rPr/>
      </w:pPr>
      <w:r>
        <w:rPr/>
        <w:t>Ongoing Financial Review</w:t>
      </w:r>
    </w:p>
    <w:p>
      <w:pPr>
        <w:pStyle w:val="Normal"/>
        <w:ind w:start="1440" w:end="0"/>
        <w:rPr/>
      </w:pPr>
      <w:r>
        <w:rPr/>
      </w:r>
    </w:p>
    <w:p>
      <w:pPr>
        <w:pStyle w:val="BodyTextIndent3"/>
        <w:spacing w:lineRule="auto" w:line="360"/>
        <w:rPr>
          <w:bCs w:val="false"/>
        </w:rPr>
      </w:pPr>
      <w:r>
        <w:rPr>
          <w:bCs w:val="false"/>
        </w:rPr>
        <w:t>At least annually Market Participants and Transmission Customers must submit a current rating agency report within five (5) business days of its issuance. In addition, Market Participants and Transmission Customers must submit the most recent financial statements, 10-K’s, 10-Q’s, and 8-K’s, within five (5) business days of their issuance.</w:t>
      </w:r>
    </w:p>
    <w:p>
      <w:pPr>
        <w:pStyle w:val="Normal"/>
        <w:ind w:start="2160" w:end="0"/>
        <w:rPr>
          <w:bCs/>
        </w:rPr>
      </w:pPr>
      <w:r>
        <w:rPr>
          <w:bCs/>
        </w:rPr>
      </w:r>
    </w:p>
    <w:p>
      <w:pPr>
        <w:pStyle w:val="Normal"/>
        <w:ind w:start="2160" w:end="0"/>
        <w:rPr/>
      </w:pPr>
      <w:r>
        <w:rPr/>
        <w:t>Market Participants and Transmission Customers must inform SPP, in writing, within five (5) business days of any material change in financial condition. A material change in financial condition includes, but is not limited to, the following:  a downgrade of long or short-term debt rating by a major rating agency; being placed on credit watch with negative implications by a major rating agency; a bankruptcy filing; any action requiring filing of a Form 8-K; insolvency; a report of significant quarterly loss or decline in earnings; resignation of key officer (s); the filing of a lawsuit that could have a material adverse impact on current or future financial results.</w:t>
      </w:r>
    </w:p>
    <w:p>
      <w:pPr>
        <w:pStyle w:val="Normal"/>
        <w:ind w:start="2160" w:end="0"/>
        <w:rPr/>
      </w:pPr>
      <w:r>
        <w:rPr/>
      </w:r>
    </w:p>
    <w:p>
      <w:pPr>
        <w:pStyle w:val="Normal"/>
        <w:ind w:start="2160" w:end="0"/>
        <w:rPr/>
      </w:pPr>
      <w:r>
        <w:rPr/>
        <w:t>Failure to provide this information shall constitute default under this Credit Policy.</w:t>
      </w:r>
    </w:p>
    <w:p>
      <w:pPr>
        <w:pStyle w:val="Normal"/>
        <w:ind w:start="2160" w:end="0"/>
        <w:rPr/>
      </w:pPr>
      <w:r>
        <w:rPr/>
      </w:r>
    </w:p>
    <w:p>
      <w:pPr>
        <w:pStyle w:val="Normal"/>
        <w:ind w:start="2160" w:end="0"/>
        <w:rPr/>
      </w:pPr>
      <w:r>
        <w:rPr/>
        <w:t>If there is a material adverse change in financial condition, SPP may require some form of Financial Security. Failure to provide Financial Security shall constitute default under this Credit Policy.</w:t>
      </w:r>
    </w:p>
    <w:p>
      <w:pPr>
        <w:pStyle w:val="Normal"/>
        <w:rPr/>
      </w:pPr>
      <w:r>
        <w:rPr/>
      </w:r>
    </w:p>
    <w:p>
      <w:pPr>
        <w:pStyle w:val="Normal"/>
        <w:ind w:hanging="720" w:start="1440" w:end="0"/>
        <w:rPr/>
      </w:pPr>
      <w:r>
        <w:rPr/>
        <w:t>B.</w:t>
        <w:tab/>
      </w:r>
      <w:r>
        <w:rPr>
          <w:bCs/>
          <w:caps/>
        </w:rPr>
        <w:t>Maximum Outstanding Obligation Limit</w:t>
      </w:r>
      <w:r>
        <w:rPr/>
        <w:t xml:space="preserve"> AND AVAILABLE CREDIT</w:t>
      </w:r>
    </w:p>
    <w:p>
      <w:pPr>
        <w:pStyle w:val="Header"/>
        <w:tabs>
          <w:tab w:val="clear" w:pos="4320"/>
          <w:tab w:val="clear" w:pos="8640"/>
        </w:tabs>
        <w:spacing w:lineRule="auto" w:line="360" w:before="0" w:after="0"/>
        <w:rPr/>
      </w:pPr>
      <w:r>
        <w:rPr/>
      </w:r>
    </w:p>
    <w:p>
      <w:pPr>
        <w:pStyle w:val="Normal"/>
        <w:ind w:start="1440" w:end="0"/>
        <w:rPr/>
      </w:pPr>
      <w:r>
        <w:rPr/>
        <w:t xml:space="preserve">The process to cease the activities of a Market Participant or Transmission Customer that has exceeded established activity limits, or defaulted by virtue of non-payment or otherwise, may take three months for service provided under the SPP Tariff. SPP will monitor market activity, unbilled future obligations, and deposit activity required, to calculate a </w:t>
      </w:r>
      <w:r>
        <w:rPr>
          <w:bCs/>
        </w:rPr>
        <w:t>Maximum Outstanding Obligation Limit</w:t>
      </w:r>
      <w:r>
        <w:rPr/>
        <w:t>.</w:t>
      </w:r>
    </w:p>
    <w:p>
      <w:pPr>
        <w:pStyle w:val="Normal"/>
        <w:ind w:start="1440" w:end="0"/>
        <w:rPr/>
      </w:pPr>
      <w:r>
        <w:rPr/>
      </w:r>
    </w:p>
    <w:p>
      <w:pPr>
        <w:pStyle w:val="Normal"/>
        <w:ind w:start="1440" w:end="0"/>
        <w:rPr/>
      </w:pPr>
      <w:r>
        <w:rPr/>
        <w:t xml:space="preserve">SPP will identify for each Applicant, Market Participant, or Transmission Customer a </w:t>
      </w:r>
      <w:r>
        <w:rPr>
          <w:bCs/>
        </w:rPr>
        <w:t>Maximum Outstanding Obligation Limit</w:t>
      </w:r>
      <w:r>
        <w:rPr/>
        <w:t xml:space="preserve"> that must be covered by unsecured available credit or by Financial Security. </w:t>
      </w:r>
    </w:p>
    <w:p>
      <w:pPr>
        <w:pStyle w:val="Normal"/>
        <w:ind w:start="1440" w:end="0"/>
        <w:rPr/>
      </w:pPr>
      <w:r>
        <w:rPr/>
      </w:r>
    </w:p>
    <w:p>
      <w:pPr>
        <w:pStyle w:val="Normal"/>
        <w:ind w:start="1440" w:end="0"/>
        <w:rPr/>
      </w:pPr>
      <w:r>
        <w:rPr>
          <w:bCs/>
        </w:rPr>
        <w:t>Maximum Outstanding Obligation Limit</w:t>
      </w:r>
      <w:r>
        <w:rPr/>
        <w:t xml:space="preserve"> for Applicants will be estimated by working with the SPP Financial Coordinator. The estimate of activity will then be broken down to a daily rate and then multiplied by fifty (50) to obtain the </w:t>
      </w:r>
      <w:r>
        <w:rPr>
          <w:bCs/>
        </w:rPr>
        <w:t>Maximum Outstanding Obligation Limit</w:t>
      </w:r>
      <w:r>
        <w:rPr/>
        <w:t>.</w:t>
      </w:r>
    </w:p>
    <w:p>
      <w:pPr>
        <w:pStyle w:val="Normal"/>
        <w:ind w:start="1440" w:end="0"/>
        <w:rPr/>
      </w:pPr>
      <w:r>
        <w:rPr/>
      </w:r>
    </w:p>
    <w:p>
      <w:pPr>
        <w:pStyle w:val="Normal"/>
        <w:ind w:start="1440" w:end="0"/>
        <w:rPr/>
      </w:pPr>
      <w:r>
        <w:rPr/>
        <w:t xml:space="preserve">Market Participants and Transmission Customers will have activity reviewed for the last 24 calendar months to determine the peak Accounts Receivable balance due to SPP. This peak month of activity will be broken down to a daily rate and then multiplied by fifty (50) to obtain the </w:t>
      </w:r>
      <w:r>
        <w:rPr>
          <w:bCs/>
        </w:rPr>
        <w:t>Maximum Outstanding Obligation Limit</w:t>
      </w:r>
      <w:r>
        <w:rPr/>
        <w:t>.</w:t>
      </w:r>
    </w:p>
    <w:p>
      <w:pPr>
        <w:pStyle w:val="Normal"/>
        <w:ind w:start="1440" w:end="0"/>
        <w:rPr/>
      </w:pPr>
      <w:r>
        <w:rPr/>
      </w:r>
    </w:p>
    <w:p>
      <w:pPr>
        <w:pStyle w:val="Normal"/>
        <w:ind w:start="1440" w:end="0"/>
        <w:rPr/>
      </w:pPr>
      <w:r>
        <w:rPr/>
        <w:t>After a review of all information required, SPP will determine an amount of unsecured available credit that can be supported without Financial Security.</w:t>
      </w:r>
    </w:p>
    <w:p>
      <w:pPr>
        <w:pStyle w:val="Normal"/>
        <w:ind w:start="1440" w:end="0"/>
        <w:rPr/>
      </w:pPr>
      <w:r>
        <w:rPr/>
      </w:r>
    </w:p>
    <w:p>
      <w:pPr>
        <w:pStyle w:val="Normal"/>
        <w:ind w:start="1440" w:end="0"/>
        <w:rPr/>
      </w:pPr>
      <w:r>
        <w:rPr/>
        <w:t xml:space="preserve">If SPP determines that the </w:t>
      </w:r>
      <w:r>
        <w:rPr>
          <w:bCs/>
        </w:rPr>
        <w:t>Maximum Outstanding Obligation Limit</w:t>
      </w:r>
      <w:r>
        <w:rPr/>
        <w:t xml:space="preserve"> is not supported by unsecured available credit based on SPP’s evaluation of financial viability, SPP may require that Financial Security be provided in a form acceptable to SPP (See Financial Security below).</w:t>
      </w:r>
    </w:p>
    <w:p>
      <w:pPr>
        <w:pStyle w:val="Normal"/>
        <w:ind w:start="1440" w:end="0"/>
        <w:rPr/>
      </w:pPr>
      <w:r>
        <w:rPr/>
      </w:r>
    </w:p>
    <w:p>
      <w:pPr>
        <w:pStyle w:val="Normal"/>
        <w:ind w:start="1440" w:end="0"/>
        <w:rPr/>
      </w:pPr>
      <w:r>
        <w:rPr/>
        <w:t>The SPP Tariff also requires a Transmission Customer to deposit with SPP either one month’s charge for Reserved Capacity, the full charge for Reserved Capacity for service requests of less than one month, or a request for a waiver of such deposit. This deposit requirement may be covered by creditworthy entities by using unsecured available credit or by other forms of financial security accepted by SPP.</w:t>
      </w:r>
    </w:p>
    <w:p>
      <w:pPr>
        <w:pStyle w:val="Normal"/>
        <w:ind w:start="1440" w:end="0"/>
        <w:rPr/>
      </w:pPr>
      <w:r>
        <w:rPr/>
      </w:r>
    </w:p>
    <w:p>
      <w:pPr>
        <w:pStyle w:val="Normal"/>
        <w:ind w:start="1440" w:end="0"/>
        <w:rPr/>
      </w:pPr>
      <w:r>
        <w:rPr/>
        <w:t>Per Section 19.4 of the SPP Tariff an irrevocable letter of credit is required for the costs of new facilities and upgrades. This letter of credit will be subject to the same terms as outlined in the Financial Security section of this policy.</w:t>
      </w:r>
    </w:p>
    <w:p>
      <w:pPr>
        <w:pStyle w:val="Normal"/>
        <w:ind w:start="1440" w:end="0"/>
        <w:rPr/>
      </w:pPr>
      <w:r>
        <w:rPr/>
      </w:r>
    </w:p>
    <w:p>
      <w:pPr>
        <w:pStyle w:val="Normal"/>
        <w:ind w:start="1440" w:end="0"/>
        <w:rPr/>
      </w:pPr>
      <w:r>
        <w:rPr/>
        <w:t xml:space="preserve">In addition, SPP will monitor each customer’s reservation activity. As reservations are confirmed, SPP will determine the peak daily activity of all of a customer’s confirmed reservations and then estimate the amount to be billed for that peak activity day. This amount will then be multiplied by fifty (50) to determine the </w:t>
      </w:r>
      <w:r>
        <w:rPr>
          <w:bCs/>
        </w:rPr>
        <w:t>Maximum Outstanding Obligation Limit</w:t>
      </w:r>
      <w:r>
        <w:rPr/>
        <w:t>. This figure will need to be covered by unsecured available credit or by other forms of financial security accepted by SPP.</w:t>
      </w:r>
    </w:p>
    <w:p>
      <w:pPr>
        <w:pStyle w:val="Normal"/>
        <w:rPr/>
      </w:pPr>
      <w:r>
        <w:rPr/>
      </w:r>
    </w:p>
    <w:p>
      <w:pPr>
        <w:pStyle w:val="Heading2"/>
        <w:numPr>
          <w:ilvl w:val="0"/>
          <w:numId w:val="13"/>
        </w:numPr>
        <w:tabs>
          <w:tab w:val="clear" w:pos="720"/>
          <w:tab w:val="left" w:pos="1440" w:leader="none"/>
        </w:tabs>
        <w:ind w:hanging="720" w:start="1440" w:end="0"/>
        <w:rPr>
          <w:b w:val="false"/>
          <w:i w:val="false"/>
          <w:i w:val="false"/>
          <w:iCs/>
        </w:rPr>
      </w:pPr>
      <w:r>
        <w:rPr>
          <w:b w:val="false"/>
          <w:i w:val="false"/>
          <w:iCs/>
        </w:rPr>
        <w:t>FINANCIAL SECURITY</w:t>
      </w:r>
    </w:p>
    <w:p>
      <w:pPr>
        <w:pStyle w:val="Normal"/>
        <w:ind w:start="1440" w:end="0"/>
        <w:rPr>
          <w:b/>
          <w:i/>
          <w:i/>
          <w:iCs/>
        </w:rPr>
      </w:pPr>
      <w:r>
        <w:rPr>
          <w:b/>
          <w:i/>
          <w:iCs/>
        </w:rPr>
      </w:r>
    </w:p>
    <w:p>
      <w:pPr>
        <w:pStyle w:val="BodyTextIndent2"/>
        <w:spacing w:lineRule="auto" w:line="360"/>
        <w:rPr>
          <w:bCs w:val="false"/>
        </w:rPr>
      </w:pPr>
      <w:r>
        <w:rPr>
          <w:bCs w:val="false"/>
        </w:rPr>
        <w:t>Applicants, Market Participants, and Transmission Customers that do not satisfy the Financial Viability Requirement based on the SPP credit review process must provide additional Financial Security. The amount of Financial Security will depend upon the transaction level, and will be determined as the difference between the amount of available unsecured credit and the Maximum Outstanding Obligation Limit.</w:t>
      </w:r>
    </w:p>
    <w:p>
      <w:pPr>
        <w:pStyle w:val="Normal"/>
        <w:ind w:start="1440" w:end="0"/>
        <w:rPr>
          <w:bCs/>
        </w:rPr>
      </w:pPr>
      <w:r>
        <w:rPr>
          <w:bCs/>
        </w:rPr>
      </w:r>
    </w:p>
    <w:p>
      <w:pPr>
        <w:pStyle w:val="Normal"/>
        <w:ind w:start="1440" w:end="0"/>
        <w:rPr/>
      </w:pPr>
      <w:r>
        <w:rPr/>
        <w:t>Acceptable Forms of Financial Security</w:t>
      </w:r>
    </w:p>
    <w:p>
      <w:pPr>
        <w:pStyle w:val="Normal"/>
        <w:ind w:start="1440" w:end="0"/>
        <w:rPr/>
      </w:pPr>
      <w:r>
        <w:rPr/>
      </w:r>
    </w:p>
    <w:p>
      <w:pPr>
        <w:pStyle w:val="Normal"/>
        <w:numPr>
          <w:ilvl w:val="0"/>
          <w:numId w:val="12"/>
        </w:numPr>
        <w:rPr/>
      </w:pPr>
      <w:r>
        <w:rPr/>
        <w:t>Letter of Credit</w:t>
      </w:r>
    </w:p>
    <w:p>
      <w:pPr>
        <w:pStyle w:val="Normal"/>
        <w:ind w:start="2160" w:end="0"/>
        <w:rPr/>
      </w:pPr>
      <w:r>
        <w:rPr/>
      </w:r>
    </w:p>
    <w:p>
      <w:pPr>
        <w:pStyle w:val="BodyTextIndent3"/>
        <w:spacing w:lineRule="auto" w:line="360"/>
        <w:rPr>
          <w:bCs w:val="false"/>
        </w:rPr>
      </w:pPr>
      <w:r>
        <w:rPr>
          <w:bCs w:val="false"/>
        </w:rPr>
        <w:t xml:space="preserve">SPP will accept an unconditional and irrevocable standby letter of credit for the full value of the Financial Security requirement. </w:t>
      </w:r>
    </w:p>
    <w:p>
      <w:pPr>
        <w:pStyle w:val="Normal"/>
        <w:ind w:start="2160" w:end="0"/>
        <w:rPr/>
      </w:pPr>
      <w:r>
        <w:rPr/>
        <w:t>If the letter of credit amount falls below the Financial Security requirement it must be increased within five (5) business days of notification by SPP, or supplemented with another form of acceptable Financial Security. Failure to do so will constitute default under the Credit Policy.</w:t>
      </w:r>
    </w:p>
    <w:p>
      <w:pPr>
        <w:pStyle w:val="Normal"/>
        <w:ind w:start="2160" w:end="0"/>
        <w:rPr/>
      </w:pPr>
      <w:r>
        <w:rPr/>
      </w:r>
    </w:p>
    <w:p>
      <w:pPr>
        <w:pStyle w:val="Normal"/>
        <w:ind w:start="2160" w:end="0"/>
        <w:rPr/>
      </w:pPr>
      <w:r>
        <w:rPr/>
        <w:t>The form of the letter of credit acceptable to SPP is included in this Policy as Attachment 2. The provider of the letter of credit must also be acceptable to SPP. The bank issuing the letter of credit must have a minimum corporate debt rating of an “A” by Standard &amp; Poor’s, or “A2” by Moody’s or an equivalent short term debt rating by one of these agencies. Proof of the issuing bank’s current rating must accompany the letter of credit.</w:t>
        <w:br/>
      </w:r>
    </w:p>
    <w:p>
      <w:pPr>
        <w:pStyle w:val="Normal"/>
        <w:ind w:start="2160" w:end="0"/>
        <w:rPr/>
      </w:pPr>
      <w:r>
        <w:rPr/>
        <w:t>All costs associated with obtaining a letter of credit and meeting the policy provisions are the responsibility of the Applicant, Market Participant, or Transmission Customer.</w:t>
      </w:r>
    </w:p>
    <w:p>
      <w:pPr>
        <w:pStyle w:val="Normal"/>
        <w:ind w:start="2160" w:end="0"/>
        <w:rPr/>
      </w:pPr>
      <w:r>
        <w:rPr/>
      </w:r>
    </w:p>
    <w:p>
      <w:pPr>
        <w:pStyle w:val="Normal"/>
        <w:numPr>
          <w:ilvl w:val="0"/>
          <w:numId w:val="12"/>
        </w:numPr>
        <w:rPr/>
      </w:pPr>
      <w:r>
        <w:rPr/>
        <w:t>Corporate Guaranty</w:t>
      </w:r>
    </w:p>
    <w:p>
      <w:pPr>
        <w:pStyle w:val="Normal"/>
        <w:ind w:start="2160" w:end="0"/>
        <w:rPr/>
      </w:pPr>
      <w:r>
        <w:rPr/>
      </w:r>
    </w:p>
    <w:p>
      <w:pPr>
        <w:pStyle w:val="BodyTextIndent3"/>
        <w:spacing w:lineRule="auto" w:line="360"/>
        <w:rPr>
          <w:bCs w:val="false"/>
        </w:rPr>
      </w:pPr>
      <w:r>
        <w:rPr>
          <w:bCs w:val="false"/>
        </w:rPr>
        <w:t>Execution of SPP’s “Guaranty Agreement” by a parent or affiliate approved by SPP guaranteeing the full and prompt payment of all amounts payable will serve as an acceptable form of Financial Security to SPP. The format acceptable to SPP is located as Attachment 1 of the Credit Policy. As SPP must act in a non-discriminatory manor this will be the only format of Corporate Guaranty accepted.</w:t>
      </w:r>
    </w:p>
    <w:p>
      <w:pPr>
        <w:pStyle w:val="BodyTextIndent3"/>
        <w:rPr>
          <w:bCs w:val="false"/>
        </w:rPr>
      </w:pPr>
      <w:r>
        <w:rPr>
          <w:bCs w:val="false"/>
        </w:rPr>
      </w:r>
    </w:p>
    <w:p>
      <w:pPr>
        <w:pStyle w:val="Normal"/>
        <w:ind w:start="2160" w:end="0"/>
        <w:rPr/>
      </w:pPr>
      <w:r>
        <w:rPr/>
        <w:t>Acceptable guarantors must, at a minimum, maintain a minimum investment grade senior unsecured corporate debt rating of “BBB” by Standard &amp; Poor’s, or “Baa2” by Moody’s, or otherwise meet reasonable financial standards as determined by SPP. Proof of any Guarantor’s current rating must accompany the guaranty.</w:t>
      </w:r>
    </w:p>
    <w:p>
      <w:pPr>
        <w:pStyle w:val="Normal"/>
        <w:ind w:start="2160" w:end="0"/>
        <w:rPr/>
      </w:pPr>
      <w:r>
        <w:rPr/>
      </w:r>
    </w:p>
    <w:p>
      <w:pPr>
        <w:pStyle w:val="Normal"/>
        <w:ind w:start="2160" w:end="0"/>
        <w:rPr/>
      </w:pPr>
      <w:r>
        <w:rPr/>
        <w:t>An Applicant, Market Participant, or Transmission Customer supplying a corporate guaranty must ensure that the Guarantor submits at least annually a current rating agency report within five (5) business days of its issuance, 8-K Reports within five (5) business days of its issuance, and submit financial reports as requested by SPP within ten (10) business days of request. SPP must be informed in writing within ten (10) business days of any material change in its guarantor’s financial status. Failure to provide this information will result in a declaration of default under the agreement.</w:t>
      </w:r>
    </w:p>
    <w:p>
      <w:pPr>
        <w:pStyle w:val="Normal"/>
        <w:ind w:start="2160" w:end="0"/>
        <w:rPr/>
      </w:pPr>
      <w:r>
        <w:rPr/>
      </w:r>
    </w:p>
    <w:p>
      <w:pPr>
        <w:pStyle w:val="Normal"/>
        <w:ind w:start="2160" w:end="0"/>
        <w:rPr/>
      </w:pPr>
      <w:r>
        <w:rPr/>
        <w:t>If there is a material adverse change in the financial condition of the Guarantor, SPP may require another form of Financial Security.</w:t>
      </w:r>
    </w:p>
    <w:p>
      <w:pPr>
        <w:pStyle w:val="Normal"/>
        <w:rPr/>
      </w:pPr>
      <w:r>
        <w:rPr/>
      </w:r>
    </w:p>
    <w:p>
      <w:pPr>
        <w:pStyle w:val="Normal"/>
        <w:numPr>
          <w:ilvl w:val="0"/>
          <w:numId w:val="12"/>
        </w:numPr>
        <w:rPr/>
      </w:pPr>
      <w:r>
        <w:rPr/>
        <w:t>Cash Deposit</w:t>
      </w:r>
    </w:p>
    <w:p>
      <w:pPr>
        <w:pStyle w:val="Normal"/>
        <w:ind w:start="2160" w:end="0"/>
        <w:rPr/>
      </w:pPr>
      <w:r>
        <w:rPr/>
      </w:r>
    </w:p>
    <w:p>
      <w:pPr>
        <w:pStyle w:val="BodyTextIndent3"/>
        <w:rPr>
          <w:bCs w:val="false"/>
        </w:rPr>
      </w:pPr>
      <w:r>
        <w:rPr>
          <w:bCs w:val="false"/>
        </w:rPr>
        <w:t>Cash deposit for the full amount of the Financial Security Requirement.</w:t>
      </w:r>
    </w:p>
    <w:p>
      <w:pPr>
        <w:pStyle w:val="Normal"/>
        <w:ind w:start="2160" w:end="0"/>
        <w:rPr>
          <w:bCs/>
        </w:rPr>
      </w:pPr>
      <w:r>
        <w:rPr>
          <w:bCs/>
        </w:rPr>
      </w:r>
    </w:p>
    <w:p>
      <w:pPr>
        <w:pStyle w:val="Normal"/>
        <w:ind w:start="2160" w:end="0"/>
        <w:rPr/>
      </w:pPr>
      <w:r>
        <w:rPr/>
        <w:t>If it is necessary to use all or a portion of the deposit to pay a Market Participant’s or Transmission Customer’s obligation, the deposit must be replenished to the required level within five (5) business days. Failure to do so will result in a default under the service agreement. The cash deposit will be held in a depository account by SPP. Interest earned will accrue to the Market Participant or Transmission Customer. SPP may liquidate all account balances at its discretion to meet the participant’s obligations to SPP.</w:t>
      </w:r>
    </w:p>
    <w:p>
      <w:pPr>
        <w:pStyle w:val="Normal"/>
        <w:ind w:start="2160" w:end="0"/>
        <w:rPr/>
      </w:pPr>
      <w:r>
        <w:rPr/>
      </w:r>
    </w:p>
    <w:p>
      <w:pPr>
        <w:pStyle w:val="Normal"/>
        <w:ind w:start="2160" w:end="0"/>
        <w:rPr/>
      </w:pPr>
      <w:r>
        <w:rPr/>
        <w:t>Transmission Customers required to post cash deposits under the SPP Tariff will be paid interest on these deposits as required by the tariff.</w:t>
      </w:r>
    </w:p>
    <w:p>
      <w:pPr>
        <w:pStyle w:val="Normal"/>
        <w:rPr/>
      </w:pPr>
      <w:r>
        <w:rPr/>
      </w:r>
    </w:p>
    <w:p>
      <w:pPr>
        <w:pStyle w:val="Normal"/>
        <w:numPr>
          <w:ilvl w:val="0"/>
          <w:numId w:val="12"/>
        </w:numPr>
        <w:rPr/>
      </w:pPr>
      <w:r>
        <w:rPr/>
        <w:t>Other Forms of Financial Security</w:t>
      </w:r>
    </w:p>
    <w:p>
      <w:pPr>
        <w:pStyle w:val="Normal"/>
        <w:ind w:start="2160" w:end="0"/>
        <w:rPr/>
      </w:pPr>
      <w:r>
        <w:rPr/>
      </w:r>
    </w:p>
    <w:p>
      <w:pPr>
        <w:pStyle w:val="BodyTextIndent3"/>
        <w:spacing w:lineRule="auto" w:line="360"/>
        <w:rPr>
          <w:bCs w:val="false"/>
        </w:rPr>
      </w:pPr>
      <w:r>
        <w:rPr>
          <w:bCs w:val="false"/>
        </w:rPr>
        <w:t xml:space="preserve">SPP will evaluate other forms of Financial Security proposed by an Applicant, Market Participant, or Transmission Customer on a case-by-case basis. </w:t>
      </w:r>
    </w:p>
    <w:p>
      <w:pPr>
        <w:pStyle w:val="Normal"/>
        <w:rPr>
          <w:bCs/>
        </w:rPr>
      </w:pPr>
      <w:r>
        <w:rPr>
          <w:bCs/>
        </w:rPr>
      </w:r>
    </w:p>
    <w:p>
      <w:pPr>
        <w:pStyle w:val="Normal"/>
        <w:numPr>
          <w:ilvl w:val="0"/>
          <w:numId w:val="13"/>
        </w:numPr>
        <w:tabs>
          <w:tab w:val="clear" w:pos="720"/>
          <w:tab w:val="left" w:pos="1440" w:leader="none"/>
        </w:tabs>
        <w:ind w:hanging="720" w:start="1440" w:end="0"/>
        <w:rPr/>
      </w:pPr>
      <w:r>
        <w:rPr/>
        <w:t>NOTIFICATION AND SUSPENSION</w:t>
      </w:r>
    </w:p>
    <w:p>
      <w:pPr>
        <w:pStyle w:val="Normal"/>
        <w:ind w:start="1440" w:end="0"/>
        <w:rPr/>
      </w:pPr>
      <w:r>
        <w:rPr/>
      </w:r>
    </w:p>
    <w:p>
      <w:pPr>
        <w:pStyle w:val="BodyTextIndent3"/>
        <w:spacing w:lineRule="auto" w:line="360"/>
        <w:ind w:start="1440" w:end="0"/>
        <w:rPr>
          <w:bCs w:val="false"/>
        </w:rPr>
      </w:pPr>
      <w:r>
        <w:rPr>
          <w:bCs w:val="false"/>
        </w:rPr>
        <w:t>A Market Participant or Transmission Customer will be notified if its Maximum Outstanding Obligation Limit is no longer covered by Unsecured Credit or Financial Security. The Market Participant or Transmission Customer must take action to comply with the terms of the Credit Policy within five (5) days of notification, or risk termination of Transmission Service.</w:t>
      </w:r>
    </w:p>
    <w:p>
      <w:pPr>
        <w:pStyle w:val="BodyTextIndent3"/>
        <w:ind w:start="0" w:end="0"/>
        <w:rPr>
          <w:bCs w:val="false"/>
        </w:rPr>
      </w:pPr>
      <w:r>
        <w:rPr>
          <w:bCs w:val="false"/>
        </w:rPr>
      </w:r>
    </w:p>
    <w:p>
      <w:pPr>
        <w:pStyle w:val="BodyTextIndent3"/>
        <w:numPr>
          <w:ilvl w:val="0"/>
          <w:numId w:val="13"/>
        </w:numPr>
        <w:tabs>
          <w:tab w:val="clear" w:pos="720"/>
          <w:tab w:val="left" w:pos="1440" w:leader="none"/>
        </w:tabs>
        <w:ind w:hanging="720" w:start="1440" w:end="0"/>
        <w:rPr>
          <w:bCs w:val="false"/>
        </w:rPr>
      </w:pPr>
      <w:r>
        <w:rPr>
          <w:bCs w:val="false"/>
        </w:rPr>
        <w:t>DEFAULT</w:t>
      </w:r>
    </w:p>
    <w:p>
      <w:pPr>
        <w:pStyle w:val="BodyTextIndent3"/>
        <w:ind w:start="1440" w:end="0"/>
        <w:rPr>
          <w:bCs w:val="false"/>
        </w:rPr>
      </w:pPr>
      <w:r>
        <w:rPr>
          <w:bCs w:val="false"/>
        </w:rPr>
      </w:r>
    </w:p>
    <w:p>
      <w:pPr>
        <w:pStyle w:val="BodyTextIndent3"/>
        <w:spacing w:lineRule="auto" w:line="360"/>
        <w:ind w:start="1440" w:end="0"/>
        <w:rPr>
          <w:bCs w:val="false"/>
        </w:rPr>
      </w:pPr>
      <w:r>
        <w:rPr>
          <w:bCs w:val="false"/>
        </w:rPr>
        <w:t>Failure to comply with this Credit Policy will be considered a Default under the Agreements.</w:t>
      </w:r>
    </w:p>
    <w:p>
      <w:pPr>
        <w:pStyle w:val="BodyTextIndent3"/>
        <w:ind w:start="0" w:end="0"/>
        <w:rPr>
          <w:bCs w:val="false"/>
        </w:rPr>
      </w:pPr>
      <w:r>
        <w:rPr>
          <w:bCs w:val="false"/>
        </w:rPr>
      </w:r>
    </w:p>
    <w:p>
      <w:pPr>
        <w:pStyle w:val="BodyTextIndent3"/>
        <w:ind w:start="0" w:end="0"/>
        <w:rPr>
          <w:bCs w:val="false"/>
        </w:rPr>
      </w:pPr>
      <w:r>
        <w:rPr>
          <w:bCs w:val="false"/>
        </w:rPr>
      </w:r>
      <w:r>
        <w:br w:type="page"/>
      </w:r>
    </w:p>
    <w:p>
      <w:pPr>
        <w:pStyle w:val="BodyTextIndent3"/>
        <w:ind w:start="0" w:end="0"/>
        <w:rPr>
          <w:b/>
        </w:rPr>
      </w:pPr>
      <w:r>
        <w:rPr>
          <w:b/>
        </w:rPr>
        <w:t>ATTACHMENTS</w:t>
      </w:r>
    </w:p>
    <w:p>
      <w:pPr>
        <w:pStyle w:val="BodyTextIndent3"/>
        <w:ind w:start="1440" w:end="0"/>
        <w:rPr>
          <w:b/>
          <w:bCs w:val="false"/>
        </w:rPr>
      </w:pPr>
      <w:r>
        <w:rPr>
          <w:b/>
          <w:bCs w:val="false"/>
        </w:rPr>
      </w:r>
    </w:p>
    <w:p>
      <w:pPr>
        <w:pStyle w:val="BodyTextIndent3"/>
        <w:ind w:start="0" w:end="0"/>
        <w:rPr>
          <w:b/>
        </w:rPr>
      </w:pPr>
      <w:r>
        <w:rPr>
          <w:b/>
        </w:rPr>
        <w:t>1.</w:t>
        <w:tab/>
        <w:t>Approved form of Parent Guaranty</w:t>
      </w:r>
    </w:p>
    <w:p>
      <w:pPr>
        <w:pStyle w:val="BodyTextIndent3"/>
        <w:ind w:start="0" w:end="0"/>
        <w:rPr>
          <w:b/>
          <w:bCs w:val="false"/>
        </w:rPr>
      </w:pPr>
      <w:r>
        <w:rPr>
          <w:b/>
          <w:bCs w:val="false"/>
        </w:rPr>
      </w:r>
    </w:p>
    <w:p>
      <w:pPr>
        <w:pStyle w:val="BodyTextIndent3"/>
        <w:ind w:start="0" w:end="0"/>
        <w:rPr>
          <w:bCs w:val="false"/>
        </w:rPr>
      </w:pPr>
      <w:r>
        <w:rPr>
          <w:bCs w:val="false"/>
        </w:rPr>
      </w:r>
    </w:p>
    <w:p>
      <w:pPr>
        <w:pStyle w:val="BodyTextIndent3"/>
        <w:ind w:start="0" w:end="0"/>
        <w:rPr>
          <w:bCs w:val="false"/>
        </w:rPr>
      </w:pPr>
      <w:r>
        <w:rPr>
          <w:bCs w:val="false"/>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pPr>
      <w:r>
        <w:rPr>
          <w:rFonts w:cs="CG Times;Times New Roman" w:ascii="CG Times;Times New Roman" w:hAnsi="CG Times;Times New Roman"/>
        </w:rPr>
        <w:tab/>
      </w:r>
      <w:r>
        <w:rPr>
          <w:rFonts w:cs="CG Times;Times New Roman" w:ascii="CG Times;Times New Roman" w:hAnsi="CG Times;Times New Roman"/>
          <w:sz w:val="28"/>
        </w:rPr>
        <w:t>GUARANTY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rFonts w:ascii="CG Times;Times New Roman" w:hAnsi="CG Times;Times New Roman" w:cs="CG Times;Times New Roman"/>
          <w:sz w:val="28"/>
        </w:rPr>
      </w:pPr>
      <w:r>
        <w:rPr>
          <w:rFonts w:cs="CG Times;Times New Roman" w:ascii="CG Times;Times New Roman" w:hAnsi="CG Times;Times New Roman"/>
          <w:sz w:val="28"/>
        </w:rPr>
      </w:r>
    </w:p>
    <w:p>
      <w:pPr>
        <w:pStyle w:val="BodyTextIndent2"/>
        <w:ind w:start="0" w:end="0"/>
        <w:rPr>
          <w:rFonts w:ascii="CG Times;Times New Roman" w:hAnsi="CG Times;Times New Roman" w:cs="CG Times;Times New Roman"/>
          <w:bCs w:val="false"/>
        </w:rPr>
      </w:pPr>
      <w:r>
        <w:rPr>
          <w:rFonts w:cs="CG Times;Times New Roman" w:ascii="CG Times;Times New Roman" w:hAnsi="CG Times;Times New Roman"/>
          <w:bCs w:val="false"/>
        </w:rPr>
      </w:r>
    </w:p>
    <w:p>
      <w:pPr>
        <w:pStyle w:val="BodyTextIndent2"/>
        <w:ind w:start="0" w:end="0"/>
        <w:rPr>
          <w:bCs w:val="false"/>
        </w:rPr>
      </w:pPr>
      <w:r>
        <w:rPr>
          <w:bCs w:val="false"/>
        </w:rPr>
        <w:t>This Guaranty Agreement (the “Guaranty”) is made by ____________________ (“Guarantor”), a _____________ corporation, in favor of Southwest Power Pool, Inc. (“Creditor”), an Arkansas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jc w:val="both"/>
        <w:rPr>
          <w:rFonts w:ascii="CG Times;Times New Roman" w:hAnsi="CG Times;Times New Roman" w:cs="CG Times;Times New Roman"/>
          <w:bCs/>
        </w:rPr>
      </w:pPr>
      <w:r>
        <w:rPr>
          <w:rFonts w:cs="CG Times;Times New Roman" w:ascii="CG Times;Times New Roman" w:hAnsi="CG Times;Times New Roman"/>
          <w:bC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rFonts w:ascii="CG Times;Times New Roman" w:hAnsi="CG Times;Times New Roman" w:cs="CG Times;Times New Roman"/>
        </w:rPr>
      </w:pPr>
      <w:r>
        <w:rPr>
          <w:rFonts w:cs="CG Times;Times New Roman" w:ascii="CG Times;Times New Roman" w:hAnsi="CG Times;Times New Roman"/>
        </w:rPr>
        <w:t>WHEREAS, one or more direct or indirect subsidiaries of the Guarantor (each referred to individually as “Debtor” and collectively as “Debtors”) and the Creditor are parties to [DESCRIBE AGREEMENT(S)] (collectively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BodyTextIndent2"/>
        <w:ind w:start="0" w:end="0"/>
        <w:rPr>
          <w:bCs w:val="false"/>
        </w:rPr>
      </w:pPr>
      <w:r>
        <w:rPr>
          <w:bCs w:val="false"/>
        </w:rPr>
        <w:t>WHEREAS, Guarantor is the direct or indirect parent of the Debtor, will receive substantial and direct benefits from the extensions of credit contemplated by the Agreements and has agreed to enter into this Guaranty to provide assurance for the performance of Debtor’s obligations in connection with the Agreements and to induce the Creditor to enter into the Agreements;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rPr>
          <w:rFonts w:ascii="CG Times;Times New Roman" w:hAnsi="CG Times;Times New Roman" w:cs="CG Times;Times New Roman"/>
          <w:bCs/>
        </w:rPr>
      </w:pPr>
      <w:r>
        <w:rPr>
          <w:rFonts w:cs="CG Times;Times New Roman" w:ascii="CG Times;Times New Roman" w:hAnsi="CG Times;Times New Roman"/>
          <w:bCs/>
        </w:rPr>
      </w:r>
    </w:p>
    <w:p>
      <w:pPr>
        <w:pStyle w:val="BodyTextIndent2"/>
        <w:ind w:start="0" w:end="0"/>
        <w:rPr>
          <w:bCs w:val="false"/>
        </w:rPr>
      </w:pPr>
      <w:r>
        <w:rPr>
          <w:bCs w:val="false"/>
        </w:rPr>
        <w:t>WHEREAS, the execution and delivery of this Guaranty is a condition to Creditor’s further performance of its obligations under the terms of the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rPr>
          <w:rFonts w:ascii="CG Times;Times New Roman" w:hAnsi="CG Times;Times New Roman" w:cs="CG Times;Times New Roman"/>
          <w:bCs/>
        </w:rPr>
      </w:pPr>
      <w:r>
        <w:rPr>
          <w:rFonts w:cs="CG Times;Times New Roman" w:ascii="CG Times;Times New Roman" w:hAnsi="CG Times;Times New Roman"/>
          <w:bCs/>
        </w:rPr>
      </w:r>
    </w:p>
    <w:p>
      <w:pPr>
        <w:pStyle w:val="BodyTextIndent2"/>
        <w:ind w:start="720" w:end="0"/>
        <w:rPr>
          <w:bCs w:val="false"/>
        </w:rPr>
      </w:pPr>
      <w:r>
        <w:rPr>
          <w:bCs w:val="false"/>
        </w:rPr>
        <w:t xml:space="preserve">NOW, THEREFORE, in consideration of the promises and other good and valuable consideration, the adequacy, receipt and sufficiency of which are hereby acknowledged, Guarantor hereby agrees as follows: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1440" w:end="0"/>
        <w:jc w:val="both"/>
        <w:rPr>
          <w:rFonts w:ascii="CG Times;Times New Roman" w:hAnsi="CG Times;Times New Roman" w:cs="CG Times;Times New Roman"/>
          <w:bCs/>
        </w:rPr>
      </w:pPr>
      <w:r>
        <w:rPr>
          <w:rFonts w:cs="CG Times;Times New Roman" w:ascii="CG Times;Times New Roman" w:hAnsi="CG Times;Times New Roman"/>
          <w:bCs/>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720" w:end="0"/>
        <w:jc w:val="both"/>
        <w:rPr/>
      </w:pPr>
      <w:r>
        <w:rPr>
          <w:rFonts w:cs="CG Times;Times New Roman" w:ascii="CG Times;Times New Roman" w:hAnsi="CG Times;Times New Roman"/>
        </w:rPr>
        <w:t>1.</w:t>
        <w:tab/>
      </w:r>
      <w:r>
        <w:rPr>
          <w:rFonts w:cs="CG Times;Times New Roman" w:ascii="CG Times;Times New Roman" w:hAnsi="CG Times;Times New Roman"/>
          <w:u w:val="single"/>
        </w:rPr>
        <w:t>Guaranty</w:t>
      </w:r>
      <w:r>
        <w:rPr>
          <w:rFonts w:cs="CG Times;Times New Roman" w:ascii="CG Times;Times New Roman" w:hAnsi="CG Times;Times New Roman"/>
        </w:rPr>
        <w:t xml:space="preserve">. Guarantor hereby unconditionally and absolutely guarantees the punctual payment when due of Debtor’s payment obligations arising under any Agreement, as such Agreement may be amended or modified from time to time, together with any interest thereon (collectively, the “Guaranteed Obligations). Guarantor’s obligations and liability under this Guaranty shall be limited to payment obligations only and Guarantor shall have no obligation to perform under any Agreement, including, without limitation, to sell, deliver, supply or transport gas, electricity or any other commodity.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72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720" w:end="0"/>
        <w:jc w:val="both"/>
        <w:rPr/>
      </w:pPr>
      <w:r>
        <w:rPr>
          <w:rFonts w:cs="CG Times;Times New Roman" w:ascii="CG Times;Times New Roman" w:hAnsi="CG Times;Times New Roman"/>
        </w:rPr>
        <w:t>2.</w:t>
        <w:tab/>
      </w:r>
      <w:r>
        <w:rPr>
          <w:rFonts w:cs="CG Times;Times New Roman" w:ascii="CG Times;Times New Roman" w:hAnsi="CG Times;Times New Roman"/>
          <w:u w:val="single"/>
        </w:rPr>
        <w:t>Guaranty Absolute</w:t>
      </w:r>
      <w:r>
        <w:rPr>
          <w:rFonts w:cs="CG Times;Times New Roman" w:ascii="CG Times;Times New Roman" w:hAnsi="CG Times;Times New Roman"/>
        </w:rPr>
        <w:t>. The liability of Guarantor under this Guaranty shall be absolute and unconditional irrespective of:</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720" w:end="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4"/>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Times New Roman" w:hAnsi="CG Times;Times New Roman" w:cs="CG Times;Times New Roman"/>
        </w:rPr>
      </w:pPr>
      <w:r>
        <w:rPr>
          <w:rFonts w:cs="CG Times;Times New Roman" w:ascii="CG Times;Times New Roman" w:hAnsi="CG Times;Times New Roman"/>
        </w:rPr>
        <w:t>any lack of validity or enforceability of or defect or deficiency in any Agreement or any other documents executed in connection with any Agreement;</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1440" w:end="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Times New Roman" w:hAnsi="CG Times;Times New Roman" w:cs="CG Times;Times New Roman"/>
        </w:rPr>
      </w:pPr>
      <w:r>
        <w:rPr>
          <w:rFonts w:cs="CG Times;Times New Roman" w:ascii="CG Times;Times New Roman" w:hAnsi="CG Times;Times New Roman"/>
        </w:rPr>
        <w:t>any modification, extension or waiver of any of the terms of any Agreement;</w:t>
      </w:r>
    </w:p>
    <w:p>
      <w:pPr>
        <w:pStyle w:val="Normal"/>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Times New Roman" w:hAnsi="CG Times;Times New Roman" w:cs="CG Times;Times New Roman"/>
        </w:rPr>
      </w:pPr>
      <w:r>
        <w:rPr>
          <w:rFonts w:cs="CG Times;Times New Roman" w:ascii="CG Times;Times New Roman" w:hAnsi="CG Times;Times New Roman"/>
        </w:rPr>
        <w:t>any change in the time, manner, terms or place of payment of or in any other term of, all or any of the Guaranteed Obligations, or any other amendment or waiver of or any consent to departure from any Agreement or any other agreement or instrument executed in connection therewith;</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Times New Roman" w:hAnsi="CG Times;Times New Roman" w:cs="CG Times;Times New Roman"/>
        </w:rPr>
      </w:pPr>
      <w:r>
        <w:rPr>
          <w:rFonts w:cs="CG Times;Times New Roman" w:ascii="CG Times;Times New Roman" w:hAnsi="CG Times;Times New Roman"/>
        </w:rPr>
        <w:t xml:space="preserve">any sale, exchange, release or non-perfection of any property standing as security for the liabilities hereby guaranteed, or any liabilities incurred directly or indirectly hereunder or any setoff against any of said liabilities, or any release or amendment or waiver of or consent to departure from this Guaranty or any other guaranty, for all or any of the Guaranteed Obligations; </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Times New Roman" w:hAnsi="CG Times;Times New Roman" w:cs="CG Times;Times New Roman"/>
        </w:rPr>
      </w:pPr>
      <w:r>
        <w:rPr>
          <w:rFonts w:cs="CG Times;Times New Roman" w:ascii="CG Times;Times New Roman" w:hAnsi="CG Times;Times New Roman"/>
        </w:rPr>
        <w:t>except as to applicable statutes of limitation, failure, omission, delay, waiver or refusal by Creditor to exercise, in whole or in part, any right or remedy held by Creditor with respect to any Agreement or any transaction under any Agreement;</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Times New Roman" w:hAnsi="CG Times;Times New Roman" w:cs="CG Times;Times New Roman"/>
        </w:rPr>
      </w:pPr>
      <w:r>
        <w:rPr>
          <w:rFonts w:cs="CG Times;Times New Roman" w:ascii="CG Times;Times New Roman" w:hAnsi="CG Times;Times New Roman"/>
        </w:rPr>
        <w:t>any change in the existence, structure or ownership of Guarantor or any Debtor, or any insolvency, bankruptcy, reorganization or other similar proceeding affecting any Debtor or its assets; or</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4"/>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720" w:start="2160" w:end="0"/>
        <w:jc w:val="both"/>
        <w:rPr>
          <w:rFonts w:ascii="CG Times;Times New Roman" w:hAnsi="CG Times;Times New Roman" w:cs="CG Times;Times New Roman"/>
        </w:rPr>
      </w:pPr>
      <w:r>
        <w:rPr>
          <w:rFonts w:cs="CG Times;Times New Roman" w:ascii="CG Times;Times New Roman" w:hAnsi="CG Times;Times New Roman"/>
        </w:rPr>
        <w:t>any other circumstance that might otherwise constitute a defense available to, or a discharge of, any Debtor or any other individual, partnership, joint venture, corporation, association, trust or other enterprise that is a party to any Agreement, or any other agreement or instrument (including any guarantor) in respect of the Guaranteed Obligations, other than payment in full of the Guaranteed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rPr>
      </w:pPr>
      <w:r>
        <w:rPr>
          <w:rFonts w:cs="CG Times;Times New Roman" w:ascii="CG Times;Times New Roman" w:hAnsi="CG Times;Times New Roman"/>
        </w:rPr>
      </w:r>
    </w:p>
    <w:p>
      <w:pPr>
        <w:pStyle w:val="BodyTextIndent"/>
        <w:rPr>
          <w:bCs w:val="false"/>
        </w:rPr>
      </w:pPr>
      <w:r>
        <w:rPr>
          <w:bCs w:val="false"/>
        </w:rPr>
        <w:t>The obligations of the Guarantor hereunder are several from any Debtor or any other person, and are primary obligations concerning which the Guarantor is the principal obligor. There are no conditions precedent to the enforcement of this Guaranty, except as expressly contained herein. It shall not be necessary for Creditor, in order to enforce payment by Guarantor under this Guaranty, to show any proof of any Debtor's default, to exhaust its remedies against any Debtor, any other guarantor, or any other person liable for the payment or performance of the Guaranteed Obligations. Creditor shall not be required to mitigate damages or take any other action to reduce, collect, or enforce the Guaranteed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Times New Roman" w:hAnsi="CG Times;Times New Roman" w:cs="CG Times;Times New Roman"/>
          <w:bCs/>
        </w:rPr>
      </w:pPr>
      <w:r>
        <w:rPr>
          <w:rFonts w:cs="CG Times;Times New Roman" w:ascii="CG Times;Times New Roman" w:hAnsi="CG Times;Times New Roman"/>
          <w:bCs/>
        </w:rPr>
      </w:r>
    </w:p>
    <w:p>
      <w:pPr>
        <w:pStyle w:val="BodyTextIndent"/>
        <w:rPr>
          <w:bCs w:val="false"/>
        </w:rPr>
      </w:pPr>
      <w:r>
        <w:rPr>
          <w:bCs w:val="false"/>
        </w:rPr>
        <w:t>This Guaranty shall continue to be effective or be reinstated, as the case may be, if at any time any payment of any of the Guaranteed Obligations are annulled, set aside, invalidated, declared to be fraudulent or preferential, rescinded or must otherwise be returned, refunded or repaid by Creditor upon the insolvency, bankruptcy, dissolution, liquidation or reorganization of Debtor or any other guarantor, or upon or as a result of the appointment of a receiver, intervenor or conservator of, or trustee or similar officer for, Debtor or any other guarantor or any substantial part of its property or otherwise, all as though such payment or payments had not been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bCs/>
        </w:rPr>
      </w:pPr>
      <w:r>
        <w:rPr>
          <w:rFonts w:cs="CG Times;Times New Roman" w:ascii="CG Times;Times New Roman" w:hAnsi="CG Times;Times New Roman"/>
          <w:bC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720" w:start="720" w:end="0"/>
        <w:jc w:val="both"/>
        <w:rPr/>
      </w:pPr>
      <w:r>
        <w:rPr>
          <w:rFonts w:cs="CG Times;Times New Roman" w:ascii="CG Times;Times New Roman" w:hAnsi="CG Times;Times New Roman"/>
        </w:rPr>
        <w:t>3.</w:t>
        <w:tab/>
      </w:r>
      <w:r>
        <w:rPr>
          <w:rFonts w:cs="CG Times;Times New Roman" w:ascii="CG Times;Times New Roman" w:hAnsi="CG Times;Times New Roman"/>
          <w:u w:val="single"/>
        </w:rPr>
        <w:t>Waiver</w:t>
      </w:r>
      <w:r>
        <w:rPr>
          <w:rFonts w:cs="CG Times;Times New Roman" w:ascii="CG Times;Times New Roman" w:hAnsi="CG Times;Times New Roman"/>
        </w:rPr>
        <w:t>. This is a guaranty of payment and not of collection. Guarantor hereby waives: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u w:val="single"/>
        </w:rPr>
      </w:pPr>
      <w:r>
        <w:rPr>
          <w:u w:val="single"/>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notice of acceptance of this Guaranty, of the creation or existence of any of the Guaranteed Obligations and of any action by Creditor in reliance hereon or in connection herewith;</w:t>
      </w:r>
    </w:p>
    <w:p>
      <w:pPr>
        <w:pStyle w:val="Normal"/>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start="1440" w:end="0"/>
        <w:jc w:val="both"/>
        <w:rPr/>
      </w:pPr>
      <w:r>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notice of the entry into any Agreement between any Debtor and the Creditor and of any amendments, supplements or modifications thereto; or any waiver of consent under any Agreement, including waivers of the payment and performance of the obligations thereunder;</w:t>
      </w:r>
    </w:p>
    <w:p>
      <w:pPr>
        <w:pStyle w:val="Normal"/>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u w:val="double"/>
        </w:rPr>
      </w:pPr>
      <w:r>
        <w:rPr>
          <w:u w:val="double"/>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notice of any increase, reduction or rearrangement of any Debtor’s obligations under any Agreement or any extension of time for the payment of any sums due and payable to the Creditor under any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1440" w:end="0"/>
        <w:jc w:val="both"/>
        <w:rPr/>
      </w:pPr>
      <w:r>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rFonts w:ascii="CG Times;Times New Roman" w:hAnsi="CG Times;Times New Roman" w:cs="CG Times;Times New Roman"/>
        </w:rPr>
      </w:pPr>
      <w:r>
        <w:rPr/>
        <w:t>except as expressly set forth herein, presentment, demand for payment, notice of dishonor or nonpayment, protest and notice of</w:t>
      </w:r>
      <w:r>
        <w:rPr>
          <w:rFonts w:cs="CG Times;Times New Roman" w:ascii="CG Times;Times New Roman" w:hAnsi="CG Times;Times New Roman"/>
        </w:rPr>
        <w:t xml:space="preserve"> </w:t>
      </w:r>
      <w:r>
        <w:rPr/>
        <w:t>protest or any</w:t>
      </w:r>
      <w:r>
        <w:rPr>
          <w:rFonts w:cs="CG Times;Times New Roman" w:ascii="CG Times;Times New Roman" w:hAnsi="CG Times;Times New Roman"/>
        </w:rPr>
        <w:t xml:space="preserve"> other notice of any other kind with respect to the Guaranteed Obligations; and </w:t>
      </w:r>
    </w:p>
    <w:p>
      <w:pPr>
        <w:pStyle w:val="Normal"/>
        <w:numPr>
          <w:ilvl w:val="0"/>
          <w:numId w:val="0"/>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5"/>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rFonts w:ascii="CG Times;Times New Roman" w:hAnsi="CG Times;Times New Roman" w:cs="CG Times;Times New Roman"/>
        </w:rPr>
      </w:pPr>
      <w:r>
        <w:rPr>
          <w:rFonts w:cs="CG Times;Times New Roman" w:ascii="CG Times;Times New Roman" w:hAnsi="CG Times;Times New Roman"/>
        </w:rPr>
        <w:t>any requirement that suit be brought against, or any other action by Creditor be taken against, or any notice of default or other notice be given to, or any demand be made on, Debtor or any other person, or that any other action be taken or not taken as a condition to Guarantor’s liability for the Guaranteed Obligations under this Guaranty or as a condition to the enforcement of this Guaranty against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rPr>
      </w:pPr>
      <w:r>
        <w:rPr>
          <w:rFonts w:cs="CG Times;Times New Roman" w:ascii="CG Times;Times New Roman" w:hAnsi="CG Times;Times New Roman"/>
          <w:u w:val="single"/>
        </w:rPr>
        <w:t>Expenses</w:t>
      </w:r>
      <w:r>
        <w:rPr>
          <w:rFonts w:cs="CG Times;Times New Roman" w:ascii="CG Times;Times New Roman" w:hAnsi="CG Times;Times New Roman"/>
        </w:rPr>
        <w:t>. Notwithstanding and in addition to the limit on Guarantor’s liability hereunder set forth in Section 1, Guarantor agrees to pay on demand any and all costs, including reasonable legal fees and expenses, and other expenses incurred by Creditor in enforcing Guarantor’s payment obligations under this Guaranty; provided that the Guarantor shall not be liable for any expenses of Creditor if no payment under this Guaranty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Times New Roman" w:ascii="CG Times;Times New Roman" w:hAnsi="CG Times;Times New Roman"/>
          <w:u w:val="single"/>
        </w:rPr>
        <w:t>Subrogation</w:t>
      </w:r>
      <w:r>
        <w:rPr>
          <w:rFonts w:cs="CG Times;Times New Roman" w:ascii="CG Times;Times New Roman" w:hAnsi="CG Times;Times New Roman"/>
        </w:rPr>
        <w:t xml:space="preserve">. </w:t>
      </w:r>
      <w:r>
        <w:rPr/>
        <w:t>Guarantor shall be subrogated to all rights of Creditor against the Debtors in respect of any amounts paid by Guarantor pursuant to this Guaranty, provided that Guarantor waives any rights it may acquire by way of subrogation under this Guaranty, by any payment made hereunder or otherwise (including, without limitation, any statutory rights of subrogation under Section 509 of the Bankruptcy Code, 11 U.S.C. § 509, or otherwise), reimbursement, exoneration, contribution, indemnification, or any right to participate in any claim or remedy of the Creditor against any Debtor or any collateral which the Creditor now has or acquires, until all of the Guaranteed Obligations shall have been irrevocably paid to Creditor in full. If any amount shall be paid to the Guarantor on account of such subrogation rights at any time when all the Guaranteed Obligations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Times New Roman" w:ascii="CG Times;Times New Roman" w:hAnsi="CG Times;Times New Roman"/>
          <w:u w:val="single"/>
        </w:rPr>
        <w:t>Setoff</w:t>
      </w:r>
      <w:r>
        <w:rPr>
          <w:rFonts w:cs="CG Times;Times New Roman" w:ascii="CG Times;Times New Roman" w:hAnsi="CG Times;Times New Roman"/>
        </w:rPr>
        <w:t xml:space="preserve">.  </w:t>
      </w:r>
      <w:r>
        <w:rPr/>
        <w:t>The Creditor is hereby authorized at any time, to the fullest extent permitted by law, to set off and apply any deposits (general or special, time or demand, provisional or final) and other indebtedness owing by the Creditor to or for the account of Guarantor against any and all of the obligations of Guarantor under this Guaranty, irrespective of whether or not the Creditor shall have made any demand under this Guaranty or such Agreement and although such obligations may be contingent and unmatured. The Creditor agrees promptly to notify Guarantor after any such set-off and application made by the Creditor provided that the failure to give such notice shall not affect the validity of such set-off and application.</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Times New Roman" w:ascii="CG Times;Times New Roman" w:hAnsi="CG Times;Times New Roman"/>
          <w:u w:val="single"/>
        </w:rPr>
        <w:t>Notices</w:t>
      </w:r>
      <w:r>
        <w:rPr>
          <w:rFonts w:cs="CG Times;Times New Roman" w:ascii="CG Times;Times New Roman" w:hAnsi="CG Times;Times New Roman"/>
        </w:rPr>
        <w:t xml:space="preserve">. </w:t>
      </w:r>
      <w:r>
        <w:rPr/>
        <w:t>All demands, notices and other communications provided for hereunder shall, unless otherwise specifically provided herein, (a) be in writing addressed to the party receiving the notice at the address set forth below or at such other address as may be designated by written notice, from time to time, to the other party, and (b) be effective upon delivery, when mailed by U.S. mail, registered or certified, return receipt requested, postage prepaid, by express courier with traceable receipt, by facsimile, or personally delivered. Notices shall be sent to the following addresses: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u w:val="single"/>
        </w:rPr>
        <w:t>If to Creditor</w:t>
      </w:r>
      <w:r>
        <w:rPr/>
        <w: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Southwest Power Pool,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415 N. McKinley, #700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Little Rock, AR  72205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Attention: Financial Coordinator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pPr>
      <w:r>
        <w:rPr>
          <w:u w:val="single"/>
        </w:rPr>
        <w:t>If to Guarantor</w:t>
      </w:r>
      <w:r>
        <w:rPr>
          <w:rFonts w:cs="CG Times;Times New Roman" w:ascii="CG Times;Times New Roman" w:hAnsi="CG Times;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Times New Roman" w:hAnsi="CG Times;Times New Roman" w:cs="CG Times;Times New Roman"/>
        </w:rPr>
      </w:pPr>
      <w:r>
        <w:rPr>
          <w:rFonts w:cs="CG Times;Times New Roman" w:ascii="CG Times;Times New Roman" w:hAnsi="CG Times;Times New Roman"/>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Times New Roman" w:hAnsi="CG Times;Times New Roman" w:cs="CG Times;Times New Roman"/>
        </w:rPr>
      </w:pPr>
      <w:r>
        <w:rPr>
          <w:rFonts w:cs="CG Times;Times New Roman" w:ascii="CG Times;Times New Roman" w:hAnsi="CG Times;Times New Roman"/>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Times New Roman" w:hAnsi="CG Times;Times New Roman" w:cs="CG Times;Times New Roman"/>
        </w:rPr>
      </w:pPr>
      <w:r>
        <w:rPr>
          <w:rFonts w:cs="CG Times;Times New Roman" w:ascii="CG Times;Times New Roman" w:hAnsi="CG Times;Times New Roman"/>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Times New Roman" w:hAnsi="CG Times;Times New Roman" w:cs="CG Times;Times New Roman"/>
        </w:rPr>
      </w:pPr>
      <w:r>
        <w:rPr>
          <w:rFonts w:cs="CG Times;Times New Roman" w:ascii="CG Times;Times New Roman" w:hAnsi="CG Times;Times New Roman"/>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u w:val="single"/>
        </w:rPr>
        <w:t>Demand and Payment</w:t>
      </w:r>
      <w:r>
        <w:rPr/>
        <w:t>. Any demand by Creditor for payment hereunder shall be in writing, signed by a duly authorized officer of Creditor and delivered to the Guarantor pursuant to Section 6 hereof, and shall (a) reference this Guaranty, (b) specifically identify the Debtor, the Guaranteed Obligations to be paid and the amount of such Guaranteed Obligations, and (c) set forth payment instructions. There are no other requirements of notice, presentment or demand. Guarantor shall pay, or cause to be paid, such Guaranteed Obligations within three (3) business days of receipt of such demand.</w:t>
      </w:r>
    </w:p>
    <w:p>
      <w:pPr>
        <w:pStyle w:val="Normal"/>
        <w:keepLines/>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Times New Roman" w:ascii="CG Times;Times New Roman" w:hAnsi="CG Times;Times New Roman"/>
          <w:u w:val="single"/>
        </w:rPr>
        <w:t>No Waiver; Remedies</w:t>
      </w:r>
      <w:r>
        <w:rPr>
          <w:rFonts w:cs="CG Times;Times New Roman" w:ascii="CG Times;Times New Roman" w:hAnsi="CG Times;Times New Roman"/>
        </w:rPr>
        <w:t xml:space="preserve">. </w:t>
      </w:r>
      <w:r>
        <w:rPr/>
        <w:t>Except as to applicable statutes of limitation, no failure on the part of Creditor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rPr>
      </w:pPr>
      <w:r>
        <w:rPr>
          <w:u w:val="single"/>
        </w:rPr>
        <w:t>Term; Termination</w:t>
      </w:r>
      <w:r>
        <w:rPr/>
        <w:t xml:space="preserve">. This Guaranty shall continue in full force and effect for the term of the Agreement. Notwithstanding the foregoing, this Guaranty may be terminated at any time by the Guarantor by providing at least thirty (30) days’ prior written notice to Creditor; provided, however, upon termination hereof, Guarantor agrees that the obligations and liabilities hereunder shall continue in full force and effect with respect to any obligations incurred prior to the termination date, and any fees and costs of enforcement in connection herewith. </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Times New Roman" w:ascii="CG Times;Times New Roman" w:hAnsi="CG Times;Times New Roman"/>
          <w:u w:val="single"/>
        </w:rPr>
        <w:t>Assignment; Successors and Assigns</w:t>
      </w:r>
      <w:r>
        <w:rPr>
          <w:rFonts w:cs="CG Times;Times New Roman" w:ascii="CG Times;Times New Roman" w:hAnsi="CG Times;Times New Roman"/>
        </w:rPr>
        <w:t xml:space="preserve">. </w:t>
      </w:r>
      <w:r>
        <w:rPr/>
        <w:t>Creditor may, upon notice to Guarantor, assign its rights hereunder without the consent of Guarantor. Guarantor may assign its rights hereunder with the prior written consent of Creditor, which consent shall not be unreasonably withheld. Subject to the foregoing, this Guaranty shall be binding upon and inure to the benefit of the parties hereto and their respective successors, permitted assigns, and legal representatives.</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rPr>
      </w:pPr>
      <w:r>
        <w:rPr>
          <w:rFonts w:cs="CG Times;Times New Roman" w:ascii="CG Times;Times New Roman" w:hAnsi="CG Times;Times New Roman"/>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u w:val="single"/>
        </w:rPr>
        <w:t>Amendments, Etc</w:t>
      </w:r>
      <w:r>
        <w:rPr/>
        <w:t>. A written amendment executed by the Guarantor only may (a) increase the guaranty limit specified in Section 1 and/or (b) extend the termination date of this Guaranty. No other amendment of this Guaranty shall be effective unless in writing and signed by Guarantor and Creditor. No waiver of any provision of this Guaranty nor consent to any departure by Guarantor therefrom shall in any event be effective unless such waiver shall be in writing and signed by Creditor. Any such waiver shall be effective only in the specific instance and for the specific purpose for which it was given.</w:t>
      </w:r>
    </w:p>
    <w:p>
      <w:pPr>
        <w:pStyle w:val="Normal"/>
        <w:spacing w:lineRule="auto" w:line="24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Fonts w:cs="CG Times;Times New Roman" w:ascii="CG Times;Times New Roman" w:hAnsi="CG Times;Times New Roman"/>
          <w:u w:val="single"/>
        </w:rPr>
        <w:t>Captions</w:t>
      </w:r>
      <w:r>
        <w:rPr>
          <w:rFonts w:cs="CG Times;Times New Roman" w:ascii="CG Times;Times New Roman" w:hAnsi="CG Times;Times New Roman"/>
        </w:rPr>
        <w:t xml:space="preserve">. </w:t>
      </w:r>
      <w:r>
        <w:rPr/>
        <w:t>The captions in this Guaranty have been inserted for convenience only and shall be given no substantive meaning or significance whatsoever in construing the terms and provisions of this Guaranty.</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rPr>
      </w:pPr>
      <w:r>
        <w:rPr>
          <w:rFonts w:cs="CG Times;Times New Roman" w:ascii="CG Times;Times New Roman" w:hAnsi="CG Times;Times New Roman"/>
          <w:u w:val="single"/>
        </w:rPr>
        <w:t>Representation and Warranties</w:t>
      </w:r>
      <w:r>
        <w:rPr>
          <w:rFonts w:cs="CG Times;Times New Roman" w:ascii="CG Times;Times New Roman" w:hAnsi="CG Times;Times New Roman"/>
        </w:rPr>
        <w:t xml:space="preserve">.  </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rFonts w:ascii="CG Times;Times New Roman" w:hAnsi="CG Times;Times New Roman" w:cs="CG Times;Times New Roman"/>
        </w:rPr>
      </w:pPr>
      <w:r>
        <w:rPr>
          <w:rFonts w:cs="CG Times;Times New Roman" w:ascii="CG Times;Times New Roman" w:hAnsi="CG Times;Times New Roman"/>
        </w:rPr>
      </w:r>
    </w:p>
    <w:p>
      <w:pPr>
        <w:pStyle w:val="Normal"/>
        <w:keepLines/>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t>The Guarantor represents and warrants as follows:</w:t>
      </w:r>
    </w:p>
    <w:p>
      <w:pPr>
        <w:pStyle w:val="Normal"/>
        <w:keepLines/>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720" w:end="0"/>
        <w:jc w:val="both"/>
        <w:rPr/>
      </w:pPr>
      <w:r>
        <w:rPr/>
      </w:r>
    </w:p>
    <w:p>
      <w:pPr>
        <w:pStyle w:val="Normal"/>
        <w:numPr>
          <w:ilvl w:val="0"/>
          <w:numId w:val="6"/>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the Guarantor is duly organized, validly existing and in good standing under the laws of the jurisdiction of its incorporation and has full corporate power to execute, deliver and perform this Guaranty;</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1440" w:end="0"/>
        <w:jc w:val="both"/>
        <w:rPr/>
      </w:pPr>
      <w:r>
        <w:rPr/>
      </w:r>
    </w:p>
    <w:p>
      <w:pPr>
        <w:pStyle w:val="Normal"/>
        <w:numPr>
          <w:ilvl w:val="0"/>
          <w:numId w:val="6"/>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the execution, delivery and performance of this Guaranty have been and remain duly authorized by all necessary corporate action and do not contravene the Guarantor’s constitutional documents or any contractual restriction binding on the Guarantor or its assets;</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numPr>
          <w:ilvl w:val="0"/>
          <w:numId w:val="6"/>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this Guaranty constitutes the legal, valid and binding obligation of the Guarantor enforceable against Guarantor in accordance with its terms, subject, as to enforcement, to bankruptcy, insolvency, reorganization and other laws of general applicability relating to or affecting Creditor’s rights and to general equity principles; and</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1440" w:end="0"/>
        <w:jc w:val="both"/>
        <w:rPr/>
      </w:pPr>
      <w:r>
        <w:rPr/>
      </w:r>
    </w:p>
    <w:p>
      <w:pPr>
        <w:pStyle w:val="Normal"/>
        <w:numPr>
          <w:ilvl w:val="0"/>
          <w:numId w:val="6"/>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jc w:val="both"/>
        <w:rPr/>
      </w:pPr>
      <w:r>
        <w:rPr/>
        <w:t>the audited financial statements of Guarantor for the most recent fiscal year and the unaudited financial statements of Guarantor for the most recent quarter (the “Financial Statements”),heretofore delivered to Creditor or filed with the United States Securities Exchange Commission by Guarantor present fairly the financial condition and results of operations of Guarantor and its consolidated subsidiaries as of the dates and for the period specified therein in conformity with United States generally accepted accounting principles, and, except as otherwise expressly stated therein, consistently applied. Except as expressly stated to Creditor in writing, there has been no material adverse change in the financial condition of Guarantor and its consolidated subsidiaries since the dates of the Financial Statements.</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u w:val="single"/>
        </w:rPr>
        <w:t>Limitation by Law</w:t>
      </w:r>
      <w:r>
        <w:rPr/>
        <w:t>. All rights, remedies and powers provided in this Guaranty may be exercised only to the extent that the exercise thereof does not violate any applicable provision of law, and all the provisions of this Guaranty are intended to be subject to all applicable mandatory provisions of law that may be controlling and to be limited to the extent necessary so that they will not render this Guaranty invalid, unenforceable, in whole or in part, or not entitled to be recorded, registered or filed under the provisions of any applicable law.</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0"/>
        <w:jc w:val="both"/>
        <w:rPr/>
      </w:pPr>
      <w:r>
        <w:rPr/>
      </w:r>
    </w:p>
    <w:p>
      <w:pPr>
        <w:pStyle w:val="Normal"/>
        <w:keepLines/>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both"/>
        <w:rPr/>
      </w:pPr>
      <w:r>
        <w:rPr>
          <w:u w:val="single"/>
        </w:rPr>
        <w:t>GOVERNING LAW; SUBMISSION TO EXCLUSIVE JURISDICTION</w:t>
      </w:r>
      <w:r>
        <w:rPr/>
        <w:t>. THIS GUARANTY SHALL BE GOVERNED BY, AND CONSTRUED IN ACCORDANCE WITH, THE LAWS OF THE STATE OF ARKANSAS AND APPLICABLE FEDERAL LAW. TO THE EXTENT PERMITTED BY APPLICABLE LAW, THE PARTIES HERETO HEREBY SUBMIT TO THE EXCLUSIVE JURISDICTION OF ANY ARKANSAS STATE COURT SITTING IN PULASKI COUNTY, ARKANSAS, OR THE UNITED STATES DISTRICT COURT FOR THE EASTERN DISTRICT OF ARKANSAS, FOR THE PURPOSES OF ALL LEGAL PROCEEDINGS ARISING OUT OF OR RELATING TO THIS GUARANTY OR THE TRANSACTIONS CONTEMPLATED HEREBY. THE PARTIES HEREBY WAIVE ANY OBJECTION TO VENUE IN PULASKI COUNTY, ARKANSAS, AND ANY OBJECTION TO ANY ACTION OR PROCEEDING ON THE BASIS OF FORUM NON CONVENIENS.</w:t>
      </w:r>
    </w:p>
    <w:p>
      <w:pPr>
        <w:pStyle w:val="BodyText2"/>
        <w:rPr/>
      </w:pPr>
      <w:r>
        <w:rPr/>
      </w:r>
    </w:p>
    <w:p>
      <w:pPr>
        <w:pStyle w:val="BodyText2"/>
        <w:rPr/>
      </w:pPr>
      <w:r>
        <w:rPr/>
      </w:r>
    </w:p>
    <w:p>
      <w:pPr>
        <w:pStyle w:val="BodyText2"/>
        <w:jc w:val="center"/>
        <w:rPr/>
      </w:pPr>
      <w:r>
        <w:rPr/>
      </w:r>
    </w:p>
    <w:p>
      <w:pPr>
        <w:pStyle w:val="BodyText"/>
        <w:rPr>
          <w:bCs w:val="false"/>
        </w:rPr>
      </w:pPr>
      <w:r>
        <w:rPr>
          <w:bCs w:val="false"/>
        </w:rPr>
        <w:t>IN WITNESS WHEREOF, Guarantor has caused this Guaranty to be duly executed and delivered by its duly authorized officer effective as of this ___ day of _________, ______ (“Effective Date”).</w:t>
      </w:r>
    </w:p>
    <w:p>
      <w:pPr>
        <w:pStyle w:val="Normal"/>
        <w:spacing w:lineRule="auto" w:line="240"/>
        <w:rPr>
          <w:bCs/>
        </w:rPr>
      </w:pPr>
      <w:r>
        <w:rPr>
          <w:bCs/>
        </w:rPr>
      </w:r>
    </w:p>
    <w:p>
      <w:pPr>
        <w:pStyle w:val="Header"/>
        <w:tabs>
          <w:tab w:val="clear" w:pos="4320"/>
          <w:tab w:val="clear" w:pos="8640"/>
        </w:tabs>
        <w:spacing w:before="0" w:after="0"/>
        <w:rPr/>
      </w:pPr>
      <w:r>
        <w:rPr/>
      </w:r>
    </w:p>
    <w:p>
      <w:pPr>
        <w:pStyle w:val="Normal"/>
        <w:spacing w:lineRule="auto" w:line="240"/>
        <w:rPr/>
      </w:pPr>
      <w:r>
        <w:rPr/>
      </w:r>
    </w:p>
    <w:p>
      <w:pPr>
        <w:pStyle w:val="Normal"/>
        <w:spacing w:lineRule="auto" w:line="240"/>
        <w:ind w:firstLine="720" w:start="2880" w:end="0"/>
        <w:rPr/>
      </w:pPr>
      <w:r>
        <w:rPr/>
        <w:t>[GUARANTOR]</w:t>
      </w:r>
    </w:p>
    <w:p>
      <w:pPr>
        <w:pStyle w:val="Normal"/>
        <w:spacing w:lineRule="auto" w:line="240"/>
        <w:rPr/>
      </w:pPr>
      <w:r>
        <w:rPr/>
      </w:r>
    </w:p>
    <w:p>
      <w:pPr>
        <w:pStyle w:val="Normal"/>
        <w:spacing w:lineRule="auto" w:line="240"/>
        <w:rPr/>
      </w:pPr>
      <w:r>
        <w:rPr/>
      </w:r>
    </w:p>
    <w:p>
      <w:pPr>
        <w:pStyle w:val="Normal"/>
        <w:tabs>
          <w:tab w:val="clear" w:pos="720"/>
          <w:tab w:val="right" w:pos="8760" w:leader="none"/>
        </w:tabs>
        <w:spacing w:lineRule="auto" w:line="240"/>
        <w:ind w:start="3600" w:end="0"/>
        <w:rPr/>
      </w:pPr>
      <w:r>
        <w:rPr/>
        <w:t>By:</w:t>
      </w:r>
      <w:r>
        <w:rPr>
          <w:u w:val="single"/>
        </w:rPr>
        <w:tab/>
      </w:r>
    </w:p>
    <w:p>
      <w:pPr>
        <w:pStyle w:val="Normal"/>
        <w:tabs>
          <w:tab w:val="clear" w:pos="720"/>
          <w:tab w:val="right" w:pos="8760" w:leader="none"/>
        </w:tabs>
        <w:spacing w:lineRule="auto" w:line="240"/>
        <w:ind w:start="3600" w:end="0"/>
        <w:rPr>
          <w:u w:val="single"/>
        </w:rPr>
      </w:pPr>
      <w:r>
        <w:rPr>
          <w:u w:val="single"/>
        </w:rPr>
      </w:r>
    </w:p>
    <w:p>
      <w:pPr>
        <w:pStyle w:val="Normal"/>
        <w:tabs>
          <w:tab w:val="clear" w:pos="720"/>
          <w:tab w:val="right" w:pos="8760" w:leader="none"/>
        </w:tabs>
        <w:spacing w:lineRule="auto" w:line="240"/>
        <w:ind w:start="3600" w:end="0"/>
        <w:rPr/>
      </w:pPr>
      <w:r>
        <w:rPr/>
        <w:t>Name:</w:t>
      </w:r>
      <w:r>
        <w:rPr>
          <w:u w:val="single"/>
        </w:rPr>
        <w:tab/>
      </w:r>
    </w:p>
    <w:p>
      <w:pPr>
        <w:pStyle w:val="Normal"/>
        <w:tabs>
          <w:tab w:val="clear" w:pos="720"/>
          <w:tab w:val="right" w:pos="8760" w:leader="none"/>
        </w:tabs>
        <w:spacing w:lineRule="auto" w:line="240"/>
        <w:ind w:start="3600" w:end="0"/>
        <w:rPr>
          <w:u w:val="single"/>
        </w:rPr>
      </w:pPr>
      <w:r>
        <w:rPr>
          <w:u w:val="single"/>
        </w:rPr>
      </w:r>
    </w:p>
    <w:p>
      <w:pPr>
        <w:pStyle w:val="Normal"/>
        <w:tabs>
          <w:tab w:val="clear" w:pos="720"/>
          <w:tab w:val="right" w:pos="8760" w:leader="none"/>
        </w:tabs>
        <w:spacing w:lineRule="auto" w:line="240"/>
        <w:ind w:start="3600" w:end="0"/>
        <w:rPr>
          <w:sz w:val="16"/>
          <w:u w:val="single"/>
        </w:rPr>
      </w:pPr>
      <w:r>
        <w:rPr/>
        <w:t>Title:</w:t>
      </w:r>
      <w:r>
        <w:rPr>
          <w:u w:val="single"/>
        </w:rPr>
        <w:tab/>
      </w:r>
    </w:p>
    <w:p>
      <w:pPr>
        <w:pStyle w:val="Normal"/>
        <w:spacing w:lineRule="auto" w:line="240"/>
        <w:rPr>
          <w:sz w:val="16"/>
          <w:u w:val="single"/>
        </w:rPr>
      </w:pPr>
      <w:r>
        <w:rPr>
          <w:sz w:val="16"/>
          <w:u w:val="single"/>
        </w:rPr>
      </w:r>
    </w:p>
    <w:p>
      <w:pPr>
        <w:pStyle w:val="Normal"/>
        <w:rPr/>
      </w:pPr>
      <w:r>
        <w:rPr/>
      </w:r>
    </w:p>
    <w:p>
      <w:pPr>
        <w:pStyle w:val="Normal"/>
        <w:rPr/>
      </w:pPr>
      <w:r>
        <w:rPr/>
      </w:r>
      <w:r>
        <w:br w:type="page"/>
      </w:r>
    </w:p>
    <w:p>
      <w:pPr>
        <w:pStyle w:val="Normal"/>
        <w:rPr/>
      </w:pPr>
      <w:r>
        <w:rPr/>
      </w:r>
    </w:p>
    <w:p>
      <w:pPr>
        <w:pStyle w:val="Normal"/>
        <w:numPr>
          <w:ilvl w:val="0"/>
          <w:numId w:val="9"/>
        </w:numPr>
        <w:tabs>
          <w:tab w:val="left" w:pos="720" w:leader="none"/>
        </w:tabs>
        <w:ind w:hanging="720" w:start="720" w:end="0"/>
        <w:rPr>
          <w:b/>
          <w:bCs/>
        </w:rPr>
      </w:pPr>
      <w:r>
        <w:rPr>
          <w:b/>
          <w:bCs/>
        </w:rPr>
        <w:t>Approved form of Letter of Credit</w:t>
      </w:r>
    </w:p>
    <w:p>
      <w:pPr>
        <w:pStyle w:val="Normal"/>
        <w:ind w:start="360" w:end="0"/>
        <w:rPr>
          <w:b/>
          <w:bCs/>
        </w:rPr>
      </w:pPr>
      <w:r>
        <w:rPr>
          <w:b/>
          <w:bCs/>
        </w:rPr>
      </w:r>
    </w:p>
    <w:p>
      <w:pPr>
        <w:pStyle w:val="Heading"/>
        <w:rPr>
          <w:rFonts w:ascii="Times New Roman" w:hAnsi="Times New Roman" w:cs="Times New Roman"/>
          <w:b w:val="false"/>
          <w:bCs w:val="false"/>
        </w:rPr>
      </w:pPr>
      <w:r>
        <w:rPr>
          <w:rFonts w:cs="Times New Roman" w:ascii="Times New Roman" w:hAnsi="Times New Roman"/>
          <w:b w:val="false"/>
          <w:bCs w:val="false"/>
        </w:rPr>
        <w:t>IRREVOCABLE STANDBY LETTER OF CREDIT</w:t>
      </w:r>
    </w:p>
    <w:p>
      <w:pPr>
        <w:pStyle w:val="Normal"/>
        <w:rPr>
          <w:rFonts w:ascii="Times New Roman" w:hAnsi="Times New Roman" w:cs="Times New Roman"/>
          <w:b/>
          <w:bCs/>
        </w:rPr>
      </w:pPr>
      <w:r>
        <w:rPr>
          <w:rFonts w:cs="Times New Roman"/>
          <w:b/>
          <w:bCs/>
        </w:rPr>
      </w:r>
    </w:p>
    <w:p>
      <w:pPr>
        <w:pStyle w:val="Normal"/>
        <w:spacing w:lineRule="auto" w:line="240"/>
        <w:jc w:val="center"/>
        <w:rPr/>
      </w:pPr>
      <w:r>
        <w:rPr/>
        <w:t>Irrevocable Standby Letter of Credit No. ________</w:t>
      </w:r>
    </w:p>
    <w:p>
      <w:pPr>
        <w:pStyle w:val="Normal"/>
        <w:spacing w:lineRule="auto" w:line="240"/>
        <w:jc w:val="center"/>
        <w:rPr/>
      </w:pPr>
      <w:r>
        <w:rPr/>
        <w:t>Issued: [Date]</w:t>
      </w:r>
    </w:p>
    <w:p>
      <w:pPr>
        <w:pStyle w:val="Normal"/>
        <w:spacing w:lineRule="auto" w:line="240"/>
        <w:jc w:val="center"/>
        <w:rPr/>
      </w:pPr>
      <w:r>
        <w:rPr/>
        <w:t>Expires at our counter (unless evergreen): [Date]</w:t>
      </w:r>
    </w:p>
    <w:p>
      <w:pPr>
        <w:pStyle w:val="Normal"/>
        <w:spacing w:lineRule="auto" w:line="240"/>
        <w:rPr/>
      </w:pPr>
      <w:r>
        <w:rPr/>
      </w:r>
    </w:p>
    <w:p>
      <w:pPr>
        <w:pStyle w:val="Normal"/>
        <w:spacing w:lineRule="auto" w:line="240"/>
        <w:rPr/>
      </w:pPr>
      <w:r>
        <w:rPr/>
      </w:r>
    </w:p>
    <w:p>
      <w:pPr>
        <w:pStyle w:val="Normal"/>
        <w:spacing w:lineRule="auto" w:line="240"/>
        <w:rPr/>
      </w:pPr>
      <w:r>
        <w:rPr/>
        <w:t>Gentlemen:</w:t>
      </w:r>
    </w:p>
    <w:p>
      <w:pPr>
        <w:pStyle w:val="Normal"/>
        <w:spacing w:lineRule="auto" w:line="240"/>
        <w:rPr/>
      </w:pPr>
      <w:r>
        <w:rPr/>
      </w:r>
    </w:p>
    <w:p>
      <w:pPr>
        <w:pStyle w:val="Normal"/>
        <w:spacing w:lineRule="auto" w:line="240"/>
        <w:rPr/>
      </w:pPr>
      <w:r>
        <w:rPr/>
        <w:t xml:space="preserve">We do hereby issue this Irrevocable Non-Transferable Standby Letter of Credit No. __________ by order of, for the account of and on behalf of _____________________                                [Account Party] and in favor of Southwest Power Pool (“Beneficiary” or “SPP”). </w:t>
      </w:r>
    </w:p>
    <w:p>
      <w:pPr>
        <w:pStyle w:val="Normal"/>
        <w:spacing w:lineRule="auto" w:line="240"/>
        <w:rPr/>
      </w:pPr>
      <w:r>
        <w:rPr/>
      </w:r>
    </w:p>
    <w:p>
      <w:pPr>
        <w:pStyle w:val="Normal"/>
        <w:spacing w:lineRule="auto" w:line="240"/>
        <w:rPr/>
      </w:pPr>
      <w:r>
        <w:rPr/>
        <w:t>This Letter of Credit is issued, presentable and payable and we guaranty to the drawers,</w:t>
      </w:r>
    </w:p>
    <w:p>
      <w:pPr>
        <w:pStyle w:val="Normal"/>
        <w:spacing w:lineRule="auto" w:line="240"/>
        <w:rPr/>
      </w:pPr>
      <w:r>
        <w:rPr/>
        <w:t xml:space="preserve">indorsers and bona fide holders of this Letter of Credit that drafts under and in compliance with the terms of this Letter of Credit will be honored on presentation and surrender of certain documents pursuant to the terms of this Letter of Credit. </w:t>
      </w:r>
    </w:p>
    <w:p>
      <w:pPr>
        <w:pStyle w:val="Normal"/>
        <w:spacing w:lineRule="auto" w:line="240"/>
        <w:rPr/>
      </w:pPr>
      <w:r>
        <w:rPr/>
      </w:r>
    </w:p>
    <w:p>
      <w:pPr>
        <w:pStyle w:val="Normal"/>
        <w:spacing w:lineRule="auto" w:line="240"/>
        <w:rPr/>
      </w:pPr>
      <w:r>
        <w:rPr/>
        <w:t xml:space="preserve">This Letter of Credit is available in one or more drafts and may be drawn hereunder for the account of __________________ up to an aggregate amount not exceeding </w:t>
      </w:r>
    </w:p>
    <w:p>
      <w:pPr>
        <w:pStyle w:val="Normal"/>
        <w:spacing w:lineRule="auto" w:line="240"/>
        <w:rPr/>
      </w:pPr>
      <w:r>
        <w:rPr/>
        <w:t>$ _______________ .00 (United States Dollars __________ and 00/100).</w:t>
      </w:r>
    </w:p>
    <w:p>
      <w:pPr>
        <w:pStyle w:val="Normal"/>
        <w:spacing w:lineRule="auto" w:line="240"/>
        <w:rPr/>
      </w:pPr>
      <w:r>
        <w:rPr/>
      </w:r>
    </w:p>
    <w:p>
      <w:pPr>
        <w:pStyle w:val="Normal"/>
        <w:spacing w:lineRule="auto" w:line="240"/>
        <w:rPr/>
      </w:pPr>
      <w:r>
        <w:rPr/>
        <w:t>This Letter of Credit is drawn against by presentation to us at our office located at</w:t>
      </w:r>
    </w:p>
    <w:p>
      <w:pPr>
        <w:pStyle w:val="Normal"/>
        <w:spacing w:lineRule="auto" w:line="240"/>
        <w:rPr/>
      </w:pPr>
      <w:r>
        <w:rPr/>
        <w:t>_____________________________ of a drawing certificate: (i) Signed by an officer or authorized agent of the Beneficiary; (ii) dated the date of presentation; and (iii) containing the following statements:</w:t>
      </w:r>
    </w:p>
    <w:p>
      <w:pPr>
        <w:pStyle w:val="Normal"/>
        <w:spacing w:lineRule="auto" w:line="240"/>
        <w:rPr/>
      </w:pPr>
      <w:r>
        <w:rPr/>
      </w:r>
    </w:p>
    <w:p>
      <w:pPr>
        <w:pStyle w:val="Normal"/>
        <w:spacing w:lineRule="auto" w:line="240"/>
        <w:rPr/>
      </w:pPr>
      <w:r>
        <w:rPr/>
        <w:t>"The undersigned hereby certifies to _____________________ ("Issuer"), with reference to its Irrevocable Non-Transferable Standby Letter of Credit No. ______________, dated ___________, issued on behalf of ____________________(“Account Party”) and in favor of Southwest Power Pool (“Beneficiary”) that said Account Party has failed to pay the Beneficiary in accordance with the terms and provisions of Service Agreement, dated _____________. The Beneficiary hereby draws upon the Letter of Credit in an amount equal to $ ___________ (United States Dollars</w:t>
      </w:r>
    </w:p>
    <w:p>
      <w:pPr>
        <w:pStyle w:val="Normal"/>
        <w:spacing w:lineRule="auto" w:line="240"/>
        <w:rPr/>
      </w:pPr>
      <w:r>
        <w:rPr/>
        <w:t>__________ and 00/100).”</w:t>
      </w:r>
    </w:p>
    <w:p>
      <w:pPr>
        <w:pStyle w:val="Normal"/>
        <w:spacing w:lineRule="auto" w:line="240"/>
        <w:rPr/>
      </w:pPr>
      <w:r>
        <w:rPr/>
      </w:r>
    </w:p>
    <w:p>
      <w:pPr>
        <w:pStyle w:val="Normal"/>
        <w:spacing w:lineRule="auto" w:line="240"/>
        <w:rPr/>
      </w:pPr>
      <w:r>
        <w:rPr/>
        <w:t>If presentation of any drawing certificate is made on a business day and such presentations made on or before 10:00 a.m.________ Time, (“Issuer”) shall satisfy such drawing request on the same business day. If the drawing certificate is received after 10:00 a.m.________ Time, (“Issuer”) will satisfy such drawing request on the next business day.</w:t>
      </w:r>
    </w:p>
    <w:p>
      <w:pPr>
        <w:pStyle w:val="Normal"/>
        <w:spacing w:lineRule="auto" w:line="240"/>
        <w:rPr/>
      </w:pPr>
      <w:r>
        <w:rPr/>
      </w:r>
    </w:p>
    <w:p>
      <w:pPr>
        <w:pStyle w:val="Normal"/>
        <w:spacing w:lineRule="auto" w:line="240"/>
        <w:rPr/>
      </w:pPr>
      <w:r>
        <w:rPr/>
        <w:t xml:space="preserve">It is a condition of this Letter of Credit that it will be automatically extended without amendment for one year from the expiration date hereof, or any future expiration date, unless 90 days prior to any expiration date we notify you by registered mail that we elect not to consider this Letter of Credit renewed for any such period. </w:t>
      </w:r>
    </w:p>
    <w:p>
      <w:pPr>
        <w:pStyle w:val="Normal"/>
        <w:spacing w:lineRule="auto" w:line="240"/>
        <w:rPr/>
      </w:pPr>
      <w:r>
        <w:rPr/>
      </w:r>
    </w:p>
    <w:p>
      <w:pPr>
        <w:pStyle w:val="Normal"/>
        <w:spacing w:lineRule="auto" w:line="240"/>
        <w:rPr/>
      </w:pPr>
      <w:r>
        <w:rPr/>
        <w:t xml:space="preserve">This Letter of Credit may be terminated upon Beneficiary’s receipt of full payment from the Account Party and Issuer’s receipt of a written release from the Beneficiary releasing the Issuer from its obligations under this Letter of Credit. </w:t>
      </w:r>
    </w:p>
    <w:p>
      <w:pPr>
        <w:pStyle w:val="Normal"/>
        <w:spacing w:lineRule="auto" w:line="240"/>
        <w:rPr/>
      </w:pPr>
      <w:r>
        <w:rPr/>
      </w:r>
    </w:p>
    <w:p>
      <w:pPr>
        <w:pStyle w:val="Normal"/>
        <w:spacing w:lineRule="auto" w:line="240"/>
        <w:rPr/>
      </w:pPr>
      <w:r>
        <w:rPr/>
        <w:t>Disbursements under the Letter of Credit shall be in accordance with the following terms and conditions:</w:t>
      </w:r>
    </w:p>
    <w:p>
      <w:pPr>
        <w:pStyle w:val="Normal"/>
        <w:spacing w:lineRule="auto" w:line="240"/>
        <w:rPr/>
      </w:pPr>
      <w:r>
        <w:rPr/>
      </w:r>
    </w:p>
    <w:p>
      <w:pPr>
        <w:pStyle w:val="Normal"/>
        <w:tabs>
          <w:tab w:val="clear" w:pos="720"/>
          <w:tab w:val="left" w:pos="360" w:leader="none"/>
        </w:tabs>
        <w:spacing w:lineRule="auto" w:line="240"/>
        <w:ind w:hanging="360" w:start="360" w:end="0"/>
        <w:rPr/>
      </w:pPr>
      <w:r>
        <w:rPr/>
        <w:t>1.</w:t>
        <w:tab/>
        <w:t>The amount, which may be drawn by the Beneficiary under this Letter of Credit, shall be automatically reduced by the amount of any drawings hereunder.</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2.</w:t>
        <w:tab/>
        <w:t>All commissions and charges will be borne by the Account Party.</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3.</w:t>
        <w:tab/>
        <w:t>This Letter of Credit may not be transferred or assigned by the Issuer.</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4.</w:t>
        <w:tab/>
        <w:t>This Letter of Credit is irrevocable.</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5.</w:t>
        <w:tab/>
        <w:t>This Letter of Credit may not be amended, changed or modified without the express written consent of the Beneficiary and the Issuer.</w:t>
      </w:r>
    </w:p>
    <w:p>
      <w:pPr>
        <w:pStyle w:val="Normal"/>
        <w:tabs>
          <w:tab w:val="clear" w:pos="720"/>
          <w:tab w:val="left" w:pos="360" w:leader="none"/>
        </w:tabs>
        <w:spacing w:lineRule="auto" w:line="240"/>
        <w:ind w:hanging="360" w:start="360" w:end="0"/>
        <w:rPr/>
      </w:pPr>
      <w:r>
        <w:rPr/>
      </w:r>
    </w:p>
    <w:p>
      <w:pPr>
        <w:pStyle w:val="Normal"/>
        <w:tabs>
          <w:tab w:val="clear" w:pos="720"/>
          <w:tab w:val="left" w:pos="360" w:leader="none"/>
        </w:tabs>
        <w:spacing w:lineRule="auto" w:line="240"/>
        <w:ind w:hanging="360" w:start="360" w:end="0"/>
        <w:rPr/>
      </w:pPr>
      <w:r>
        <w:rPr/>
        <w:t>6.</w:t>
        <w:tab/>
        <w:t>No Beneficiary shall be deemed to have waived any rights under this Letter of Credit, unless a beneficiary or an authorized agent of a Beneficiary shall have signed a written waiver. No such waiver, unless expressly so stated therein, shall be effective as to any transaction that occurs subsequent to the date of the waiver, nor as to any continuance of a breach after the waiver.</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t>_________________________________</w:t>
        <w:tab/>
        <w:tab/>
        <w:tab/>
        <w:t>___________________</w:t>
      </w:r>
    </w:p>
    <w:p>
      <w:pPr>
        <w:pStyle w:val="Normal"/>
        <w:spacing w:lineRule="auto" w:line="240"/>
        <w:rPr/>
      </w:pPr>
      <w:r>
        <w:rPr/>
        <w:t>[Authorized Signature]</w:t>
        <w:tab/>
        <w:tab/>
        <w:tab/>
        <w:tab/>
        <w:tab/>
        <w:t>[Date]</w:t>
      </w:r>
    </w:p>
    <w:p>
      <w:pPr>
        <w:pStyle w:val="Normal"/>
        <w:spacing w:lineRule="auto" w:line="240"/>
        <w:rPr/>
      </w:pPr>
      <w:r>
        <w:rPr/>
      </w:r>
    </w:p>
    <w:p>
      <w:pPr>
        <w:pStyle w:val="Header"/>
        <w:tabs>
          <w:tab w:val="clear" w:pos="8640"/>
          <w:tab w:val="right" w:pos="4320" w:leader="none"/>
        </w:tabs>
        <w:spacing w:before="0" w:after="0"/>
        <w:rPr/>
      </w:pPr>
      <w:r>
        <w:rPr/>
        <w:t>Name:</w:t>
        <w:tab/>
        <w:t>______________________________</w:t>
      </w:r>
    </w:p>
    <w:p>
      <w:pPr>
        <w:pStyle w:val="Normal"/>
        <w:tabs>
          <w:tab w:val="clear" w:pos="720"/>
          <w:tab w:val="right" w:pos="4320" w:leader="none"/>
        </w:tabs>
        <w:spacing w:lineRule="auto" w:line="240"/>
        <w:rPr/>
      </w:pPr>
      <w:r>
        <w:rPr/>
      </w:r>
    </w:p>
    <w:p>
      <w:pPr>
        <w:pStyle w:val="Normal"/>
        <w:tabs>
          <w:tab w:val="clear" w:pos="720"/>
          <w:tab w:val="right" w:pos="4320" w:leader="none"/>
        </w:tabs>
        <w:spacing w:lineRule="auto" w:line="240"/>
        <w:rPr/>
      </w:pPr>
      <w:r>
        <w:rPr/>
        <w:t>Title:</w:t>
        <w:tab/>
        <w:t>_______________________________</w:t>
      </w:r>
    </w:p>
    <w:p>
      <w:pPr>
        <w:pStyle w:val="Header"/>
        <w:tabs>
          <w:tab w:val="clear" w:pos="4320"/>
          <w:tab w:val="clear" w:pos="8640"/>
        </w:tabs>
        <w:spacing w:before="0" w:after="0"/>
        <w:rPr/>
      </w:pPr>
      <w:r>
        <w:rPr/>
      </w:r>
    </w:p>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Arial Unicode MS">
    <w:charset w:val="80"/>
    <w:family w:val="swiss"/>
    <w:pitch w:val="variable"/>
  </w:font>
  <w:font w:name="Tahoma">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spacing w:before="0" w:after="240"/>
      <w:jc w:val="center"/>
      <w:rPr>
        <w:rFonts w:ascii="Arial" w:hAnsi="Arial" w:cs="Arial"/>
        <w:b/>
        <w:sz w:val="22"/>
      </w:rPr>
    </w:pPr>
    <w:r>
      <w:rPr>
        <w:rFonts w:cs="Arial" w:ascii="Arial" w:hAnsi="Arial"/>
        <w:b/>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i/>
        <w:i/>
        <w:iCs/>
        <w:lang w:val="en-CA" w:eastAsia="en-CA"/>
      </w:rPr>
    </w:pPr>
    <w:r>
      <w:rPr>
        <w:i/>
        <w:iCs/>
        <w:lang w:val="en-CA" w:eastAsia="en-CA"/>
      </w:rPr>
      <w:drawing>
        <wp:anchor behindDoc="1" distT="0" distB="0" distL="114935" distR="114935" simplePos="0" locked="0" layoutInCell="1" allowOverlap="1" relativeHeight="19">
          <wp:simplePos x="0" y="0"/>
          <wp:positionH relativeFrom="column">
            <wp:posOffset>4267200</wp:posOffset>
          </wp:positionH>
          <wp:positionV relativeFrom="paragraph">
            <wp:posOffset>635</wp:posOffset>
          </wp:positionV>
          <wp:extent cx="1645920" cy="497205"/>
          <wp:effectExtent l="0" t="0" r="0" b="0"/>
          <wp:wrapNone/>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1"/>
                  <a:srcRect l="-5" t="-17" r="-5" b="-17"/>
                  <a:stretch>
                    <a:fillRect/>
                  </a:stretch>
                </pic:blipFill>
                <pic:spPr bwMode="auto">
                  <a:xfrm>
                    <a:off x="0" y="0"/>
                    <a:ext cx="1645920" cy="497205"/>
                  </a:xfrm>
                  <a:prstGeom prst="rect">
                    <a:avLst/>
                  </a:prstGeom>
                  <a:noFill/>
                </pic:spPr>
              </pic:pic>
            </a:graphicData>
          </a:graphic>
        </wp:anchor>
      </w:drawing>
    </w:r>
  </w:p>
  <w:p>
    <w:pPr>
      <w:pStyle w:val="Header"/>
      <w:spacing w:before="0" w:after="0"/>
      <w:rPr>
        <w:i/>
        <w:i/>
        <w:iCs/>
        <w:lang w:val="en-CA"/>
      </w:rPr>
    </w:pPr>
    <w:r>
      <w:rPr>
        <w:i/>
        <w:iCs/>
        <w:lang w:val="en-CA"/>
      </w:rPr>
    </w:r>
  </w:p>
  <w:p>
    <w:pPr>
      <w:pStyle w:val="Header"/>
      <w:pBdr>
        <w:bottom w:val="single" w:sz="4" w:space="1" w:color="000000"/>
      </w:pBdr>
      <w:spacing w:before="0" w:after="0"/>
      <w:rPr>
        <w:i/>
        <w:i/>
        <w:iCs/>
        <w:sz w:val="20"/>
        <w:lang w:val="en-CA"/>
      </w:rPr>
    </w:pPr>
    <w:r>
      <w:rPr>
        <w:i/>
        <w:iCs/>
        <w:sz w:val="20"/>
      </w:rPr>
      <w:t>SPP Credit Policy</w:t>
    </w:r>
  </w:p>
  <w:p>
    <w:pPr>
      <w:pStyle w:val="Header"/>
      <w:spacing w:before="0" w:after="240"/>
      <w:rPr>
        <w:i/>
        <w:i/>
        <w:iCs/>
        <w:sz w:val="20"/>
        <w:lang w:val="en-CA"/>
      </w:rPr>
    </w:pPr>
    <w:r>
      <w:rPr>
        <w:i/>
        <w:iCs/>
        <w:sz w:val="20"/>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lvl>
  </w:abstractNum>
  <w:abstractNum w:abstractNumId="5">
    <w:lvl w:ilvl="0">
      <w:start w:val="1"/>
      <w:numFmt w:val="lowerLetter"/>
      <w:lvlText w:val="(%1)"/>
      <w:lvlJc w:val="start"/>
      <w:pPr>
        <w:tabs>
          <w:tab w:val="num" w:pos="1440"/>
        </w:tabs>
        <w:ind w:start="1440" w:hanging="720"/>
      </w:pPr>
    </w:lvl>
  </w:abstractNum>
  <w:abstractNum w:abstractNumId="6">
    <w:lvl w:ilvl="0">
      <w:start w:val="1"/>
      <w:numFmt w:val="lowerLetter"/>
      <w:lvlText w:val="(%1)"/>
      <w:lvlJc w:val="start"/>
      <w:pPr>
        <w:tabs>
          <w:tab w:val="num" w:pos="1440"/>
        </w:tabs>
        <w:ind w:start="1440" w:hanging="720"/>
      </w:pPr>
    </w:lvl>
  </w:abstractNum>
  <w:abstractNum w:abstractNumId="7">
    <w:lvl w:ilvl="0">
      <w:start w:val="1"/>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8">
    <w:lvl w:ilvl="0">
      <w:start w:val="1"/>
      <w:numFmt w:val="lowerLetter"/>
      <w:lvlText w:val="%1."/>
      <w:lvlJc w:val="start"/>
      <w:pPr>
        <w:tabs>
          <w:tab w:val="num" w:pos="2880"/>
        </w:tabs>
        <w:ind w:start="2880" w:hanging="720"/>
      </w:pPr>
      <w:rPr>
        <w:b/>
      </w:rPr>
    </w:lvl>
    <w:lvl w:ilvl="1">
      <w:start w:val="1"/>
      <w:numFmt w:val="lowerRoman"/>
      <w:lvlText w:val="%2."/>
      <w:lvlJc w:val="start"/>
      <w:pPr>
        <w:tabs>
          <w:tab w:val="num" w:pos="3600"/>
        </w:tabs>
        <w:ind w:start="3600" w:hanging="720"/>
      </w:pPr>
      <w:rPr>
        <w:b/>
      </w:rPr>
    </w:lvl>
    <w:lvl w:ilvl="2">
      <w:start w:val="1"/>
      <w:numFmt w:val="bullet"/>
      <w:lvlText w:val=""/>
      <w:lvlJc w:val="start"/>
      <w:pPr>
        <w:tabs>
          <w:tab w:val="num" w:pos="4140"/>
        </w:tabs>
        <w:ind w:start="4140" w:hanging="360"/>
      </w:pPr>
      <w:rPr>
        <w:rFonts w:ascii="Symbol" w:hAnsi="Symbol" w:cs="Symbol" w:hint="default"/>
      </w:rPr>
    </w:lvl>
    <w:lvl w:ilvl="3">
      <w:start w:val="1"/>
      <w:numFmt w:val="decimal"/>
      <w:lvlText w:val="%4."/>
      <w:lvlJc w:val="start"/>
      <w:pPr>
        <w:tabs>
          <w:tab w:val="num" w:pos="4680"/>
        </w:tabs>
        <w:ind w:start="4680" w:hanging="360"/>
      </w:pPr>
    </w:lvl>
    <w:lvl w:ilvl="4">
      <w:start w:val="1"/>
      <w:numFmt w:val="lowerLetter"/>
      <w:lvlText w:val="%5."/>
      <w:lvlJc w:val="start"/>
      <w:pPr>
        <w:tabs>
          <w:tab w:val="num" w:pos="5400"/>
        </w:tabs>
        <w:ind w:start="5400" w:hanging="360"/>
      </w:pPr>
    </w:lvl>
    <w:lvl w:ilvl="5">
      <w:start w:val="1"/>
      <w:numFmt w:val="lowerRoman"/>
      <w:lvlText w:val="%6."/>
      <w:lvlJc w:val="end"/>
      <w:pPr>
        <w:tabs>
          <w:tab w:val="num" w:pos="6120"/>
        </w:tabs>
        <w:ind w:start="6120" w:hanging="180"/>
      </w:pPr>
    </w:lvl>
    <w:lvl w:ilvl="6">
      <w:start w:val="1"/>
      <w:numFmt w:val="decimal"/>
      <w:lvlText w:val="%7."/>
      <w:lvlJc w:val="start"/>
      <w:pPr>
        <w:tabs>
          <w:tab w:val="num" w:pos="6840"/>
        </w:tabs>
        <w:ind w:start="6840" w:hanging="360"/>
      </w:pPr>
    </w:lvl>
    <w:lvl w:ilvl="7">
      <w:start w:val="1"/>
      <w:numFmt w:val="lowerLetter"/>
      <w:lvlText w:val="%8."/>
      <w:lvlJc w:val="start"/>
      <w:pPr>
        <w:tabs>
          <w:tab w:val="num" w:pos="7560"/>
        </w:tabs>
        <w:ind w:start="7560" w:hanging="360"/>
      </w:pPr>
    </w:lvl>
    <w:lvl w:ilvl="8">
      <w:start w:val="1"/>
      <w:numFmt w:val="lowerRoman"/>
      <w:lvlText w:val="%9."/>
      <w:lvlJc w:val="end"/>
      <w:pPr>
        <w:tabs>
          <w:tab w:val="num" w:pos="8280"/>
        </w:tabs>
        <w:ind w:start="8280" w:hanging="180"/>
      </w:pPr>
    </w:lvl>
  </w:abstractNum>
  <w:abstractNum w:abstractNumId="9">
    <w:lvl w:ilvl="0">
      <w:start w:val="2"/>
      <w:numFmt w:val="decimal"/>
      <w:lvlText w:val="%1."/>
      <w:lvlJc w:val="start"/>
      <w:pPr>
        <w:tabs>
          <w:tab w:val="num" w:pos="1080"/>
        </w:tabs>
        <w:ind w:start="1080" w:hanging="720"/>
      </w:pPr>
      <w:rPr/>
    </w:lvl>
  </w:abstractNum>
  <w:abstractNum w:abstractNumId="10">
    <w:lvl w:ilvl="0">
      <w:start w:val="1"/>
      <w:numFmt w:val="bullet"/>
      <w:lvlText w:val=""/>
      <w:lvlJc w:val="start"/>
      <w:pPr>
        <w:tabs>
          <w:tab w:val="num" w:pos="3600"/>
        </w:tabs>
        <w:ind w:start="3600" w:hanging="360"/>
      </w:pPr>
      <w:rPr>
        <w:rFonts w:ascii="Symbol" w:hAnsi="Symbol" w:cs="Symbol" w:hint="default"/>
      </w:rPr>
    </w:lvl>
  </w:abstractNum>
  <w:abstractNum w:abstractNumId="11">
    <w:lvl w:ilvl="0">
      <w:start w:val="1"/>
      <w:numFmt w:val="upperLetter"/>
      <w:lvlText w:val="%1."/>
      <w:lvlJc w:val="start"/>
      <w:pPr>
        <w:tabs>
          <w:tab w:val="num" w:pos="1440"/>
        </w:tabs>
        <w:ind w:start="1440" w:hanging="720"/>
      </w:pPr>
      <w:rPr/>
    </w:lvl>
  </w:abstractNum>
  <w:abstractNum w:abstractNumId="12">
    <w:lvl w:ilvl="0">
      <w:start w:val="1"/>
      <w:numFmt w:val="decimal"/>
      <w:lvlText w:val="%1."/>
      <w:lvlJc w:val="start"/>
      <w:pPr>
        <w:tabs>
          <w:tab w:val="num" w:pos="2160"/>
        </w:tabs>
        <w:ind w:start="2160" w:hanging="720"/>
      </w:pPr>
      <w:rPr/>
    </w:lvl>
  </w:abstractNum>
  <w:abstractNum w:abstractNumId="13">
    <w:lvl w:ilvl="0">
      <w:start w:val="3"/>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240"/>
      <w:ind w:hanging="0" w:start="720" w:end="0"/>
      <w:outlineLvl w:val="0"/>
    </w:pPr>
    <w:rPr>
      <w:b/>
      <w:szCs w:val="22"/>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style>
  <w:style w:type="character" w:styleId="WW8Num2z0">
    <w:name w:val="WW8Num2z0"/>
    <w:qFormat/>
    <w:rPr/>
  </w:style>
  <w:style w:type="character" w:styleId="WW8Num6z0">
    <w:name w:val="WW8Num6z0"/>
    <w:qFormat/>
    <w:rPr/>
  </w:style>
  <w:style w:type="character" w:styleId="WW8Num7z0">
    <w:name w:val="WW8Num7z0"/>
    <w:qFormat/>
    <w:rPr>
      <w:b/>
    </w:rPr>
  </w:style>
  <w:style w:type="character" w:styleId="WW8Num7z2">
    <w:name w:val="WW8Num7z2"/>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uto" w:line="240" w:before="240" w:after="60"/>
      <w:jc w:val="center"/>
      <w:outlineLvl w:val="0"/>
    </w:pPr>
    <w:rPr>
      <w:rFonts w:ascii="Arial" w:hAnsi="Arial" w:cs="Arial"/>
      <w:b/>
      <w:bCs/>
      <w:kern w:val="2"/>
      <w:sz w:val="32"/>
      <w:szCs w:val="32"/>
    </w:rPr>
  </w:style>
  <w:style w:type="paragraph" w:styleId="BodyText">
    <w:name w:val="Body Text"/>
    <w:basedOn w:val="Normal"/>
    <w:pPr>
      <w:spacing w:lineRule="auto" w:line="240"/>
      <w:jc w:val="both"/>
    </w:pPr>
    <w:rPr>
      <w:bCs/>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40" w:before="0" w:after="240"/>
    </w:pPr>
    <w:rPr/>
  </w:style>
  <w:style w:type="paragraph" w:styleId="Footer">
    <w:name w:val="footer"/>
    <w:basedOn w:val="Normal"/>
    <w:pPr>
      <w:tabs>
        <w:tab w:val="clear" w:pos="720"/>
        <w:tab w:val="center" w:pos="4320" w:leader="none"/>
        <w:tab w:val="right" w:pos="8640" w:leader="none"/>
      </w:tabs>
      <w:spacing w:lineRule="auto" w:line="240" w:before="0" w:after="240"/>
    </w:pPr>
    <w:rPr/>
  </w:style>
  <w:style w:type="paragraph" w:styleId="TOC1">
    <w:name w:val="toc 1"/>
    <w:basedOn w:val="Normal"/>
    <w:next w:val="Normal"/>
    <w:pPr>
      <w:spacing w:before="120" w:after="120"/>
    </w:pPr>
    <w:rPr>
      <w:rFonts w:ascii="Times" w:hAnsi="Times" w:cs="Times"/>
      <w:b/>
      <w:bCs/>
      <w:sz w:val="20"/>
      <w:szCs w:val="24"/>
    </w:rPr>
  </w:style>
  <w:style w:type="paragraph" w:styleId="xl27">
    <w:name w:val="xl27"/>
    <w:basedOn w:val="Normal"/>
    <w:qFormat/>
    <w:pPr>
      <w:spacing w:lineRule="auto" w:line="240" w:before="280" w:after="280"/>
      <w:jc w:val="center"/>
    </w:pPr>
    <w:rPr>
      <w:rFonts w:ascii="Arial Unicode MS" w:hAnsi="Arial Unicode MS" w:eastAsia="Arial Unicode MS" w:cs="Arial Unicode MS"/>
      <w:szCs w:val="24"/>
    </w:rPr>
  </w:style>
  <w:style w:type="paragraph" w:styleId="BodyTextIndent">
    <w:name w:val="Body Text Indent"/>
    <w:basedOn w:val="Normal"/>
    <w:pPr>
      <w:spacing w:lineRule="auto" w:line="240"/>
      <w:ind w:hanging="0" w:start="720" w:end="0"/>
    </w:pPr>
    <w:rPr>
      <w:bCs/>
      <w:szCs w:val="22"/>
    </w:rPr>
  </w:style>
  <w:style w:type="paragraph" w:styleId="BodyTextIndent2">
    <w:name w:val="Body Text Indent 2"/>
    <w:basedOn w:val="Normal"/>
    <w:qFormat/>
    <w:pPr>
      <w:spacing w:lineRule="auto" w:line="240"/>
      <w:ind w:hanging="0" w:start="1440" w:end="0"/>
    </w:pPr>
    <w:rPr>
      <w:bCs/>
      <w:szCs w:val="22"/>
    </w:rPr>
  </w:style>
  <w:style w:type="paragraph" w:styleId="BodyTextIndent3">
    <w:name w:val="Body Text Indent 3"/>
    <w:basedOn w:val="Normal"/>
    <w:qFormat/>
    <w:pPr>
      <w:spacing w:lineRule="auto" w:line="240"/>
      <w:ind w:hanging="0" w:start="2160" w:end="0"/>
    </w:pPr>
    <w:rPr>
      <w:bCs/>
      <w:szCs w:val="22"/>
    </w:rPr>
  </w:style>
  <w:style w:type="paragraph" w:styleId="BodyText2">
    <w:name w:val="Body Text 2"/>
    <w:basedOn w:val="Normal"/>
    <w:qFormat/>
    <w:pPr>
      <w:widowControl w:val="false"/>
      <w:spacing w:lineRule="auto" w:line="24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SPP Manual Cover Page Template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2001-11-19T15:44:00Z</dcterms:created>
  <dc:creator>pwm0598</dc:creator>
  <dc:description/>
  <dc:language>en-CA</dc:language>
  <cp:lastModifiedBy>lmaurer</cp:lastModifiedBy>
  <cp:lastPrinted>2001-11-09T12:54:00Z</cp:lastPrinted>
  <dcterms:modified xsi:type="dcterms:W3CDTF">2001-11-19T15:44:00Z</dcterms:modified>
  <cp:revision>2</cp:revision>
  <dc:subject/>
  <dc:title/>
</cp:coreProperties>
</file>