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w:t>
      </w:r>
    </w:p>
    <w:p>
      <w:pPr>
        <w:pStyle w:val="Normal"/>
        <w:jc w:val="center"/>
        <w:rPr>
          <w:b/>
          <w:bCs/>
        </w:rPr>
      </w:pPr>
      <w:r>
        <w:rPr>
          <w:b/>
          <w:bCs/>
        </w:rPr>
        <w:t>SECURITIES AND EXCHANGE COMMISSION</w:t>
      </w:r>
    </w:p>
    <w:p>
      <w:pPr>
        <w:pStyle w:val="Normal"/>
        <w:jc w:val="center"/>
        <w:rPr>
          <w:b/>
          <w:bCs/>
        </w:rPr>
      </w:pPr>
      <w:r>
        <w:rPr>
          <w:b/>
          <w:bCs/>
        </w:rPr>
        <w:t>Washington, D.C.  20549</w:t>
      </w:r>
    </w:p>
    <w:p>
      <w:pPr>
        <w:pStyle w:val="Normal"/>
        <w:jc w:val="center"/>
        <w:rPr>
          <w:b/>
          <w:bCs/>
        </w:rPr>
      </w:pPr>
      <w:r>
        <w:rPr>
          <w:b/>
          <w:bCs/>
        </w:rPr>
      </w:r>
    </w:p>
    <w:p>
      <w:pPr>
        <w:pStyle w:val="Normal"/>
        <w:jc w:val="center"/>
        <w:rPr>
          <w:b/>
          <w:bCs/>
        </w:rPr>
      </w:pPr>
      <w:r>
        <w:rPr>
          <w:b/>
          <w:bCs/>
        </w:rPr>
        <w:t>FORM 12b-25</w:t>
      </w:r>
    </w:p>
    <w:p>
      <w:pPr>
        <w:pStyle w:val="Normal"/>
        <w:jc w:val="center"/>
        <w:rPr>
          <w:b/>
          <w:bCs/>
        </w:rPr>
      </w:pPr>
      <w:r>
        <w:rPr>
          <w:b/>
          <w:bCs/>
        </w:rPr>
      </w:r>
    </w:p>
    <w:p>
      <w:pPr>
        <w:pStyle w:val="Normal"/>
        <w:jc w:val="center"/>
        <w:rPr>
          <w:b/>
          <w:bCs/>
        </w:rPr>
      </w:pPr>
      <w:r>
        <w:rPr>
          <w:b/>
          <w:bCs/>
        </w:rPr>
        <w:t>NOTIFICATION OF LATE FILING</w:t>
      </w:r>
    </w:p>
    <w:p>
      <w:pPr>
        <w:pStyle w:val="Normal"/>
        <w:jc w:val="center"/>
        <w:rPr>
          <w:b/>
          <w:bCs/>
        </w:rPr>
      </w:pPr>
      <w:r>
        <w:rPr>
          <w:b/>
          <w:bCs/>
        </w:rPr>
      </w:r>
    </w:p>
    <w:p>
      <w:pPr>
        <w:pStyle w:val="Normal"/>
        <w:ind w:start="-720" w:end="-720"/>
        <w:rPr/>
      </w:pPr>
      <w:r>
        <w:rPr>
          <w:b/>
          <w:bCs/>
        </w:rPr>
        <w:t xml:space="preserve">____ </w:t>
      </w:r>
      <w:r>
        <w:rPr/>
        <w:t>Form 10-K     ____ Form 20-F     ____Form 11-K     __</w:t>
        <w:softHyphen/>
        <w:softHyphen/>
      </w:r>
      <w:r>
        <w:rPr>
          <w:u w:val="single"/>
        </w:rPr>
        <w:t>X</w:t>
      </w:r>
      <w:r>
        <w:rPr/>
        <w:t>__ Form  10-Q     ____ Form N-SAR</w:t>
      </w:r>
    </w:p>
    <w:p>
      <w:pPr>
        <w:pStyle w:val="Normal"/>
        <w:ind w:start="-720" w:end="-720"/>
        <w:rPr/>
      </w:pPr>
      <w:r>
        <w:rPr/>
      </w:r>
    </w:p>
    <w:p>
      <w:pPr>
        <w:pStyle w:val="Normal"/>
        <w:ind w:start="-720" w:end="-720"/>
        <w:rPr/>
      </w:pPr>
      <w:r>
        <w:rPr/>
        <w:t>For Period Ended:</w:t>
      </w:r>
      <w:r>
        <w:rPr>
          <w:u w:val="single"/>
        </w:rPr>
        <w:tab/>
        <w:tab/>
        <w:tab/>
        <w:tab/>
        <w:tab/>
        <w:tab/>
        <w:tab/>
        <w:tab/>
      </w:r>
    </w:p>
    <w:p>
      <w:pPr>
        <w:pStyle w:val="Normal"/>
        <w:ind w:start="-720" w:end="-720"/>
        <w:rPr/>
      </w:pPr>
      <w:r>
        <w:rPr/>
      </w:r>
    </w:p>
    <w:p>
      <w:pPr>
        <w:pStyle w:val="Normal"/>
        <w:ind w:start="-720" w:end="-720"/>
        <w:rPr/>
      </w:pPr>
      <w:r>
        <w:rPr/>
        <w:t>[</w:t>
        <w:tab/>
        <w:t>]</w:t>
        <w:tab/>
        <w:t>Transition Report on Form 10-K</w:t>
      </w:r>
    </w:p>
    <w:p>
      <w:pPr>
        <w:pStyle w:val="Normal"/>
        <w:ind w:start="-720" w:end="-720"/>
        <w:rPr/>
      </w:pPr>
      <w:r>
        <w:rPr/>
        <w:t>[</w:t>
        <w:tab/>
        <w:t>]</w:t>
        <w:tab/>
        <w:t>Transition Report on Form 20-F</w:t>
      </w:r>
    </w:p>
    <w:p>
      <w:pPr>
        <w:pStyle w:val="Normal"/>
        <w:ind w:start="-720" w:end="-720"/>
        <w:rPr/>
      </w:pPr>
      <w:r>
        <w:rPr/>
        <w:t>[</w:t>
        <w:tab/>
        <w:t>]</w:t>
        <w:tab/>
        <w:t>Transition Report on Form 11-K</w:t>
      </w:r>
    </w:p>
    <w:p>
      <w:pPr>
        <w:pStyle w:val="Normal"/>
        <w:ind w:start="-720" w:end="-720"/>
        <w:rPr/>
      </w:pPr>
      <w:r>
        <w:rPr/>
        <w:t>[</w:t>
        <w:tab/>
        <w:t>]</w:t>
        <w:tab/>
        <w:t>Transition Report on Form 10-Q</w:t>
      </w:r>
    </w:p>
    <w:p>
      <w:pPr>
        <w:pStyle w:val="Normal"/>
        <w:ind w:start="-720" w:end="-720"/>
        <w:rPr/>
      </w:pPr>
      <w:r>
        <w:rPr/>
        <w:t>[</w:t>
        <w:tab/>
        <w:t>]</w:t>
        <w:tab/>
        <w:t>Transition Report on Form N-SAR</w:t>
      </w:r>
    </w:p>
    <w:p>
      <w:pPr>
        <w:pStyle w:val="Normal"/>
        <w:ind w:start="-720" w:end="-720"/>
        <w:rPr/>
      </w:pPr>
      <w:r>
        <w:rPr/>
      </w:r>
    </w:p>
    <w:p>
      <w:pPr>
        <w:pStyle w:val="Normal"/>
        <w:ind w:start="-720" w:end="-720"/>
        <w:rPr/>
      </w:pPr>
      <w:r>
        <w:rPr/>
        <w:t>For the Transition Period Ended:</w:t>
      </w:r>
      <w:r>
        <w:rPr>
          <w:u w:val="single"/>
        </w:rPr>
        <w:tab/>
        <w:tab/>
        <w:tab/>
        <w:tab/>
        <w:tab/>
        <w:tab/>
      </w:r>
    </w:p>
    <w:p>
      <w:pPr>
        <w:pStyle w:val="Normal"/>
        <w:ind w:start="-720" w:end="-720"/>
        <w:rPr/>
      </w:pPr>
      <w:r>
        <w:rPr/>
      </w:r>
    </w:p>
    <w:tbl>
      <w:tblPr>
        <w:tblW w:w="9828" w:type="dxa"/>
        <w:jc w:val="start"/>
        <w:tblInd w:w="-720" w:type="dxa"/>
        <w:tblLayout w:type="fixed"/>
        <w:tblCellMar>
          <w:top w:w="0" w:type="dxa"/>
          <w:start w:w="108" w:type="dxa"/>
          <w:bottom w:w="0" w:type="dxa"/>
          <w:end w:w="108" w:type="dxa"/>
        </w:tblCellMar>
      </w:tblPr>
      <w:tblGrid>
        <w:gridCol w:w="9828"/>
      </w:tblGrid>
      <w:tr>
        <w:trPr/>
        <w:tc>
          <w:tcPr>
            <w:tcW w:w="98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Nothing in this form shall be construed to imply that the Commission has verified any information contained herein.</w:t>
            </w:r>
          </w:p>
        </w:tc>
      </w:tr>
    </w:tbl>
    <w:p>
      <w:pPr>
        <w:pStyle w:val="Normal"/>
        <w:ind w:start="-720" w:end="-720"/>
        <w:rPr>
          <w:b/>
          <w:bCs/>
        </w:rPr>
      </w:pPr>
      <w:r>
        <w:rPr>
          <w:b/>
          <w:bCs/>
        </w:rPr>
      </w:r>
    </w:p>
    <w:p>
      <w:pPr>
        <w:pStyle w:val="BlockText"/>
        <w:rPr/>
      </w:pPr>
      <w:r>
        <w:rPr/>
        <w:t>If the notification relates to a portion of the filing checked above, identify the Item(s) to which the notification relates:</w:t>
      </w:r>
    </w:p>
    <w:p>
      <w:pPr>
        <w:pStyle w:val="Normal"/>
        <w:ind w:start="-720" w:end="-720"/>
        <w:rPr/>
      </w:pPr>
      <w:r>
        <w:rPr/>
      </w:r>
    </w:p>
    <w:p>
      <w:pPr>
        <w:pStyle w:val="Normal"/>
        <w:ind w:start="-720" w:end="-720"/>
        <w:rPr>
          <w:u w:val="single"/>
        </w:rPr>
      </w:pPr>
      <w:r>
        <w:rPr>
          <w:u w:val="single"/>
        </w:rPr>
        <w:t>Not Applicable</w:t>
        <w:tab/>
        <w:tab/>
        <w:tab/>
        <w:tab/>
        <w:tab/>
        <w:tab/>
        <w:tab/>
        <w:tab/>
        <w:tab/>
        <w:tab/>
      </w:r>
    </w:p>
    <w:p>
      <w:pPr>
        <w:pStyle w:val="Normal"/>
        <w:ind w:start="-720" w:end="-720"/>
        <w:rPr/>
      </w:pPr>
      <w:r>
        <w:rPr/>
      </w:r>
    </w:p>
    <w:p>
      <w:pPr>
        <w:pStyle w:val="Heading1"/>
        <w:rPr/>
      </w:pPr>
      <w:r>
        <w:rPr/>
        <w:t>PART I --  REGISTRANT INFORMATION</w:t>
      </w:r>
    </w:p>
    <w:p>
      <w:pPr>
        <w:pStyle w:val="Normal"/>
        <w:ind w:start="-720" w:end="-720"/>
        <w:rPr>
          <w:u w:val="single"/>
        </w:rPr>
      </w:pPr>
      <w:r>
        <w:rPr>
          <w:u w:val="single"/>
        </w:rPr>
      </w:r>
    </w:p>
    <w:p>
      <w:pPr>
        <w:pStyle w:val="Normal"/>
        <w:ind w:start="-720" w:end="-720"/>
        <w:rPr>
          <w:u w:val="single"/>
        </w:rPr>
      </w:pPr>
      <w:r>
        <w:rPr>
          <w:u w:val="single"/>
        </w:rPr>
        <w:t>Enron Corp.</w:t>
        <w:tab/>
        <w:tab/>
        <w:tab/>
        <w:tab/>
        <w:tab/>
        <w:tab/>
        <w:tab/>
        <w:tab/>
        <w:tab/>
        <w:tab/>
        <w:tab/>
        <w:tab/>
        <w:tab/>
      </w:r>
    </w:p>
    <w:p>
      <w:pPr>
        <w:pStyle w:val="Normal"/>
        <w:ind w:start="-720" w:end="-720"/>
        <w:rPr/>
      </w:pPr>
      <w:r>
        <w:rPr/>
        <w:t>Full Name of Registrant</w:t>
      </w:r>
    </w:p>
    <w:p>
      <w:pPr>
        <w:pStyle w:val="Normal"/>
        <w:ind w:start="-720" w:end="-720"/>
        <w:rPr/>
      </w:pPr>
      <w:r>
        <w:rPr/>
      </w:r>
    </w:p>
    <w:p>
      <w:pPr>
        <w:pStyle w:val="Normal"/>
        <w:ind w:start="-720" w:end="-720"/>
        <w:rPr>
          <w:u w:val="single"/>
        </w:rPr>
      </w:pPr>
      <w:r>
        <w:rPr>
          <w:u w:val="single"/>
        </w:rPr>
        <w:t>1400 Smith Street</w:t>
        <w:tab/>
        <w:tab/>
        <w:tab/>
        <w:tab/>
        <w:tab/>
        <w:tab/>
        <w:tab/>
        <w:tab/>
        <w:tab/>
        <w:tab/>
        <w:tab/>
        <w:tab/>
      </w:r>
    </w:p>
    <w:p>
      <w:pPr>
        <w:pStyle w:val="Normal"/>
        <w:ind w:start="-720" w:end="-720"/>
        <w:rPr/>
      </w:pPr>
      <w:r>
        <w:rPr/>
        <w:t>Address of Principal Executive Office (Street and Number)</w:t>
      </w:r>
    </w:p>
    <w:p>
      <w:pPr>
        <w:pStyle w:val="Normal"/>
        <w:ind w:start="-720" w:end="-720"/>
        <w:rPr/>
      </w:pPr>
      <w:r>
        <w:rPr/>
      </w:r>
    </w:p>
    <w:p>
      <w:pPr>
        <w:pStyle w:val="Normal"/>
        <w:ind w:start="-720" w:end="-720"/>
        <w:rPr>
          <w:u w:val="single"/>
        </w:rPr>
      </w:pPr>
      <w:r>
        <w:rPr>
          <w:u w:val="single"/>
        </w:rPr>
        <w:t>Houston, Texas  77002</w:t>
        <w:tab/>
        <w:tab/>
        <w:tab/>
        <w:tab/>
        <w:tab/>
        <w:tab/>
        <w:tab/>
        <w:tab/>
        <w:tab/>
        <w:tab/>
        <w:tab/>
      </w:r>
    </w:p>
    <w:p>
      <w:pPr>
        <w:pStyle w:val="Normal"/>
        <w:ind w:start="-720" w:end="-720"/>
        <w:rPr/>
      </w:pPr>
      <w:r>
        <w:rPr/>
        <w:t>City, State and Zip Code</w:t>
      </w:r>
    </w:p>
    <w:p>
      <w:pPr>
        <w:pStyle w:val="Normal"/>
        <w:ind w:start="-720" w:end="-720"/>
        <w:rPr/>
      </w:pPr>
      <w:r>
        <w:rPr/>
      </w:r>
    </w:p>
    <w:p>
      <w:pPr>
        <w:pStyle w:val="Normal"/>
        <w:ind w:start="-720" w:end="-720"/>
        <w:rPr>
          <w:b/>
          <w:bCs/>
        </w:rPr>
      </w:pPr>
      <w:r>
        <w:rPr>
          <w:b/>
          <w:bCs/>
        </w:rPr>
        <w:t>PART II – RULES 12b-25(b) AND (c)</w:t>
      </w:r>
    </w:p>
    <w:p>
      <w:pPr>
        <w:pStyle w:val="Normal"/>
        <w:ind w:start="-720" w:end="-720"/>
        <w:rPr>
          <w:b/>
          <w:bCs/>
        </w:rPr>
      </w:pPr>
      <w:r>
        <w:rPr>
          <w:b/>
          <w:bCs/>
        </w:rPr>
      </w:r>
    </w:p>
    <w:p>
      <w:pPr>
        <w:pStyle w:val="BlockText"/>
        <w:rPr/>
      </w:pPr>
      <w:r>
        <w:rPr/>
        <w:t>If the subject report could not be filed without unreasonable effort or expense and the registrant seeks relief pursuant to Rule 12b-25(b), the following should be completed.  (Check box if appropriate)</w:t>
      </w:r>
    </w:p>
    <w:p>
      <w:pPr>
        <w:pStyle w:val="Normal"/>
        <w:ind w:start="-720" w:end="-720"/>
        <w:rPr/>
      </w:pPr>
      <w:r>
        <w:rPr/>
      </w:r>
    </w:p>
    <w:p>
      <w:pPr>
        <w:pStyle w:val="Normal"/>
        <w:ind w:start="-720" w:end="-720"/>
        <w:rPr/>
      </w:pPr>
      <w:r>
        <w:rPr>
          <w:u w:val="single"/>
        </w:rPr>
        <w:t xml:space="preserve">    </w:t>
      </w:r>
      <w:r>
        <w:rPr>
          <w:u w:val="single"/>
        </w:rPr>
        <w:t xml:space="preserve">X     </w:t>
      </w:r>
      <w:r>
        <w:rPr/>
        <w:tab/>
      </w:r>
      <w:r>
        <w:rPr>
          <w:sz w:val="36"/>
        </w:rPr>
        <w:tab/>
      </w:r>
      <w:r>
        <w:rPr/>
        <w:t>(a)</w:t>
        <w:tab/>
        <w:t>The reasons described in reasonable detail in Part III of this form could not be eliminated without unreasonable effort or expense;</w:t>
      </w:r>
    </w:p>
    <w:p>
      <w:pPr>
        <w:pStyle w:val="BlockText"/>
        <w:rPr/>
      </w:pPr>
      <w:r>
        <w:rPr>
          <w:u w:val="single"/>
        </w:rPr>
        <w:t xml:space="preserve">   </w:t>
      </w:r>
      <w:r>
        <w:rPr>
          <w:u w:val="single"/>
        </w:rPr>
        <w:t xml:space="preserve">X    </w:t>
      </w:r>
      <w:r>
        <w:rPr/>
        <w:tab/>
        <w:tab/>
        <w:t>(b)</w:t>
        <w:tab/>
        <w:t>The subject annual report, semi-annual report, transition report on Form 10-K, Form 20-F, 11-K or Form N-SAR, or portion thereof, will be filed on or before the fifteenth calendar day following the prescribed due date; or the subject quarterly report or transition report on Form 10-Q, or portion thereof will be filed on or before the fifth calendar day following the prescribed due date; and</w:t>
      </w:r>
    </w:p>
    <w:p>
      <w:pPr>
        <w:pStyle w:val="Normal"/>
        <w:ind w:hanging="1440" w:start="720" w:end="-720"/>
        <w:rPr/>
      </w:pPr>
      <w:r>
        <w:rPr/>
      </w:r>
    </w:p>
    <w:p>
      <w:pPr>
        <w:pStyle w:val="Normal"/>
        <w:ind w:start="-720" w:end="-720"/>
        <w:rPr/>
      </w:pPr>
      <w:r>
        <w:rPr>
          <w:u w:val="single"/>
        </w:rPr>
        <w:t xml:space="preserve">          </w:t>
      </w:r>
      <w:r>
        <w:rPr/>
        <w:tab/>
        <w:tab/>
        <w:t>(c)</w:t>
        <w:tab/>
        <w:t>The accountant’s statement or other exhibit required by Rule 12b-25(c) has been attached if applicable.</w:t>
      </w:r>
    </w:p>
    <w:p>
      <w:pPr>
        <w:pStyle w:val="Normal"/>
        <w:ind w:hanging="1440" w:start="720" w:end="-720"/>
        <w:rPr/>
      </w:pPr>
      <w:r>
        <w:rPr/>
      </w:r>
    </w:p>
    <w:p>
      <w:pPr>
        <w:pStyle w:val="Heading2"/>
        <w:rPr/>
      </w:pPr>
      <w:r>
        <w:rPr/>
        <w:t>PART III  --  NARRATIVE</w:t>
      </w:r>
    </w:p>
    <w:p>
      <w:pPr>
        <w:pStyle w:val="Normal"/>
        <w:ind w:hanging="1440" w:start="720" w:end="-720"/>
        <w:rPr>
          <w:b/>
          <w:bCs/>
        </w:rPr>
      </w:pPr>
      <w:r>
        <w:rPr>
          <w:b/>
          <w:bCs/>
        </w:rPr>
      </w:r>
    </w:p>
    <w:p>
      <w:pPr>
        <w:pStyle w:val="BlockText"/>
        <w:jc w:val="both"/>
        <w:rPr/>
      </w:pPr>
      <w:r>
        <w:rPr/>
        <w:t>State below in reasonable detail the reasons why Forms 10-K, 20-F, 11-K, 10-Q, N-SAR, or the transition report or portion thereof, could not be filed within the prescribed time period.</w:t>
      </w:r>
    </w:p>
    <w:p>
      <w:pPr>
        <w:pStyle w:val="BlockText"/>
        <w:jc w:val="both"/>
        <w:rPr/>
      </w:pPr>
      <w:r>
        <w:rPr/>
      </w:r>
    </w:p>
    <w:p>
      <w:pPr>
        <w:pStyle w:val="BodyText"/>
        <w:ind w:hanging="0" w:start="-720" w:end="-720"/>
        <w:jc w:val="both"/>
        <w:rPr/>
      </w:pPr>
      <w:r>
        <w:rPr/>
        <w:t>Although the management of Enron Corp. ("Enron" or the "Company") has been working diligently to complete and file in a timely manner the Company's quarterly report on Form 10-Q for the third quarter ended September 30, 2001, the recent developments described in more detail in Enron's Form 8-K filed November 8, 2001 and attached hereto as Exhibit A (</w:t>
      </w:r>
      <w:r>
        <w:rPr>
          <w:u w:val="single"/>
        </w:rPr>
        <w:t>see</w:t>
      </w:r>
      <w:r>
        <w:rPr/>
        <w:t xml:space="preserve"> Part IV of this form) and Enron’s recently announced plan to merge with Dynegy Inc. have led management to conclude that five additional days are required to compile and present the information required by the federal securities laws and, in particular, in the Form 10-Q otherwise required to be filed on November 14, 2001 under the Securities Exchange Act of 1934, as amended, in a manner that will provide investors with the most meaningful and complete disclosure of current and historical financial and business information.  </w:t>
      </w:r>
    </w:p>
    <w:p>
      <w:pPr>
        <w:pStyle w:val="BlockText"/>
        <w:jc w:val="both"/>
        <w:rPr>
          <w:u w:val="single"/>
        </w:rPr>
      </w:pPr>
      <w:r>
        <w:rPr/>
        <w:t>In light of the information in the Company’s Form 8-K filed last week and the Company’s agreement to merge, the Company needs a brief period of additional time -- the five days provided under Rule 12b-25(b)(2) -- to assess carefully and communicate in the Form 10-Q to the fullest extent possible the implications of these developments for our business and financial condition in accordance with the Company’s obligations under the federal securities laws.  Without an extension we are unable to accomplish this without unreasonable effort.</w:t>
      </w:r>
    </w:p>
    <w:p>
      <w:pPr>
        <w:pStyle w:val="BlockText"/>
        <w:rPr>
          <w:u w:val="single"/>
        </w:rPr>
      </w:pPr>
      <w:r>
        <w:rPr>
          <w:u w:val="single"/>
        </w:rPr>
      </w:r>
    </w:p>
    <w:p>
      <w:pPr>
        <w:pStyle w:val="Heading1"/>
        <w:rPr/>
      </w:pPr>
      <w:r>
        <w:rPr/>
        <w:t>PART IV  -  OTHER INFORMATION</w:t>
      </w:r>
    </w:p>
    <w:p>
      <w:pPr>
        <w:pStyle w:val="Normal"/>
        <w:ind w:start="-720" w:end="-720"/>
        <w:rPr/>
      </w:pPr>
      <w:r>
        <w:rPr/>
      </w:r>
    </w:p>
    <w:p>
      <w:pPr>
        <w:pStyle w:val="Normal"/>
        <w:numPr>
          <w:ilvl w:val="0"/>
          <w:numId w:val="2"/>
        </w:numPr>
        <w:ind w:hanging="720" w:start="0" w:end="-720"/>
        <w:rPr/>
      </w:pPr>
      <w:r>
        <w:rPr/>
        <w:t>Name and telephone number of person to contact in regard to this notification</w:t>
      </w:r>
    </w:p>
    <w:p>
      <w:pPr>
        <w:pStyle w:val="Normal"/>
        <w:ind w:end="-720"/>
        <w:rPr/>
      </w:pPr>
      <w:r>
        <w:rPr/>
      </w:r>
    </w:p>
    <w:p>
      <w:pPr>
        <w:pStyle w:val="Normal"/>
        <w:ind w:end="-720"/>
        <w:rPr/>
      </w:pPr>
      <w:r>
        <w:rPr>
          <w:u w:val="single"/>
        </w:rPr>
        <w:t>Richard A. Causey</w:t>
      </w:r>
      <w:r>
        <w:rPr/>
        <w:t>____________________</w:t>
        <w:tab/>
      </w:r>
      <w:r>
        <w:rPr>
          <w:u w:val="single"/>
        </w:rPr>
        <w:t>(713)</w:t>
      </w:r>
      <w:r>
        <w:rPr/>
        <w:t>_______</w:t>
        <w:tab/>
      </w:r>
      <w:r>
        <w:rPr>
          <w:u w:val="single"/>
        </w:rPr>
        <w:t>853-1744</w:t>
        <w:tab/>
        <w:tab/>
        <w:tab/>
        <w:tab/>
      </w:r>
    </w:p>
    <w:p>
      <w:pPr>
        <w:pStyle w:val="Normal"/>
        <w:ind w:end="-720"/>
        <w:rPr/>
      </w:pPr>
      <w:r>
        <w:rPr/>
        <w:t>(Name)</w:t>
        <w:tab/>
        <w:tab/>
        <w:tab/>
        <w:tab/>
        <w:tab/>
        <w:t>(Area Code)</w:t>
        <w:tab/>
        <w:t>(Telephone Number)</w:t>
      </w:r>
    </w:p>
    <w:p>
      <w:pPr>
        <w:pStyle w:val="Normal"/>
        <w:ind w:end="-720"/>
        <w:rPr/>
      </w:pPr>
      <w:r>
        <w:rPr/>
      </w:r>
    </w:p>
    <w:p>
      <w:pPr>
        <w:pStyle w:val="Normal"/>
        <w:ind w:hanging="720" w:end="-720"/>
        <w:jc w:val="both"/>
        <w:rPr/>
      </w:pPr>
      <w:r>
        <w:rPr/>
        <w:t>(2)</w:t>
        <w:tab/>
        <w:t>Have all other periodic reports required under Section 13 or 15(d) of the Securities Exchange Act of 1934 or Section 30 of the Investment Company Act of 1940 during the preceding 12 months or for such shorter period that the registrant was required to file such report(s) been filed?  If answer is no, identify report(s).</w:t>
        <w:tab/>
        <w:tab/>
      </w:r>
      <w:r>
        <w:rPr>
          <w:u w:val="single"/>
        </w:rPr>
        <w:t xml:space="preserve">    X   </w:t>
      </w:r>
      <w:r>
        <w:rPr/>
        <w:t xml:space="preserve">  Yes</w:t>
        <w:tab/>
        <w:t>_____  No</w:t>
      </w:r>
    </w:p>
    <w:p>
      <w:pPr>
        <w:pStyle w:val="Normal"/>
        <w:ind w:hanging="720" w:end="-720"/>
        <w:rPr/>
      </w:pPr>
      <w:r>
        <w:rPr/>
      </w:r>
    </w:p>
    <w:p>
      <w:pPr>
        <w:pStyle w:val="Normal"/>
        <w:ind w:hanging="720" w:end="-720"/>
        <w:rPr/>
      </w:pPr>
      <w:r>
        <w:rPr/>
        <w:tab/>
      </w:r>
      <w:r>
        <w:rPr>
          <w:u w:val="single"/>
        </w:rPr>
        <w:tab/>
        <w:tab/>
        <w:tab/>
        <w:tab/>
        <w:tab/>
        <w:tab/>
        <w:tab/>
        <w:tab/>
        <w:tab/>
        <w:tab/>
        <w:tab/>
        <w:tab/>
        <w:tab/>
      </w:r>
    </w:p>
    <w:p>
      <w:pPr>
        <w:pStyle w:val="Normal"/>
        <w:ind w:hanging="720" w:end="-720"/>
        <w:rPr/>
      </w:pPr>
      <w:r>
        <w:rPr/>
      </w:r>
    </w:p>
    <w:p>
      <w:pPr>
        <w:pStyle w:val="Normal"/>
        <w:ind w:hanging="720" w:end="-720"/>
        <w:jc w:val="both"/>
        <w:rPr/>
      </w:pPr>
      <w:r>
        <w:rPr/>
        <w:t>(3)</w:t>
        <w:tab/>
        <w:t>Is it anticipated that any significant change in results of operations from the corresponding period for the last fiscal year will be reflected by the earnings statements to be included in the subject report or portion thereof?</w:t>
        <w:tab/>
        <w:tab/>
        <w:t>__</w:t>
      </w:r>
      <w:r>
        <w:rPr>
          <w:u w:val="single"/>
        </w:rPr>
        <w:t>X</w:t>
      </w:r>
      <w:r>
        <w:rPr/>
        <w:t>___  Yes</w:t>
        <w:tab/>
        <w:t>_____ No</w:t>
      </w:r>
    </w:p>
    <w:p>
      <w:pPr>
        <w:pStyle w:val="Normal"/>
        <w:ind w:hanging="720" w:end="-720"/>
        <w:rPr/>
      </w:pPr>
      <w:r>
        <w:rPr/>
      </w:r>
    </w:p>
    <w:p>
      <w:pPr>
        <w:pStyle w:val="BodyTextIndent"/>
        <w:rPr/>
      </w:pPr>
      <w:r>
        <w:rPr/>
        <w:tab/>
        <w:t>If so, attach an explanation of the anticipated change, both narratively and quantiatively, and, if appropriate, state the reasons why a reasonable estimate of the results cannot be made.</w:t>
      </w:r>
    </w:p>
    <w:p>
      <w:pPr>
        <w:pStyle w:val="Normal"/>
        <w:ind w:hanging="720" w:end="-720"/>
        <w:rPr/>
      </w:pPr>
      <w:r>
        <w:rPr/>
      </w:r>
    </w:p>
    <w:p>
      <w:pPr>
        <w:pStyle w:val="Normal"/>
        <w:ind w:hanging="720" w:end="-720"/>
        <w:rPr/>
      </w:pPr>
      <w:r>
        <w:rPr/>
        <w:tab/>
        <w:t>As announced in the Company’s October 16, 2001 earnings release, the Company estimates total recurring net income of $393 million for the third quarter of 2001, versus $292 million a year ago.  As also announced in the October 16, 2001 release, during the third quarter of 2001, non-recurring charges totaling $1.01 billion after-tax were recognized, resulting in a total net loss for the quarter, including non-recurring items, of $(618) million, or $(0.84) per diluted share, versus income of $292 million, or earnings of $0.34 per diluted share, during the third quarter of 2000.  As fully disclosed in the Form 8-K filed by the Company on November 8, 2001, attached hereto as Exhibit A, the Company will be restating its financial statements for the years ended December 31, 1997 to 2000.</w:t>
      </w:r>
    </w:p>
    <w:p>
      <w:pPr>
        <w:pStyle w:val="Normal"/>
        <w:ind w:hanging="720" w:end="-720"/>
        <w:rPr/>
      </w:pPr>
      <w:r>
        <w:rPr/>
      </w:r>
    </w:p>
    <w:p>
      <w:pPr>
        <w:pStyle w:val="Normal"/>
        <w:ind w:hanging="720" w:end="-720"/>
        <w:rPr>
          <w:b/>
          <w:bCs/>
          <w:u w:val="single"/>
        </w:rPr>
      </w:pPr>
      <w:r>
        <w:rPr>
          <w:b/>
          <w:bCs/>
          <w:u w:val="single"/>
        </w:rPr>
        <w:tab/>
        <w:tab/>
        <w:tab/>
        <w:tab/>
        <w:tab/>
        <w:tab/>
        <w:tab/>
        <w:tab/>
        <w:tab/>
        <w:tab/>
        <w:tab/>
        <w:tab/>
        <w:tab/>
        <w:tab/>
      </w:r>
    </w:p>
    <w:p>
      <w:pPr>
        <w:pStyle w:val="Normal"/>
        <w:ind w:hanging="720" w:end="-720"/>
        <w:rPr/>
      </w:pPr>
      <w:r>
        <w:rPr/>
      </w:r>
    </w:p>
    <w:p>
      <w:pPr>
        <w:pStyle w:val="Normal"/>
        <w:ind w:hanging="720" w:end="-720"/>
        <w:rPr/>
      </w:pPr>
      <w:r>
        <w:rPr/>
      </w:r>
    </w:p>
    <w:p>
      <w:pPr>
        <w:pStyle w:val="Normal"/>
        <w:ind w:hanging="720" w:end="-720"/>
        <w:jc w:val="center"/>
        <w:rPr>
          <w:u w:val="single"/>
        </w:rPr>
      </w:pPr>
      <w:r>
        <w:rPr>
          <w:u w:val="single"/>
        </w:rPr>
        <w:tab/>
        <w:tab/>
        <w:tab/>
        <w:tab/>
        <w:t>Enron Corp.</w:t>
        <w:tab/>
        <w:tab/>
        <w:tab/>
        <w:tab/>
        <w:tab/>
      </w:r>
    </w:p>
    <w:p>
      <w:pPr>
        <w:pStyle w:val="Normal"/>
        <w:ind w:hanging="720" w:end="-720"/>
        <w:jc w:val="center"/>
        <w:rPr/>
      </w:pPr>
      <w:r>
        <w:rPr/>
        <w:t>(Name of Registrant as Specified in Charter)</w:t>
      </w:r>
    </w:p>
    <w:p>
      <w:pPr>
        <w:pStyle w:val="Normal"/>
        <w:ind w:hanging="720" w:end="-720"/>
        <w:jc w:val="center"/>
        <w:rPr/>
      </w:pPr>
      <w:r>
        <w:rPr/>
      </w:r>
    </w:p>
    <w:p>
      <w:pPr>
        <w:pStyle w:val="Normal"/>
        <w:ind w:hanging="720" w:end="-720"/>
        <w:rPr/>
      </w:pPr>
      <w:r>
        <w:rPr/>
        <w:t>has caused this notification to be signed on its behalf by the undersigned hereunto duly authorized.</w:t>
      </w:r>
    </w:p>
    <w:p>
      <w:pPr>
        <w:pStyle w:val="Normal"/>
        <w:ind w:hanging="720" w:end="-720"/>
        <w:rPr/>
      </w:pPr>
      <w:r>
        <w:rPr/>
      </w:r>
    </w:p>
    <w:p>
      <w:pPr>
        <w:pStyle w:val="Normal"/>
        <w:ind w:hanging="720" w:end="-720"/>
        <w:rPr/>
      </w:pPr>
      <w:r>
        <w:rPr/>
        <w:t xml:space="preserve">Date:  </w:t>
      </w:r>
      <w:r>
        <w:rPr>
          <w:u w:val="single"/>
        </w:rPr>
        <w:tab/>
        <w:t>November 14, 2001</w:t>
        <w:tab/>
        <w:tab/>
        <w:tab/>
      </w:r>
      <w:r>
        <w:rPr/>
        <w:tab/>
        <w:t xml:space="preserve">By:  </w:t>
      </w:r>
      <w:r>
        <w:rPr>
          <w:u w:val="single"/>
        </w:rPr>
        <w:t>\s\ Richard A. Causey</w:t>
        <w:tab/>
        <w:tab/>
        <w:tab/>
        <w:tab/>
      </w:r>
    </w:p>
    <w:p>
      <w:pPr>
        <w:pStyle w:val="Normal"/>
        <w:ind w:hanging="720" w:end="-720"/>
        <w:rPr/>
      </w:pPr>
      <w:r>
        <w:rPr/>
        <w:tab/>
        <w:tab/>
        <w:tab/>
        <w:tab/>
        <w:tab/>
        <w:tab/>
        <w:tab/>
        <w:tab/>
        <w:t>Executive Vice President and</w:t>
      </w:r>
    </w:p>
    <w:p>
      <w:pPr>
        <w:pStyle w:val="Normal"/>
        <w:ind w:hanging="720" w:end="-720"/>
        <w:rPr/>
      </w:pPr>
      <w:r>
        <w:rPr/>
        <w:tab/>
        <w:tab/>
        <w:tab/>
        <w:tab/>
        <w:tab/>
        <w:tab/>
        <w:tab/>
        <w:tab/>
        <w:t>Chief Accounting Officer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720"/>
      <w:outlineLvl w:val="0"/>
    </w:pPr>
    <w:rPr>
      <w:b/>
      <w:bCs/>
    </w:rPr>
  </w:style>
  <w:style w:type="paragraph" w:styleId="Heading2">
    <w:name w:val="heading 2"/>
    <w:basedOn w:val="Normal"/>
    <w:next w:val="Normal"/>
    <w:qFormat/>
    <w:pPr>
      <w:keepNext w:val="true"/>
      <w:numPr>
        <w:ilvl w:val="1"/>
        <w:numId w:val="1"/>
      </w:numPr>
      <w:ind w:hanging="1440" w:start="720" w:end="-720"/>
      <w:outlineLvl w:val="1"/>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before="0" w:after="240"/>
      <w:ind w:firstLine="144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BlockText">
    <w:name w:val="Block Text"/>
    <w:basedOn w:val="Normal"/>
    <w:qFormat/>
    <w:pPr>
      <w:ind w:hanging="0" w:start="-720" w:end="-720"/>
    </w:pPr>
    <w:rPr/>
  </w:style>
  <w:style w:type="paragraph" w:styleId="BodyText3">
    <w:name w:val="Body Text 3"/>
    <w:basedOn w:val="Normal"/>
    <w:qFormat/>
    <w:pPr>
      <w:spacing w:before="0" w:after="240"/>
    </w:pPr>
    <w:rPr>
      <w:szCs w:val="20"/>
    </w:rPr>
  </w:style>
  <w:style w:type="paragraph" w:styleId="BodyTextIndent">
    <w:name w:val="Body Text Indent"/>
    <w:basedOn w:val="Normal"/>
    <w:pPr>
      <w:ind w:hanging="720" w:start="0" w:end="-720"/>
      <w:jc w:val="both"/>
    </w:pPr>
    <w:rPr/>
  </w:style>
  <w:style w:type="paragraph" w:styleId="BodyTextIndent2">
    <w:name w:val="Body Text Indent 2"/>
    <w:basedOn w:val="Normal"/>
    <w:qFormat/>
    <w:pPr>
      <w:ind w:hanging="1440" w:start="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2001-11-15T01:24:00Z</dcterms:created>
  <dc:creator>tmurray</dc:creator>
  <dc:description/>
  <dc:language>en-CA</dc:language>
  <cp:lastModifiedBy>tmurray</cp:lastModifiedBy>
  <cp:lastPrinted>2001-11-14T20:34:00Z</cp:lastPrinted>
  <dcterms:modified xsi:type="dcterms:W3CDTF">2001-11-15T01:24:00Z</dcterms:modified>
  <cp:revision>2</cp:revision>
  <dc:subject/>
  <dc:title>UNITED STATES</dc:title>
</cp:coreProperties>
</file>