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[_____________]</w:t>
      </w:r>
    </w:p>
    <w:p>
      <w:pPr>
        <w:pStyle w:val="Normal"/>
        <w:widowControl/>
        <w:spacing w:before="800" w:after="0"/>
        <w:jc w:val="both"/>
        <w:rPr>
          <w:sz w:val="22"/>
        </w:rPr>
      </w:pPr>
      <w:r>
        <w:rPr>
          <w:sz w:val="22"/>
        </w:rPr>
        <w:t>[___________________]</w:t>
      </w:r>
    </w:p>
    <w:p>
      <w:pPr>
        <w:pStyle w:val="Normal"/>
        <w:widowControl/>
        <w:jc w:val="both"/>
        <w:rPr>
          <w:sz w:val="22"/>
        </w:rPr>
      </w:pPr>
      <w:r>
        <w:rPr>
          <w:sz w:val="22"/>
        </w:rPr>
        <w:t>[___________________]</w:t>
      </w:r>
    </w:p>
    <w:p>
      <w:pPr>
        <w:pStyle w:val="Normal"/>
        <w:widowControl/>
        <w:jc w:val="both"/>
        <w:rPr>
          <w:sz w:val="22"/>
        </w:rPr>
      </w:pPr>
      <w:r>
        <w:rPr>
          <w:sz w:val="22"/>
        </w:rPr>
        <w:t>[___________________]</w:t>
      </w:r>
    </w:p>
    <w:p>
      <w:pPr>
        <w:pStyle w:val="Normal"/>
        <w:widowControl/>
        <w:jc w:val="both"/>
        <w:rPr>
          <w:sz w:val="22"/>
        </w:rPr>
      </w:pPr>
      <w:r>
        <w:rPr>
          <w:sz w:val="22"/>
        </w:rPr>
        <w:t>[___________________]</w:t>
      </w:r>
    </w:p>
    <w:p>
      <w:pPr>
        <w:pStyle w:val="Normal"/>
        <w:widowControl/>
        <w:jc w:val="both"/>
        <w:rPr>
          <w:b/>
          <w:sz w:val="22"/>
        </w:rPr>
      </w:pPr>
      <w:r>
        <w:rPr>
          <w:sz w:val="22"/>
        </w:rPr>
        <w:t>[___________________]</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This letter of intent ("Agreement") effective when executed by all the parties hereto, will evidence the current mutual intent, as set forth in Article I below, of [___________________], a [___________________] ("Seller") and</w:t>
      </w:r>
      <w:r>
        <w:rPr>
          <w:b/>
          <w:sz w:val="22"/>
        </w:rPr>
        <w:t xml:space="preserve"> </w:t>
      </w:r>
      <w:r>
        <w:rPr>
          <w:sz w:val="22"/>
        </w:rPr>
        <w:t>[___________________], a Delaware limited liability company ("Buyer"), to evaluate the possibility of Buyer purchasing from Seller the real property (the "Site") more particularly described on Exhibit "A" attached hereto (the "Project").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sz w:val="22"/>
        </w:rPr>
        <w:t>The Parties will meet to discuss the Project and the necessary agreements relating thereto.  Buyer may conduct a due diligence investigation regarding the Site.  Seller will assist Buyer in such investigation and Seller will disclose to buyer all relevant information in Seller's possession pertaining thereto.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Neither Party is obligated hereunder to enter into any definitive agreement with the other, with respect to the Project.  It is currently anticipated, however, that the purchase price for the Site pursuant to any such agreement would be [________________________ and No/100 U.S. Dollars ($_______.00)].</w:t>
      </w:r>
    </w:p>
    <w:p>
      <w:pPr>
        <w:pStyle w:val="Normal"/>
        <w:widowControl/>
        <w:numPr>
          <w:ilvl w:val="0"/>
          <w:numId w:val="2"/>
        </w:numPr>
        <w:spacing w:before="120" w:after="0"/>
        <w:ind w:firstLine="810" w:start="-90" w:end="0"/>
        <w:jc w:val="both"/>
        <w:rPr>
          <w:sz w:val="22"/>
        </w:rPr>
      </w:pPr>
      <w:r>
        <w:rPr>
          <w:sz w:val="22"/>
        </w:rPr>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an entity or entities other than the Parties enter into a definitive agreement for the purchase and sale of the Site; or (ii) until such time that it becomes clear to either Party that the Project will not be economically viable or otherwise successful; or (iii) [__________, 199___]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Buyer in undertaking its due diligence review of the Site, Seller hereby grants to Buyer, for a period beginning on [______________], 1998] and ending on the earlier of (i) [_______________, 199__], and (ii) the date of any earlier termination as set out above (the "Exclusivity Period") the exclusive right to pursue the Project with Seller.  During the Exclusivity Period Seller shall not work with any other persons with regard to the Project or other transaction involving the Site.</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Buyer's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720" w:after="0"/>
        <w:ind w:start="5040" w:end="0"/>
        <w:jc w:val="both"/>
        <w:rPr>
          <w:sz w:val="22"/>
        </w:rPr>
      </w:pPr>
      <w:r>
        <w:rPr>
          <w:sz w:val="22"/>
        </w:rPr>
        <w:t>[____________________]</w:t>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_____________, 199___.</w:t>
      </w:r>
    </w:p>
    <w:p>
      <w:pPr>
        <w:pStyle w:val="Normal"/>
        <w:widowControl/>
        <w:spacing w:before="240" w:after="0"/>
        <w:jc w:val="both"/>
        <w:rPr>
          <w:b/>
          <w:sz w:val="22"/>
        </w:rPr>
      </w:pPr>
      <w:r>
        <w:rPr>
          <w:b/>
          <w:sz w:val="22"/>
        </w:rPr>
        <w:t>[_______________]</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Heading1"/>
        <w:widowControl/>
        <w:ind w:hanging="0" w:start="0"/>
        <w:rPr/>
      </w:pPr>
      <w:r>
        <w:rPr/>
        <w:t>GREG HOBBS</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Heading1"/>
        <w:widowControl/>
        <w:ind w:hanging="0" w:start="0"/>
        <w:rPr/>
      </w:pPr>
      <w:r>
        <w:rPr/>
        <w:t>DON WERNER</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pPr>
      <w:r>
        <w:rPr>
          <w:sz w:val="22"/>
        </w:rPr>
        <w:t xml:space="preserve">Printed Name: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rPr>
      </w:pPr>
      <w:r>
        <w:rPr>
          <w:sz w:val="22"/>
        </w:rPr>
        <w:t xml:space="preserve">                                                                           </w:t>
      </w:r>
      <w:r>
        <w:rPr>
          <w:sz w:val="22"/>
        </w:rPr>
        <w:t>EXHIBIT A</w:t>
      </w:r>
    </w:p>
    <w:p>
      <w:pPr>
        <w:pStyle w:val="BlockText"/>
        <w:widowControl/>
        <w:rPr/>
      </w:pPr>
      <w:r>
        <w:rPr/>
        <w:t>The South ½ of the North East ¼ of Section 27, Township 34 North, Range 11 East of the Third Principal Meridian, and also that part of the North ½ of the North East ¼  of said Section 27, Lying South of the East 660 Feet of the North 1320 Feet Thereof, In Will County, Illinois.</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/mnt/main-storage/datasets/enron-docs/doc/FormLOI.doc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/mnt/main-storage/datasets/enron-docs/doc/FormLOI.doc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[______________________]</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[_____________],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2000-11-22T13:16:00Z</dcterms:created>
  <dc:creator>ECT</dc:creator>
  <dc:description/>
  <dc:language>en-CA</dc:language>
  <cp:lastModifiedBy>sdaniel</cp:lastModifiedBy>
  <cp:lastPrinted>1999-01-11T12:02:00Z</cp:lastPrinted>
  <dcterms:modified xsi:type="dcterms:W3CDTF">2000-11-22T13:16:00Z</dcterms:modified>
  <cp:revision>2</cp:revision>
  <dc:subject/>
  <dc:title>[ECT Letterhead]</dc:title>
</cp:coreProperties>
</file>