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Government Policy</w:t>
      </w:r>
    </w:p>
    <w:p>
      <w:pPr>
        <w:pStyle w:val="Normal"/>
        <w:rPr/>
      </w:pPr>
      <w:r>
        <w:rPr/>
      </w:r>
    </w:p>
    <w:p>
      <w:pPr>
        <w:pStyle w:val="Normal"/>
        <w:rPr/>
      </w:pPr>
      <w:r>
        <w:rPr/>
        <w:t xml:space="preserve">Japan has a general reputation of limiting imports, which extends to forest products.  US government trade officials have mainly addressed concerns of companies attempting to import lumber and paper products into Japan.  Japan uses non-tariff barriers to support domestic suppliers/importers, including subsidies and the use of “Japan Agricultural Standards” (JAS) to limit imports produced by foreign firms.  </w:t>
      </w:r>
    </w:p>
    <w:p>
      <w:pPr>
        <w:pStyle w:val="Normal"/>
        <w:rPr/>
      </w:pPr>
      <w:r>
        <w:rPr/>
      </w:r>
    </w:p>
    <w:p>
      <w:pPr>
        <w:pStyle w:val="Normal"/>
        <w:rPr/>
      </w:pPr>
      <w:r>
        <w:rPr/>
        <w:t>Contacts with the two ministries that administer import policy for forest product imports, METI and MAFF, have indicated that there are no specific regulations preventing the import and distribution of forest products.  However, they further indicate that any firm which wishes to do so will face the usual time consuming bureaucratic review and oversight.</w:t>
      </w:r>
    </w:p>
    <w:p>
      <w:pPr>
        <w:pStyle w:val="Normal"/>
        <w:rPr/>
      </w:pPr>
      <w:r>
        <w:rPr/>
      </w:r>
    </w:p>
    <w:p>
      <w:pPr>
        <w:pStyle w:val="Normal"/>
        <w:rPr/>
      </w:pPr>
      <w:r>
        <w:rPr/>
        <w:t xml:space="preserve">A similar stifling environment caused by the web of relationships between the ministries, quasi-official organizations, and Japanese firms complicate the movement of products through the ports and over the roads.  </w:t>
      </w:r>
    </w:p>
    <w:p>
      <w:pPr>
        <w:pStyle w:val="Normal"/>
        <w:rPr/>
      </w:pPr>
      <w:r>
        <w:rPr/>
      </w:r>
    </w:p>
    <w:p>
      <w:pPr>
        <w:pStyle w:val="Normal"/>
        <w:rPr/>
      </w:pPr>
      <w:r>
        <w:rPr/>
        <w:t>Challenges of note include the lack of flexibility at Japanese ports and foreign exchange risk associated with imports.  Trucking delivery seems feasible, but the rates are opaque and are likely to be high.</w:t>
      </w:r>
    </w:p>
    <w:p>
      <w:pPr>
        <w:pStyle w:val="Normal"/>
        <w:rPr/>
      </w:pPr>
      <w:r>
        <w:rPr/>
      </w:r>
    </w:p>
    <w:p>
      <w:pPr>
        <w:pStyle w:val="Normal"/>
        <w:rPr/>
      </w:pPr>
      <w:r>
        <w:rPr/>
        <w:t>A brief summary of the research to date appears below.</w:t>
      </w:r>
    </w:p>
    <w:p>
      <w:pPr>
        <w:pStyle w:val="Normal"/>
        <w:rPr/>
      </w:pPr>
      <w:r>
        <w:rPr/>
      </w:r>
    </w:p>
    <w:p>
      <w:pPr>
        <w:pStyle w:val="Heading1"/>
        <w:ind w:hanging="0" w:start="0"/>
        <w:rPr/>
      </w:pPr>
      <w:r>
        <w:rPr/>
        <w:t>Forest Products Industry</w:t>
      </w:r>
    </w:p>
    <w:p>
      <w:pPr>
        <w:pStyle w:val="Normal"/>
        <w:rPr/>
      </w:pPr>
      <w:r>
        <w:rPr/>
      </w:r>
    </w:p>
    <w:p>
      <w:pPr>
        <w:pStyle w:val="Normal"/>
        <w:rPr/>
      </w:pPr>
      <w:r>
        <w:rPr/>
        <w:t xml:space="preserve">Two ministries are responsible for managing the forest products industry to ensure social welfare.  METI, the </w:t>
      </w:r>
      <w:hyperlink r:id="rId2">
        <w:r>
          <w:rPr>
            <w:rStyle w:val="Hyperlink"/>
          </w:rPr>
          <w:t>Ministry of Economy, Trade and Industry</w:t>
        </w:r>
      </w:hyperlink>
      <w:r>
        <w:rPr/>
        <w:t xml:space="preserve">, administers import and export policy and oversees the manufacture of paper goods.  MAFF, the </w:t>
      </w:r>
      <w:hyperlink r:id="rId3">
        <w:r>
          <w:rPr>
            <w:rStyle w:val="Hyperlink"/>
          </w:rPr>
          <w:t>Ministry of Agriculture, Forestry and Fisheries</w:t>
        </w:r>
      </w:hyperlink>
      <w:r>
        <w:rPr/>
        <w:t xml:space="preserve">, manages the forest products industry, from tree seedlings, through lumber, wood products and pulp. </w:t>
      </w:r>
    </w:p>
    <w:p>
      <w:pPr>
        <w:pStyle w:val="Normal"/>
        <w:rPr/>
      </w:pPr>
      <w:r>
        <w:rPr/>
      </w:r>
    </w:p>
    <w:p>
      <w:pPr>
        <w:pStyle w:val="Normal"/>
        <w:rPr/>
      </w:pPr>
      <w:r>
        <w:rPr/>
        <w:t xml:space="preserve">Contacts have been initiated with the offices within these agencies that have direct responsibility for the products.  The results are shown below.  Generally, the advice was that there are no permissions that need to be obtained, but the offices would need to know the specifics of the business before they could issue a final opinion.  </w:t>
      </w:r>
    </w:p>
    <w:p>
      <w:pPr>
        <w:pStyle w:val="Normal"/>
        <w:rPr/>
      </w:pPr>
      <w:r>
        <w:rPr/>
      </w:r>
    </w:p>
    <w:p>
      <w:pPr>
        <w:pStyle w:val="Normal"/>
        <w:autoSpaceDE w:val="false"/>
        <w:rPr/>
      </w:pPr>
      <w:r>
        <w:rPr>
          <w:szCs w:val="20"/>
          <w:u w:val="single"/>
        </w:rPr>
        <w:t>The Paper Industry Division, METI</w:t>
      </w:r>
      <w:r>
        <w:rPr>
          <w:szCs w:val="20"/>
        </w:rPr>
        <w:t xml:space="preserve"> is responsible for domestic production and distribution.  There is no approval required to produce and distribute pulp &amp; paper products domestically.</w:t>
      </w:r>
    </w:p>
    <w:p>
      <w:pPr>
        <w:pStyle w:val="Normal"/>
        <w:autoSpaceDE w:val="false"/>
        <w:rPr>
          <w:szCs w:val="20"/>
        </w:rPr>
      </w:pPr>
      <w:r>
        <w:rPr>
          <w:szCs w:val="20"/>
        </w:rPr>
      </w:r>
    </w:p>
    <w:p>
      <w:pPr>
        <w:pStyle w:val="Normal"/>
        <w:autoSpaceDE w:val="false"/>
        <w:rPr/>
      </w:pPr>
      <w:r>
        <w:rPr>
          <w:szCs w:val="20"/>
          <w:u w:val="single"/>
        </w:rPr>
        <w:t>The Trade Licensing Division, METI</w:t>
      </w:r>
      <w:r>
        <w:rPr>
          <w:szCs w:val="20"/>
        </w:rPr>
        <w:t xml:space="preserve"> is responsible for import/export approval.  There is no product-specific license or registration required to import pulp &amp; paper.  However, there are restrictions stipulated in Washington Convention on importing/exporting specific forest products.  Specific descriptions of the products to be imported are required to get advice from METI regarding the Washington Convention.  Apart from Washington Convention, there is no other conservation related restriction.</w:t>
      </w:r>
    </w:p>
    <w:p>
      <w:pPr>
        <w:pStyle w:val="Normal"/>
        <w:autoSpaceDE w:val="false"/>
        <w:rPr>
          <w:szCs w:val="20"/>
        </w:rPr>
      </w:pPr>
      <w:r>
        <w:rPr>
          <w:szCs w:val="20"/>
        </w:rPr>
      </w:r>
    </w:p>
    <w:p>
      <w:pPr>
        <w:pStyle w:val="Normal"/>
        <w:autoSpaceDE w:val="false"/>
        <w:rPr/>
      </w:pPr>
      <w:r>
        <w:rPr>
          <w:szCs w:val="20"/>
          <w:u w:val="single"/>
        </w:rPr>
        <w:t>The Wood Products Trade Office, Forest Agency, MAFF</w:t>
      </w:r>
      <w:r>
        <w:rPr>
          <w:szCs w:val="20"/>
        </w:rPr>
        <w:t xml:space="preserve"> says there is no license/registration required to import/export/distribute wood products and Washington Convention related administration is METI's responsibility.  Thus there are no approval procedures to be taken with the Office.</w:t>
      </w:r>
    </w:p>
    <w:p>
      <w:pPr>
        <w:pStyle w:val="Heading1"/>
        <w:autoSpaceDE w:val="false"/>
        <w:ind w:hanging="0" w:start="0"/>
        <w:rPr>
          <w:szCs w:val="20"/>
        </w:rPr>
      </w:pPr>
      <w:r>
        <w:rPr>
          <w:szCs w:val="20"/>
        </w:rPr>
        <w:t>Customs Procedures</w:t>
      </w:r>
    </w:p>
    <w:p>
      <w:pPr>
        <w:pStyle w:val="Normal"/>
        <w:autoSpaceDE w:val="false"/>
        <w:rPr>
          <w:szCs w:val="20"/>
        </w:rPr>
      </w:pPr>
      <w:r>
        <w:rPr>
          <w:szCs w:val="20"/>
        </w:rPr>
      </w:r>
    </w:p>
    <w:p>
      <w:pPr>
        <w:pStyle w:val="Normal"/>
        <w:autoSpaceDE w:val="false"/>
        <w:rPr>
          <w:szCs w:val="20"/>
        </w:rPr>
      </w:pPr>
      <w:r>
        <w:rPr>
          <w:szCs w:val="26"/>
        </w:rPr>
        <w:t xml:space="preserve">METI administers Japan’s export policy, with authority granted by the Foreign Exchange Law.  METI is required to issue a “permit or approval” for exports, which are issued by the Trade Licensing Division of its Trade and Economic Cooperation Bureau.  It appears to involve the administrative review of the export to ensure that Japanese trade controls are enforced.  13 laws/regulations under the purviews of different ministries apply to exports as shown in the </w:t>
      </w:r>
      <w:hyperlink w:anchor="_Appendix">
        <w:r>
          <w:rPr>
            <w:rStyle w:val="Hyperlink"/>
            <w:szCs w:val="26"/>
          </w:rPr>
          <w:t>appendix</w:t>
        </w:r>
      </w:hyperlink>
      <w:r>
        <w:rPr>
          <w:szCs w:val="26"/>
        </w:rPr>
        <w:t>.  The specific process for obtaining METI export approvals has not been pursued absent specific transactions to discuss.</w:t>
      </w:r>
    </w:p>
    <w:p>
      <w:pPr>
        <w:pStyle w:val="Normal"/>
        <w:autoSpaceDE w:val="false"/>
        <w:rPr>
          <w:szCs w:val="20"/>
        </w:rPr>
      </w:pPr>
      <w:r>
        <w:rPr>
          <w:szCs w:val="20"/>
        </w:rPr>
      </w:r>
    </w:p>
    <w:p>
      <w:pPr>
        <w:pStyle w:val="Normal"/>
        <w:rPr/>
      </w:pPr>
      <w:r>
        <w:rPr/>
        <w:t>Physically, the product to be exported is delivered to a “hozei” area (similar to bonded warehouse concept) while the export declaration is reviewed and a decision is made on the need to physically inspect the product.  Although hozei’s are shrinking, there are 76 hozei areas in operation in Japan, and over 5,000 hozei warehouses.</w:t>
      </w:r>
    </w:p>
    <w:p>
      <w:pPr>
        <w:pStyle w:val="Normal"/>
        <w:rPr/>
      </w:pPr>
      <w:r>
        <w:rPr/>
      </w:r>
    </w:p>
    <w:p>
      <w:pPr>
        <w:pStyle w:val="Normal"/>
        <w:autoSpaceDE w:val="false"/>
        <w:rPr>
          <w:szCs w:val="20"/>
        </w:rPr>
      </w:pPr>
      <w:r>
        <w:rPr/>
        <w:t xml:space="preserve">An import permit is required from Customs before incoming products can be moved out of a hozei area.  This depends on payment of the appropriate excise taxes and tariffs and on the submission of as many as seven documents (listed in the </w:t>
      </w:r>
      <w:hyperlink w:anchor="_Customs_Appendix">
        <w:r>
          <w:rPr>
            <w:rStyle w:val="Hyperlink"/>
          </w:rPr>
          <w:t>appendix</w:t>
        </w:r>
      </w:hyperlink>
      <w:r>
        <w:rPr/>
        <w:t>).</w:t>
      </w:r>
    </w:p>
    <w:p>
      <w:pPr>
        <w:pStyle w:val="Normal"/>
        <w:autoSpaceDE w:val="false"/>
        <w:rPr>
          <w:szCs w:val="20"/>
        </w:rPr>
      </w:pPr>
      <w:r>
        <w:rPr>
          <w:szCs w:val="20"/>
        </w:rPr>
      </w:r>
    </w:p>
    <w:p>
      <w:pPr>
        <w:pStyle w:val="Normal"/>
        <w:autoSpaceDE w:val="false"/>
        <w:rPr>
          <w:szCs w:val="27"/>
        </w:rPr>
      </w:pPr>
      <w:r>
        <w:rPr>
          <w:szCs w:val="27"/>
        </w:rPr>
        <w:t>Hozei areas are also used for storing, processing or manufacturing foreign products without paying the Customs duty and other domestic taxes, so they can be used for transshipment.</w:t>
        <w:br/>
      </w:r>
    </w:p>
    <w:p>
      <w:pPr>
        <w:pStyle w:val="Normal"/>
        <w:rPr/>
      </w:pPr>
      <w:r>
        <w:rPr/>
        <w:t>Although many imports are reported to be handled by a computerized process, customs procedures generally assume that paper documentation will be used.  Further, one of the Ministry of Finance goals is to integrate computerized systems with its Nippon Automated Cargo Clearance System by 2003.  This is part of the Shiokawa Initiative summarized below.</w:t>
      </w:r>
    </w:p>
    <w:p>
      <w:pPr>
        <w:pStyle w:val="Normal"/>
        <w:rPr/>
      </w:pPr>
      <w:r>
        <w:rPr/>
      </w:r>
    </w:p>
    <w:p>
      <w:pPr>
        <w:pStyle w:val="Normal"/>
        <w:rPr/>
      </w:pPr>
      <w:r>
        <w:rPr/>
        <w:t>In the meantime, importers may be able to speed the processing of specific products by gaining approval for “simplified declaration procedures” from a Regional Customs Director General (Japan has nine).  The simplified declaration procedure speeds up the import process by allowing approved importers to pay duties and excise taxes monthly.  To qualify for approval, importers would have to “continually” import the approved goods.  Continually means at least 24 times each year.  It is not clear whether this requirement refers to a single port.</w:t>
      </w:r>
    </w:p>
    <w:p>
      <w:pPr>
        <w:pStyle w:val="Normal"/>
        <w:rPr/>
      </w:pPr>
      <w:r>
        <w:rPr/>
        <w:t xml:space="preserve"> </w:t>
      </w:r>
    </w:p>
    <w:p>
      <w:pPr>
        <w:pStyle w:val="Normal"/>
        <w:rPr/>
      </w:pPr>
      <w:r>
        <w:rPr/>
        <w:t xml:space="preserve">Importers would notify Customs that the payment has been made the last day of the month following the month the goods have been imported.  They would have to maintain an escrow account containing the estimated amounts due, as well as maintaining books and records in accordance with Customs standards.  Customs authorities have the authority to audit these upon demand.  Adding products requires additional Customs approval. </w:t>
      </w:r>
    </w:p>
    <w:p>
      <w:pPr>
        <w:pStyle w:val="Normal"/>
        <w:rPr/>
      </w:pPr>
      <w:r>
        <w:rPr/>
      </w:r>
    </w:p>
    <w:p>
      <w:pPr>
        <w:pStyle w:val="Normal"/>
        <w:autoSpaceDE w:val="false"/>
        <w:rPr/>
      </w:pPr>
      <w:r>
        <w:rPr/>
        <w:t>No specific laws or regulations apply to forest products, but there could be some impact from the foreign exchange procedures.  Pre-arrival declaration of a cargo can be made upon transmission of the bill of lading translated into Japanese yen.  The approved exchange rate must be used for the translation. “</w:t>
      </w:r>
      <w:r>
        <w:rPr>
          <w:szCs w:val="26"/>
        </w:rPr>
        <w:t>Current exchange rates against the U. S. dollar, the Sterling Pound and other major foreign currencies are normally announced around Tuesday of the previous week”, so effectively the earliest the pre-arrival declaration can be made is 11 days prior to arrival.  The requirement to wait for the approved exchange rate can complicate valuation of a cargo.</w:t>
      </w:r>
    </w:p>
    <w:p>
      <w:pPr>
        <w:pStyle w:val="Normal"/>
        <w:autoSpaceDE w:val="false"/>
        <w:rPr>
          <w:szCs w:val="26"/>
        </w:rPr>
      </w:pPr>
      <w:r>
        <w:rPr>
          <w:szCs w:val="26"/>
        </w:rPr>
      </w:r>
    </w:p>
    <w:p>
      <w:pPr>
        <w:pStyle w:val="Normal"/>
        <w:autoSpaceDE w:val="false"/>
        <w:rPr>
          <w:szCs w:val="20"/>
        </w:rPr>
      </w:pPr>
      <w:r>
        <w:rPr>
          <w:szCs w:val="20"/>
        </w:rPr>
      </w:r>
    </w:p>
    <w:p>
      <w:pPr>
        <w:pStyle w:val="Normal"/>
        <w:autoSpaceDE w:val="false"/>
        <w:rPr>
          <w:szCs w:val="20"/>
        </w:rPr>
      </w:pPr>
      <w:r>
        <w:rPr>
          <w:szCs w:val="20"/>
        </w:rPr>
      </w:r>
    </w:p>
    <w:p>
      <w:pPr>
        <w:pStyle w:val="Heading1"/>
        <w:autoSpaceDE w:val="false"/>
        <w:ind w:hanging="0" w:start="0"/>
        <w:rPr>
          <w:rFonts w:eastAsia="ＭＳ Ｐゴシック"/>
          <w:szCs w:val="20"/>
        </w:rPr>
      </w:pPr>
      <w:r>
        <w:rPr>
          <w:rFonts w:eastAsia="ＭＳ Ｐゴシック"/>
          <w:szCs w:val="20"/>
        </w:rPr>
        <w:t>Port Operations</w:t>
      </w:r>
    </w:p>
    <w:p>
      <w:pPr>
        <w:pStyle w:val="Normal"/>
        <w:rPr>
          <w:rFonts w:eastAsia="ＭＳ Ｐゴシック"/>
          <w:szCs w:val="20"/>
        </w:rPr>
      </w:pPr>
      <w:r>
        <w:rPr>
          <w:rFonts w:eastAsia="ＭＳ Ｐゴシック"/>
          <w:szCs w:val="20"/>
        </w:rPr>
      </w:r>
    </w:p>
    <w:p>
      <w:pPr>
        <w:pStyle w:val="Normal"/>
        <w:ind w:start="360" w:end="0"/>
        <w:rPr/>
      </w:pPr>
      <w:r>
        <w:rPr/>
        <w:t xml:space="preserve">Japanese port operations have historically been inefficient, which has caused the country to lag behind regional rivals in shipping.  Although improvements were promised and some changes have been made, this situation continues. Problems identified by carriers include: </w:t>
      </w:r>
    </w:p>
    <w:p>
      <w:pPr>
        <w:pStyle w:val="Normal"/>
        <w:ind w:start="360" w:end="0"/>
        <w:rPr/>
      </w:pPr>
      <w:r>
        <w:rPr/>
      </w:r>
    </w:p>
    <w:p>
      <w:pPr>
        <w:pStyle w:val="Normal"/>
        <w:numPr>
          <w:ilvl w:val="0"/>
          <w:numId w:val="5"/>
        </w:numPr>
        <w:rPr/>
      </w:pPr>
      <w:r>
        <w:rPr/>
        <w:t>“</w:t>
      </w:r>
      <w:r>
        <w:rPr/>
        <w:t>tiered” terminal handling charges (15,000 yen for a container from US, 40,000 yen for one from Europe)</w:t>
      </w:r>
    </w:p>
    <w:p>
      <w:pPr>
        <w:pStyle w:val="Normal"/>
        <w:numPr>
          <w:ilvl w:val="0"/>
          <w:numId w:val="5"/>
        </w:numPr>
        <w:rPr/>
      </w:pPr>
      <w:r>
        <w:rPr/>
        <w:t>restricted port operating hours</w:t>
      </w:r>
    </w:p>
    <w:p>
      <w:pPr>
        <w:pStyle w:val="Normal"/>
        <w:numPr>
          <w:ilvl w:val="0"/>
          <w:numId w:val="5"/>
        </w:numPr>
        <w:rPr/>
      </w:pPr>
      <w:r>
        <w:rPr/>
        <w:t xml:space="preserve">prohibition of capacity re-sale </w:t>
      </w:r>
    </w:p>
    <w:p>
      <w:pPr>
        <w:pStyle w:val="Normal"/>
        <w:numPr>
          <w:ilvl w:val="0"/>
          <w:numId w:val="5"/>
        </w:numPr>
        <w:rPr/>
      </w:pPr>
      <w:r>
        <w:rPr/>
        <w:t>Inability of carriers to conduct their own operations in Japanese ports</w:t>
      </w:r>
    </w:p>
    <w:p>
      <w:pPr>
        <w:pStyle w:val="Normal"/>
        <w:rPr/>
      </w:pPr>
      <w:r>
        <w:rPr/>
      </w:r>
    </w:p>
    <w:p>
      <w:pPr>
        <w:pStyle w:val="Normal"/>
        <w:rPr/>
      </w:pPr>
      <w:r>
        <w:rPr/>
      </w:r>
    </w:p>
    <w:p>
      <w:pPr>
        <w:pStyle w:val="Normal"/>
        <w:rPr>
          <w:color w:val="000000"/>
        </w:rPr>
      </w:pPr>
      <w:r>
        <w:rPr>
          <w:color w:val="000000"/>
        </w:rPr>
        <w:t>The US Federal Maritime Commission responded to complaints from carriers in 1996 with a threat of imposing a “countervailing burden” on Japanese carriers by in 1996.  After some acrimony, the Japan Harbor Transportation Association (JHTA), the Japan Shipowners' Port Council (JSPC), the Japan Foreign Steamship Association (JFSA) and the Japanese Ministry of Transport Agreed to develop new legislation to liberalize Japanese port operations.</w:t>
      </w:r>
    </w:p>
    <w:p>
      <w:pPr>
        <w:pStyle w:val="Normal"/>
        <w:rPr>
          <w:color w:val="000000"/>
        </w:rPr>
      </w:pPr>
      <w:r>
        <w:rPr>
          <w:color w:val="000000"/>
        </w:rPr>
      </w:r>
    </w:p>
    <w:p>
      <w:pPr>
        <w:pStyle w:val="Normal"/>
        <w:rPr/>
      </w:pPr>
      <w:r>
        <w:rPr>
          <w:color w:val="000000"/>
        </w:rPr>
        <w:t>Following studies and discussions by committee, amendments to the Port Transportation Business Law was enacted May 10, 2000, and the law and implementing ordinances took effect November 2000 in the “nine major ports” (</w:t>
      </w:r>
      <w:r>
        <w:rPr>
          <w:rFonts w:eastAsia="ＭＳ Ｐゴシック"/>
          <w:szCs w:val="20"/>
        </w:rPr>
        <w:t>Keihin Ports (Tokyo, Yokohama and Kawasaki Ports), Chiba Port, Shimizu Port, Nagoya Port, Yokkaichi Port, Osaka Port, Kobe Port, Kanmon Port and Hakata Port)</w:t>
      </w:r>
    </w:p>
    <w:p>
      <w:pPr>
        <w:pStyle w:val="Normal"/>
        <w:rPr>
          <w:rFonts w:eastAsia="ＭＳ Ｐゴシック"/>
          <w:szCs w:val="20"/>
        </w:rPr>
      </w:pPr>
      <w:r>
        <w:rPr>
          <w:rFonts w:eastAsia="ＭＳ Ｐゴシック"/>
          <w:szCs w:val="20"/>
        </w:rPr>
      </w:r>
    </w:p>
    <w:p>
      <w:pPr>
        <w:pStyle w:val="Normal"/>
        <w:rPr/>
      </w:pPr>
      <w:r>
        <w:rPr/>
        <w:t>The new law addressed some of these issues, but no meaningful change has been seen.  The license requirement has been replaced with notification, and the “supply-demand balance” requirement has been replaced by filing a business plan, but no carriers are yet managing their own operations.  A September 6</w:t>
      </w:r>
      <w:r>
        <w:rPr>
          <w:vertAlign w:val="superscript"/>
        </w:rPr>
        <w:t>th</w:t>
      </w:r>
      <w:r>
        <w:rPr/>
        <w:t xml:space="preserve"> news article reported that unions have agreed in principal to 24-hour operations, but the report on how to implement the new operating hours won’t be published until March 2002.</w:t>
      </w:r>
    </w:p>
    <w:p>
      <w:pPr>
        <w:pStyle w:val="Normal"/>
        <w:rPr>
          <w:color w:val="000000"/>
        </w:rPr>
      </w:pPr>
      <w:r>
        <w:rPr>
          <w:color w:val="000000"/>
        </w:rPr>
      </w:r>
    </w:p>
    <w:p>
      <w:pPr>
        <w:pStyle w:val="Normal"/>
        <w:rPr>
          <w:color w:val="000000"/>
        </w:rPr>
      </w:pPr>
      <w:r>
        <w:rPr>
          <w:color w:val="000000"/>
        </w:rPr>
      </w:r>
    </w:p>
    <w:p>
      <w:pPr>
        <w:pStyle w:val="Normal"/>
        <w:rPr/>
      </w:pPr>
      <w:r>
        <w:rPr>
          <w:color w:val="000000"/>
        </w:rPr>
        <w:t>The problems identified in 1996 mainly resulted from the rigidity of port operations.  Carriers have to consult the Japan Harbor Transportation Association</w:t>
      </w:r>
      <w:r>
        <w:rPr>
          <w:rStyle w:val="FootnoteCharacters"/>
          <w:rStyle w:val="FootnoteReference"/>
          <w:color w:val="000000"/>
        </w:rPr>
        <w:footnoteReference w:id="2"/>
      </w:r>
      <w:r>
        <w:rPr>
          <w:color w:val="000000"/>
        </w:rPr>
        <w:t xml:space="preserve"> regarding any matters related to labor or port operations.  The JHTA would work with the unions on labor questions.  The JHTA has to approve port operations matters, from changing berths to any change to vessel technology that could affect stevedoring.  Carriers were effectively prevented from owning or operating equipment by licensing requirements, and work rules restricted operating hours.  Of especial note for Enron’s businesses, re-sale of capacity must receive JHTA’s advance approval. Finally, the relaxation of some port requirements only applies to the nine named ports.  It is unclear whether other, smaller ports will adopt more rational procedures.</w:t>
      </w:r>
    </w:p>
    <w:p>
      <w:pPr>
        <w:pStyle w:val="Normal"/>
        <w:rPr>
          <w:color w:val="000000"/>
        </w:rPr>
      </w:pPr>
      <w:r>
        <w:rPr>
          <w:color w:val="000000"/>
        </w:rPr>
      </w:r>
    </w:p>
    <w:p>
      <w:pPr>
        <w:pStyle w:val="Normal"/>
        <w:rPr>
          <w:color w:val="000000"/>
        </w:rPr>
      </w:pPr>
      <w:r>
        <w:rPr>
          <w:color w:val="000000"/>
        </w:rPr>
        <w:t xml:space="preserve">Despite the new law, ordinances and procedures, the US FMC has received reports of continued restrictions to carriers operations.  It notes that while the new law relaxes some restrictions, it increases minimum manning standard to 150% of the old standard.  Also, while MLIT approval of tariffs is no longer required, the MLIT retains the authority to order tariff changes.  In response, it has opened an investigation into the progress to date.  This is expected to become a contentious issue in the current round of US-Japan trade talks.  </w:t>
      </w:r>
    </w:p>
    <w:p>
      <w:pPr>
        <w:pStyle w:val="Normal"/>
        <w:rPr/>
      </w:pPr>
      <w:r>
        <w:rPr/>
      </w:r>
    </w:p>
    <w:p>
      <w:pPr>
        <w:pStyle w:val="Heading1"/>
        <w:ind w:hanging="0" w:start="0"/>
        <w:rPr/>
      </w:pPr>
      <w:r>
        <w:rPr/>
        <w:t>Trucking Business</w:t>
      </w:r>
    </w:p>
    <w:p>
      <w:pPr>
        <w:pStyle w:val="Normal"/>
        <w:rPr/>
      </w:pPr>
      <w:r>
        <w:rPr/>
      </w:r>
    </w:p>
    <w:p>
      <w:pPr>
        <w:pStyle w:val="Normal"/>
        <w:rPr/>
      </w:pPr>
      <w:r>
        <w:rPr/>
        <w:t xml:space="preserve">Japan’s trucking business is supervised by the Ministry of Land, Infrastructure, and Transport under the authority of the Law for Freight Transportation Business by Motor Vehicles.  The ministry issues licenses, reviews tariffs, and resolves disputes over service.  For Enron to operate a freight transportation business, it will need a license from the MLIT.  Three kinds of trucking are defined in ministry ordinances: </w:t>
      </w:r>
    </w:p>
    <w:p>
      <w:pPr>
        <w:pStyle w:val="Normal"/>
        <w:rPr/>
      </w:pPr>
      <w:r>
        <w:rPr/>
      </w:r>
    </w:p>
    <w:p>
      <w:pPr>
        <w:pStyle w:val="Normal"/>
        <w:numPr>
          <w:ilvl w:val="0"/>
          <w:numId w:val="3"/>
        </w:numPr>
        <w:rPr/>
      </w:pPr>
      <w:r>
        <w:rPr/>
        <w:t>Freight Transportation Business by General Motor Vehicles</w:t>
      </w:r>
    </w:p>
    <w:p>
      <w:pPr>
        <w:pStyle w:val="Normal"/>
        <w:rPr/>
      </w:pPr>
      <w:r>
        <w:rPr/>
      </w:r>
    </w:p>
    <w:p>
      <w:pPr>
        <w:pStyle w:val="Normal"/>
        <w:numPr>
          <w:ilvl w:val="1"/>
          <w:numId w:val="3"/>
        </w:numPr>
        <w:rPr/>
      </w:pPr>
      <w:r>
        <w:rPr/>
        <w:t>Defined as the business of transporting freight for a fee by using motor vehicles to satisfy a third party's demands, and excludes freight transportation business by special motor vehicles (definition unclear).  Requires license from the Ministry of Land, Infrastructure, and Transport.</w:t>
      </w:r>
    </w:p>
    <w:p>
      <w:pPr>
        <w:pStyle w:val="Normal"/>
        <w:rPr/>
      </w:pPr>
      <w:r>
        <w:rPr/>
      </w:r>
    </w:p>
    <w:p>
      <w:pPr>
        <w:pStyle w:val="Normal"/>
        <w:numPr>
          <w:ilvl w:val="0"/>
          <w:numId w:val="3"/>
        </w:numPr>
        <w:rPr/>
      </w:pPr>
      <w:r>
        <w:rPr>
          <w:szCs w:val="15"/>
        </w:rPr>
        <w:t>Freight Transportation Business by Special Motor Vehicles</w:t>
      </w:r>
    </w:p>
    <w:p>
      <w:pPr>
        <w:pStyle w:val="NormalWeb"/>
        <w:numPr>
          <w:ilvl w:val="1"/>
          <w:numId w:val="3"/>
        </w:numPr>
        <w:rPr>
          <w:rFonts w:ascii="Times New Roman" w:hAnsi="Times New Roman" w:cs="Times New Roman"/>
        </w:rPr>
      </w:pPr>
      <w:r>
        <w:rPr>
          <w:rFonts w:cs="Times New Roman" w:ascii="Times New Roman" w:hAnsi="Times New Roman"/>
        </w:rPr>
        <w:t>Defined as the business of transporting freight for a fee by using motor vehicles to satisfy specified person's demands. In principle, one carrier plays the role of one shipper's exclusive carrier. Requires license from Ministry of Land, Infrastructure, and Transport.</w:t>
      </w:r>
    </w:p>
    <w:p>
      <w:pPr>
        <w:pStyle w:val="NormalWeb"/>
        <w:numPr>
          <w:ilvl w:val="0"/>
          <w:numId w:val="3"/>
        </w:numPr>
        <w:rPr>
          <w:rFonts w:ascii="Times New Roman" w:hAnsi="Times New Roman" w:cs="Times New Roman"/>
        </w:rPr>
      </w:pPr>
      <w:r>
        <w:rPr>
          <w:rFonts w:cs="Times New Roman" w:ascii="Times New Roman" w:hAnsi="Times New Roman"/>
        </w:rPr>
        <w:t>Freight Transportation Business by Light-Weight vehicles (K-truck, motorcycle etc.)</w:t>
      </w:r>
    </w:p>
    <w:p>
      <w:pPr>
        <w:pStyle w:val="Normal"/>
        <w:numPr>
          <w:ilvl w:val="1"/>
          <w:numId w:val="3"/>
        </w:numPr>
        <w:rPr/>
      </w:pPr>
      <w:r>
        <w:rPr>
          <w:szCs w:val="15"/>
        </w:rPr>
        <w:t>Defined as the business of transporting for a fee by using motor vehicles r to satisfy a third party's demands.  Notification to operate business must be accepted by the district transport bureau prior to commencing operation.</w:t>
      </w:r>
    </w:p>
    <w:p>
      <w:pPr>
        <w:pStyle w:val="Normal"/>
        <w:rPr/>
      </w:pPr>
      <w:r>
        <w:rPr/>
      </w:r>
    </w:p>
    <w:p>
      <w:pPr>
        <w:pStyle w:val="Normal"/>
        <w:rPr>
          <w:b/>
          <w:bCs/>
        </w:rPr>
      </w:pPr>
      <w:r>
        <w:rPr>
          <w:b/>
          <w:bCs/>
        </w:rPr>
        <w:t>Shiokawa Initiative</w:t>
      </w:r>
    </w:p>
    <w:p>
      <w:pPr>
        <w:pStyle w:val="Normal"/>
        <w:rPr>
          <w:b/>
          <w:bCs/>
        </w:rPr>
      </w:pPr>
      <w:r>
        <w:rPr>
          <w:b/>
          <w:bCs/>
        </w:rPr>
      </w:r>
    </w:p>
    <w:p>
      <w:pPr>
        <w:pStyle w:val="Normal"/>
        <w:rPr/>
      </w:pPr>
      <w:r>
        <w:rPr/>
        <w:t>Announced 28 August 2001 by Finance Minister Shiokawa to support Supply Chain Management while enforcing Japanese customs laws.  Has four major goals:</w:t>
      </w:r>
    </w:p>
    <w:p>
      <w:pPr>
        <w:pStyle w:val="Normal"/>
        <w:rPr/>
      </w:pPr>
      <w:r>
        <w:rPr/>
      </w:r>
    </w:p>
    <w:p>
      <w:pPr>
        <w:pStyle w:val="Normal"/>
        <w:numPr>
          <w:ilvl w:val="0"/>
          <w:numId w:val="4"/>
        </w:numPr>
        <w:rPr/>
      </w:pPr>
      <w:r>
        <w:rPr/>
        <w:t>Develop a “comprehensive computer interface system that incorporates the Nippon Automated Cargo Clearance System (NACCS) and other trade-related administrative procedures”.</w:t>
      </w:r>
    </w:p>
    <w:p>
      <w:pPr>
        <w:pStyle w:val="Normal"/>
        <w:numPr>
          <w:ilvl w:val="0"/>
          <w:numId w:val="4"/>
        </w:numPr>
        <w:rPr/>
      </w:pPr>
      <w:r>
        <w:rPr/>
        <w:t>Smooth the implementation of the union agreement to extend port operating hours – no commitment to 24 hours ops.</w:t>
      </w:r>
    </w:p>
    <w:p>
      <w:pPr>
        <w:pStyle w:val="Normal"/>
        <w:numPr>
          <w:ilvl w:val="0"/>
          <w:numId w:val="4"/>
        </w:numPr>
        <w:rPr/>
      </w:pPr>
      <w:r>
        <w:rPr/>
        <w:t>Implement 24 hour customs operations and access to the Customs Intelligence Database</w:t>
      </w:r>
    </w:p>
    <w:p>
      <w:pPr>
        <w:pStyle w:val="Normal"/>
        <w:numPr>
          <w:ilvl w:val="0"/>
          <w:numId w:val="4"/>
        </w:numPr>
        <w:rPr/>
      </w:pPr>
      <w:r>
        <w:rPr/>
        <w:t>Promote “Pre-Arrival Examination: and “Simplified Declaration” procedures</w:t>
      </w:r>
    </w:p>
    <w:p>
      <w:pPr>
        <w:pStyle w:val="Normal"/>
        <w:rPr/>
      </w:pPr>
      <w:r>
        <w:rPr/>
      </w:r>
    </w:p>
    <w:p>
      <w:pPr>
        <w:pStyle w:val="Normal"/>
        <w:autoSpaceDE w:val="false"/>
        <w:rPr>
          <w:szCs w:val="20"/>
        </w:rPr>
      </w:pPr>
      <w:r>
        <w:rPr>
          <w:szCs w:val="20"/>
        </w:rPr>
      </w:r>
      <w:r>
        <w:br w:type="page"/>
      </w:r>
    </w:p>
    <w:p>
      <w:pPr>
        <w:pStyle w:val="Normal"/>
        <w:rPr>
          <w:szCs w:val="20"/>
        </w:rPr>
      </w:pPr>
      <w:r>
        <w:rPr>
          <w:szCs w:val="20"/>
        </w:rPr>
      </w:r>
    </w:p>
    <w:p>
      <w:pPr>
        <w:pStyle w:val="Heading1"/>
        <w:ind w:hanging="0" w:start="0"/>
        <w:rPr/>
      </w:pPr>
      <w:bookmarkStart w:id="0" w:name="_Customs_Appendix"/>
      <w:bookmarkStart w:id="1" w:name="_Appendix"/>
      <w:bookmarkEnd w:id="0"/>
      <w:bookmarkEnd w:id="1"/>
      <w:r>
        <w:rPr/>
        <w:t>Customs Appendix</w:t>
      </w:r>
    </w:p>
    <w:p>
      <w:pPr>
        <w:pStyle w:val="Normal"/>
        <w:autoSpaceDE w:val="false"/>
        <w:rPr>
          <w:szCs w:val="26"/>
        </w:rPr>
      </w:pPr>
      <w:r>
        <w:rPr>
          <w:szCs w:val="26"/>
        </w:rPr>
      </w:r>
    </w:p>
    <w:p>
      <w:pPr>
        <w:pStyle w:val="Heading2"/>
        <w:ind w:hanging="0" w:start="0"/>
        <w:rPr>
          <w:rFonts w:ascii="Times New Roman" w:hAnsi="Times New Roman" w:cs="Times New Roman"/>
          <w:sz w:val="24"/>
        </w:rPr>
      </w:pPr>
      <w:r>
        <w:rPr>
          <w:rFonts w:cs="Times New Roman" w:ascii="Times New Roman" w:hAnsi="Times New Roman"/>
          <w:sz w:val="24"/>
        </w:rPr>
        <w:t>Export Related Laws</w:t>
      </w:r>
    </w:p>
    <w:p>
      <w:pPr>
        <w:pStyle w:val="Normal"/>
        <w:autoSpaceDE w:val="false"/>
        <w:rPr>
          <w:rFonts w:ascii="Times New Roman" w:hAnsi="Times New Roman" w:cs="Times New Roman"/>
          <w:sz w:val="24"/>
          <w:szCs w:val="26"/>
          <w:u w:val="single"/>
        </w:rPr>
      </w:pPr>
      <w:r>
        <w:rPr>
          <w:rFonts w:cs="Times New Roman"/>
          <w:sz w:val="24"/>
          <w:szCs w:val="26"/>
          <w:u w:val="single"/>
        </w:rPr>
      </w:r>
    </w:p>
    <w:p>
      <w:pPr>
        <w:pStyle w:val="Normal"/>
        <w:autoSpaceDE w:val="false"/>
        <w:rPr>
          <w:szCs w:val="26"/>
        </w:rPr>
      </w:pPr>
      <w:r>
        <w:rPr>
          <w:szCs w:val="26"/>
        </w:rPr>
        <w:t>(1) Export Trade Control Order</w:t>
      </w:r>
    </w:p>
    <w:p>
      <w:pPr>
        <w:pStyle w:val="Normal"/>
        <w:autoSpaceDE w:val="false"/>
        <w:rPr>
          <w:szCs w:val="26"/>
        </w:rPr>
      </w:pPr>
      <w:r>
        <w:rPr>
          <w:szCs w:val="26"/>
        </w:rPr>
        <w:t>(2) Foreign Exchange Order</w:t>
      </w:r>
    </w:p>
    <w:p>
      <w:pPr>
        <w:pStyle w:val="Normal"/>
        <w:autoSpaceDE w:val="false"/>
        <w:rPr>
          <w:szCs w:val="26"/>
        </w:rPr>
      </w:pPr>
      <w:r>
        <w:rPr>
          <w:szCs w:val="26"/>
        </w:rPr>
        <w:t>(3) Export-Import Trading Law [no impact on exports]</w:t>
      </w:r>
    </w:p>
    <w:p>
      <w:pPr>
        <w:pStyle w:val="Normal"/>
        <w:autoSpaceDE w:val="false"/>
        <w:rPr>
          <w:szCs w:val="26"/>
        </w:rPr>
      </w:pPr>
      <w:r>
        <w:rPr>
          <w:szCs w:val="26"/>
        </w:rPr>
        <w:t>(4) Law for the Protection of Cultural Properties</w:t>
      </w:r>
    </w:p>
    <w:p>
      <w:pPr>
        <w:pStyle w:val="Normal"/>
        <w:autoSpaceDE w:val="false"/>
        <w:rPr>
          <w:szCs w:val="26"/>
        </w:rPr>
      </w:pPr>
      <w:r>
        <w:rPr>
          <w:szCs w:val="26"/>
        </w:rPr>
        <w:t>(5) Forest Seedling Law [no impact on exports]</w:t>
      </w:r>
    </w:p>
    <w:p>
      <w:pPr>
        <w:pStyle w:val="Normal"/>
        <w:autoSpaceDE w:val="false"/>
        <w:rPr>
          <w:szCs w:val="26"/>
        </w:rPr>
      </w:pPr>
      <w:r>
        <w:rPr>
          <w:szCs w:val="26"/>
        </w:rPr>
        <w:t>(6) Law Concerning Wildlife Protection and Hunting</w:t>
      </w:r>
    </w:p>
    <w:p>
      <w:pPr>
        <w:pStyle w:val="Normal"/>
        <w:autoSpaceDE w:val="false"/>
        <w:rPr>
          <w:szCs w:val="26"/>
        </w:rPr>
      </w:pPr>
      <w:r>
        <w:rPr>
          <w:szCs w:val="26"/>
        </w:rPr>
        <w:t>(7) Narcotics and Psychotropics Control Law</w:t>
      </w:r>
    </w:p>
    <w:p>
      <w:pPr>
        <w:pStyle w:val="Normal"/>
        <w:autoSpaceDE w:val="false"/>
        <w:rPr>
          <w:szCs w:val="26"/>
        </w:rPr>
      </w:pPr>
      <w:r>
        <w:rPr>
          <w:szCs w:val="26"/>
        </w:rPr>
        <w:t>(8) Cannabis Control Law</w:t>
      </w:r>
    </w:p>
    <w:p>
      <w:pPr>
        <w:pStyle w:val="Normal"/>
        <w:autoSpaceDE w:val="false"/>
        <w:rPr>
          <w:szCs w:val="26"/>
        </w:rPr>
      </w:pPr>
      <w:r>
        <w:rPr>
          <w:szCs w:val="26"/>
        </w:rPr>
        <w:t>(9) Opium Law</w:t>
      </w:r>
    </w:p>
    <w:p>
      <w:pPr>
        <w:pStyle w:val="Normal"/>
        <w:autoSpaceDE w:val="false"/>
        <w:rPr>
          <w:szCs w:val="26"/>
        </w:rPr>
      </w:pPr>
      <w:r>
        <w:rPr>
          <w:szCs w:val="26"/>
        </w:rPr>
        <w:t>(10) Stimulant Drugs Control Law</w:t>
      </w:r>
    </w:p>
    <w:p>
      <w:pPr>
        <w:pStyle w:val="Normal"/>
        <w:autoSpaceDE w:val="false"/>
        <w:rPr>
          <w:szCs w:val="26"/>
        </w:rPr>
      </w:pPr>
      <w:r>
        <w:rPr>
          <w:szCs w:val="26"/>
        </w:rPr>
        <w:t>(11) Rabies Prevention Law</w:t>
      </w:r>
    </w:p>
    <w:p>
      <w:pPr>
        <w:pStyle w:val="Normal"/>
        <w:autoSpaceDE w:val="false"/>
        <w:rPr>
          <w:szCs w:val="26"/>
        </w:rPr>
      </w:pPr>
      <w:r>
        <w:rPr>
          <w:szCs w:val="26"/>
        </w:rPr>
        <w:t>(12) Plant Quarantine Law</w:t>
      </w:r>
    </w:p>
    <w:p>
      <w:pPr>
        <w:pStyle w:val="Normal"/>
        <w:autoSpaceDE w:val="false"/>
        <w:rPr>
          <w:szCs w:val="26"/>
        </w:rPr>
      </w:pPr>
      <w:r>
        <w:rPr>
          <w:szCs w:val="26"/>
        </w:rPr>
        <w:t>(13) Domestic Animal Infections Disease Control Law</w:t>
      </w:r>
    </w:p>
    <w:p>
      <w:pPr>
        <w:pStyle w:val="Normal"/>
        <w:rPr>
          <w:szCs w:val="26"/>
        </w:rPr>
      </w:pPr>
      <w:r>
        <w:rPr>
          <w:szCs w:val="26"/>
        </w:rPr>
        <w:t>(14) Narcotic Drugs and Psychotropic Substances Control Law</w:t>
      </w:r>
    </w:p>
    <w:p>
      <w:pPr>
        <w:pStyle w:val="Normal"/>
        <w:rPr>
          <w:szCs w:val="26"/>
        </w:rPr>
      </w:pPr>
      <w:r>
        <w:rPr>
          <w:szCs w:val="26"/>
        </w:rPr>
      </w:r>
    </w:p>
    <w:p>
      <w:pPr>
        <w:pStyle w:val="Heading2"/>
        <w:autoSpaceDE w:val="true"/>
        <w:ind w:hanging="0" w:start="0"/>
        <w:rPr>
          <w:rFonts w:ascii="Times New Roman" w:hAnsi="Times New Roman" w:cs="Times New Roman"/>
          <w:sz w:val="24"/>
        </w:rPr>
      </w:pPr>
      <w:r>
        <w:rPr>
          <w:rFonts w:cs="Times New Roman" w:ascii="Times New Roman" w:hAnsi="Times New Roman"/>
          <w:sz w:val="24"/>
        </w:rPr>
        <w:t>Import Documentation</w:t>
      </w:r>
    </w:p>
    <w:p>
      <w:pPr>
        <w:pStyle w:val="Normal"/>
        <w:rPr>
          <w:rFonts w:ascii="Times New Roman" w:hAnsi="Times New Roman" w:cs="Times New Roman"/>
          <w:sz w:val="24"/>
          <w:u w:val="single"/>
        </w:rPr>
      </w:pPr>
      <w:r>
        <w:rPr>
          <w:rFonts w:cs="Times New Roman"/>
          <w:sz w:val="24"/>
          <w:u w:val="single"/>
        </w:rPr>
      </w:r>
    </w:p>
    <w:p>
      <w:pPr>
        <w:pStyle w:val="Normal"/>
        <w:numPr>
          <w:ilvl w:val="0"/>
          <w:numId w:val="2"/>
        </w:numPr>
        <w:autoSpaceDE w:val="false"/>
        <w:rPr>
          <w:szCs w:val="26"/>
        </w:rPr>
      </w:pPr>
      <w:r>
        <w:rPr>
          <w:szCs w:val="26"/>
        </w:rPr>
        <w:t>Invoice</w:t>
      </w:r>
    </w:p>
    <w:p>
      <w:pPr>
        <w:pStyle w:val="Normal"/>
        <w:numPr>
          <w:ilvl w:val="0"/>
          <w:numId w:val="2"/>
        </w:numPr>
        <w:autoSpaceDE w:val="false"/>
        <w:rPr>
          <w:szCs w:val="26"/>
        </w:rPr>
      </w:pPr>
      <w:r>
        <w:rPr>
          <w:szCs w:val="26"/>
        </w:rPr>
        <w:t>Packing lists, freight accounts, insurance certificates, etc. (where deemed necessary</w:t>
      </w:r>
    </w:p>
    <w:p>
      <w:pPr>
        <w:pStyle w:val="Normal"/>
        <w:numPr>
          <w:ilvl w:val="0"/>
          <w:numId w:val="2"/>
        </w:numPr>
        <w:autoSpaceDE w:val="false"/>
        <w:rPr>
          <w:szCs w:val="26"/>
        </w:rPr>
      </w:pPr>
      <w:r>
        <w:rPr>
          <w:szCs w:val="26"/>
        </w:rPr>
        <w:t>The Certificate of origin (where a WTO rate is applicable)</w:t>
      </w:r>
    </w:p>
    <w:p>
      <w:pPr>
        <w:pStyle w:val="Normal"/>
        <w:numPr>
          <w:ilvl w:val="0"/>
          <w:numId w:val="2"/>
        </w:numPr>
        <w:autoSpaceDE w:val="false"/>
        <w:rPr>
          <w:szCs w:val="26"/>
        </w:rPr>
      </w:pPr>
      <w:r>
        <w:rPr>
          <w:szCs w:val="26"/>
        </w:rPr>
        <w:t>Generalised system of preferences certificates of origin (Form A) (where a preferential rate is applicable)</w:t>
      </w:r>
    </w:p>
    <w:p>
      <w:pPr>
        <w:pStyle w:val="Normal"/>
        <w:numPr>
          <w:ilvl w:val="0"/>
          <w:numId w:val="2"/>
        </w:numPr>
        <w:autoSpaceDE w:val="false"/>
        <w:rPr>
          <w:szCs w:val="26"/>
        </w:rPr>
      </w:pPr>
      <w:r>
        <w:rPr>
          <w:szCs w:val="26"/>
        </w:rPr>
        <w:t>Licenses, certificates, etc. required by laws and regulations other than the Customs Law (when the importation of certain goods is restricted under such laws and regulations)</w:t>
      </w:r>
    </w:p>
    <w:p>
      <w:pPr>
        <w:pStyle w:val="Normal"/>
        <w:numPr>
          <w:ilvl w:val="0"/>
          <w:numId w:val="2"/>
        </w:numPr>
        <w:autoSpaceDE w:val="false"/>
        <w:rPr>
          <w:szCs w:val="20"/>
        </w:rPr>
      </w:pPr>
      <w:r>
        <w:rPr>
          <w:szCs w:val="26"/>
        </w:rPr>
        <w:t>Detailed statement on reductions of, or exemption from Customs duty and excise tax (when such reduction or exemption is applicable to the goods)</w:t>
      </w:r>
    </w:p>
    <w:p>
      <w:pPr>
        <w:pStyle w:val="Normal"/>
        <w:numPr>
          <w:ilvl w:val="0"/>
          <w:numId w:val="2"/>
        </w:numPr>
        <w:autoSpaceDE w:val="false"/>
        <w:rPr>
          <w:szCs w:val="20"/>
        </w:rPr>
      </w:pPr>
      <w:r>
        <w:rPr>
          <w:szCs w:val="26"/>
        </w:rPr>
        <w:t>Customs duty payment slips (when goods are dutiable)</w:t>
      </w:r>
    </w:p>
    <w:p>
      <w:pPr>
        <w:pStyle w:val="Normal"/>
        <w:rPr>
          <w:szCs w:val="20"/>
          <w:u w:val="single"/>
        </w:rPr>
      </w:pPr>
      <w:r>
        <w:rPr>
          <w:szCs w:val="20"/>
          <w:u w:val="single"/>
        </w:rPr>
      </w:r>
    </w:p>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NewRoman">
    <w:altName w:val="Times New Roman"/>
    <w:charset w:val="00" w:characterSet="windows-1252"/>
    <w:family w:val="roman"/>
    <w:pitch w:val="default"/>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Unicode MS">
    <w:charset w:val="80"/>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HTMLPreformatted"/>
        <w:rPr/>
      </w:pPr>
      <w:r>
        <w:rPr>
          <w:rStyle w:val="FootnoteCharacters"/>
        </w:rPr>
        <w:footnoteRef/>
      </w:r>
      <w:r>
        <w:rPr>
          <w:rFonts w:cs="Times New Roman" w:ascii="Times New Roman" w:hAnsi="Times New Roman"/>
        </w:rPr>
        <w:t xml:space="preserve"> </w:t>
      </w:r>
      <w:r>
        <w:rPr>
          <w:rFonts w:cs="Times New Roman" w:ascii="Times New Roman" w:hAnsi="Times New Roman"/>
        </w:rPr>
        <w:t>JHTA is an association of companies providing harbor transportation services, including terminal operators, stevedores, and sworn measurers.  .</w:t>
      </w:r>
    </w:p>
    <w:p>
      <w:pPr>
        <w:pStyle w:val="FootnoteText"/>
        <w:rPr>
          <w:rFonts w:ascii="Times New Roman" w:hAnsi="Times New Roman" w:cs="Times New Roman"/>
        </w:rPr>
      </w:pPr>
      <w:r>
        <w:rPr>
          <w:rFonts w:cs="Times New Roman"/>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decimal"/>
      <w:lvlText w:val="%1."/>
      <w:lvlJc w:val="start"/>
      <w:pPr>
        <w:tabs>
          <w:tab w:val="num" w:pos="720"/>
        </w:tabs>
        <w:ind w:start="720" w:hanging="360"/>
      </w:pPr>
    </w:lvl>
    <w:lvl w:ilvl="1">
      <w:start w:val="1"/>
      <w:numFmt w:val="bullet"/>
      <w:lvlText w:val=""/>
      <w:lvlJc w:val="start"/>
      <w:pPr>
        <w:tabs>
          <w:tab w:val="num" w:pos="1440"/>
        </w:tabs>
        <w:ind w:start="1440" w:hanging="360"/>
      </w:pPr>
      <w:rPr>
        <w:rFonts w:ascii="Symbol" w:hAnsi="Symbol" w:cs="Symbol" w:hint="default"/>
      </w:rPr>
    </w:lvl>
    <w:lvl w:ilvl="2">
      <w:start w:val="1"/>
      <w:numFmt w:val="decimal"/>
      <w:lvlText w:val="%3."/>
      <w:lvlJc w:val="start"/>
      <w:pPr>
        <w:tabs>
          <w:tab w:val="num" w:pos="2340"/>
        </w:tabs>
        <w:ind w:start="2340" w:hanging="36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2"/>
      <w:numFmt w:val="bullet"/>
      <w:lvlText w:val="–"/>
      <w:lvlJc w:val="start"/>
      <w:pPr>
        <w:tabs>
          <w:tab w:val="num" w:pos="720"/>
        </w:tabs>
        <w:ind w:start="720" w:hanging="360"/>
      </w:pPr>
      <w:rPr>
        <w:rFonts w:ascii="Times New Roman" w:hAnsi="Times New Roman" w:cs="Times New Roman"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autoSpaceDE w:val="false"/>
      <w:outlineLvl w:val="1"/>
    </w:pPr>
    <w:rPr>
      <w:rFonts w:ascii="TimesNewRoman;Times New Roman" w:hAnsi="TimesNewRoman;Times New Roman" w:cs="TimesNewRoman;Times New Roman"/>
      <w:sz w:val="26"/>
      <w:szCs w:val="26"/>
      <w:u w:val="single"/>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1">
    <w:name w:val="WW8Num2z1"/>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Times New Roman" w:hAnsi="Times New Roman" w:eastAsia="Times New Roman"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sz w:val="20"/>
      <w:szCs w:val="20"/>
    </w:rPr>
  </w:style>
  <w:style w:type="paragraph" w:styleId="FootnoteText">
    <w:name w:val="footnote text"/>
    <w:basedOn w:val="Normal"/>
    <w:pPr/>
    <w:rPr>
      <w:sz w:val="20"/>
      <w:szCs w:val="20"/>
    </w:rPr>
  </w:style>
  <w:style w:type="paragraph" w:styleId="NormalWeb">
    <w:name w:val="Normal (Web)"/>
    <w:basedOn w:val="Normal"/>
    <w:qFormat/>
    <w:pPr>
      <w:spacing w:before="100" w:after="100"/>
    </w:pPr>
    <w:rPr>
      <w:rFonts w:ascii="Arial Unicode MS" w:hAnsi="Arial Unicode MS" w:eastAsia="Arial Unicode MS" w:cs="Arial Unicode M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meti.go.jp/english/index.html" TargetMode="External"/><Relationship Id="rId3" Type="http://schemas.openxmlformats.org/officeDocument/2006/relationships/hyperlink" Target="http://www.maff.go.jp/eindex.html" TargetMode="Externa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1302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2001-11-13T05:37:00Z</dcterms:created>
  <dc:creator>mgrimes</dc:creator>
  <dc:description/>
  <dc:language>en-CA</dc:language>
  <cp:lastModifiedBy>mgrimes</cp:lastModifiedBy>
  <cp:lastPrinted>2001-11-15T10:39:00Z</cp:lastPrinted>
  <dcterms:modified xsi:type="dcterms:W3CDTF">2001-11-15T05:31:00Z</dcterms:modified>
  <cp:revision>6</cp:revision>
  <dc:subject/>
  <dc:title>Japan has the reputation of limiting imports</dc:title>
</cp:coreProperties>
</file>