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00" w:after="100"/>
        <w:jc w:val="end"/>
        <w:outlineLvl w:val="0"/>
        <w:rPr>
          <w:sz w:val="20"/>
        </w:rPr>
      </w:pPr>
      <w:r>
        <w:rPr>
          <w:sz w:val="20"/>
        </w:rPr>
      </w:r>
    </w:p>
    <w:p>
      <w:pPr>
        <w:pStyle w:val="Normal"/>
        <w:numPr>
          <w:ilvl w:val="0"/>
          <w:numId w:val="0"/>
        </w:numPr>
        <w:jc w:val="center"/>
        <w:outlineLvl w:val="0"/>
        <w:rPr>
          <w:rFonts w:ascii="Arial" w:hAnsi="Arial" w:cs="Arial"/>
          <w:b/>
          <w:sz w:val="20"/>
        </w:rPr>
      </w:pPr>
      <w:r>
        <w:rPr>
          <w:rFonts w:cs="Arial" w:ascii="Arial" w:hAnsi="Arial"/>
          <w:b/>
          <w:sz w:val="20"/>
        </w:rPr>
        <w:t>ENRON NORTH AMERICA CORP.</w:t>
      </w:r>
    </w:p>
    <w:p>
      <w:pPr>
        <w:pStyle w:val="Normal"/>
        <w:numPr>
          <w:ilvl w:val="0"/>
          <w:numId w:val="0"/>
        </w:numPr>
        <w:jc w:val="center"/>
        <w:outlineLvl w:val="0"/>
        <w:rPr/>
      </w:pPr>
      <w:r>
        <w:rPr>
          <w:rFonts w:cs="Arial" w:ascii="Arial" w:hAnsi="Arial"/>
          <w:b/>
          <w:caps/>
          <w:sz w:val="20"/>
        </w:rPr>
        <w:t>Foreign Currency</w:t>
      </w:r>
      <w:r>
        <w:rPr>
          <w:rFonts w:cs="Arial" w:ascii="Arial" w:hAnsi="Arial"/>
          <w:b/>
          <w:sz w:val="20"/>
        </w:rPr>
        <w:t xml:space="preserve"> SWAP</w:t>
      </w:r>
    </w:p>
    <w:p>
      <w:pPr>
        <w:pStyle w:val="Normal"/>
        <w:numPr>
          <w:ilvl w:val="0"/>
          <w:numId w:val="0"/>
        </w:numPr>
        <w:jc w:val="center"/>
        <w:outlineLvl w:val="0"/>
        <w:rPr>
          <w:rFonts w:ascii="Arial" w:hAnsi="Arial" w:cs="Arial"/>
          <w:b/>
          <w:sz w:val="20"/>
        </w:rPr>
      </w:pPr>
      <w:r>
        <w:rPr>
          <w:rFonts w:cs="Arial" w:ascii="Arial" w:hAnsi="Arial"/>
          <w:b/>
          <w:sz w:val="20"/>
        </w:rPr>
        <w:t>GENERAL TERMS AND CONDITIONS ("GTC")</w:t>
      </w:r>
    </w:p>
    <w:p>
      <w:pPr>
        <w:pStyle w:val="Normal"/>
        <w:jc w:val="both"/>
        <w:rPr>
          <w:rFonts w:ascii="Arial" w:hAnsi="Arial" w:cs="Arial"/>
          <w:sz w:val="20"/>
        </w:rPr>
      </w:pPr>
      <w:r>
        <w:rPr>
          <w:rFonts w:cs="Arial" w:ascii="Arial" w:hAnsi="Arial"/>
          <w:sz w:val="20"/>
        </w:rPr>
        <w:t>  </w:t>
      </w:r>
    </w:p>
    <w:p>
      <w:pPr>
        <w:pStyle w:val="Normal"/>
        <w:jc w:val="both"/>
        <w:rPr>
          <w:rFonts w:ascii="Arial" w:hAnsi="Arial" w:cs="Arial"/>
          <w:sz w:val="20"/>
        </w:rPr>
      </w:pPr>
      <w:r>
        <w:rPr>
          <w:rFonts w:cs="Arial" w:ascii="Arial" w:hAnsi="Arial"/>
          <w:sz w:val="20"/>
        </w:rPr>
        <w:t>1.</w:t>
        <w:tab/>
        <w:t>Until a relevant master agreement is executed between you ("Counterparty") and Enron North America Corp. ("Enron"), this GTC will set forth the general terms and conditions governing all Foreign Currency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2000 ISDA Definitions (the “Definitions”) as published by the International Swaps and Derivatives Association, Inc., as such Definitions may be amended, supplemented, replaced or modified from time to time, are incorporated into this GTC. In the event of any inconsistency between the Definitions and this GTC, this GTC will prevail. Capitalized terms used herein but not defined herein or in the Definitions or the ISDA Form, defined hereinbelow, are used with the meanings given on the website which makes reference to this GTC (the "Website").</w:t>
      </w:r>
    </w:p>
    <w:p>
      <w:pPr>
        <w:pStyle w:val="Normal"/>
        <w:jc w:val="both"/>
        <w:rPr/>
      </w:pPr>
      <w:r>
        <w:rPr>
          <w:rFonts w:cs="Arial" w:ascii="Arial" w:hAnsi="Arial"/>
          <w:sz w:val="20"/>
        </w:rPr>
        <w:t>2.</w:t>
        <w:tab/>
      </w:r>
      <w:r>
        <w:rPr>
          <w:rFonts w:cs="Arial" w:ascii="Arial" w:hAnsi="Arial"/>
          <w:b/>
          <w:sz w:val="20"/>
          <w:u w:val="single"/>
        </w:rPr>
        <w:t>General</w:t>
      </w:r>
      <w:r>
        <w:rPr>
          <w:rFonts w:cs="Arial" w:ascii="Arial" w:hAnsi="Arial"/>
          <w:b/>
          <w:sz w:val="20"/>
        </w:rPr>
        <w:t>.</w:t>
      </w:r>
      <w:r>
        <w:rPr>
          <w:rFonts w:cs="Arial" w:ascii="Arial" w:hAnsi="Arial"/>
          <w:sz w:val="20"/>
        </w:rPr>
        <w:t xml:space="preserve"> "Transaction" as used herein shall mean this GTC (together with the ISDA Form) taken together with the terms set forth on the Website submitted by Counterparty and accepted by Enron. The Transaction is subject to the terms and conditions of the printed form of the 1992 Master Agreement (Multicurrency-Cross Border) published by ISDA (the "ISDA Form") as modified by this GTC (the "ISDA Agreement"). Each party acknowledges that it has a copy of the ISDA Form and it has read and understands the terms and conditions thereof. In the event of any inconsistency among or between the ISDA Form, the Definitions (as defined above), and this GTC, this GTC will govern. In addition, Enron and Counterparty agree to promptly negotiate in good faith and enter into a master agreement as soon as reasonably possible in the form of the ISDA Form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this Transaction shall be governed by the terms and conditions of the ISDA Form as modified by this GTC.</w:t>
      </w:r>
    </w:p>
    <w:p>
      <w:pPr>
        <w:pStyle w:val="Normal"/>
        <w:jc w:val="both"/>
        <w:rPr>
          <w:rFonts w:ascii="Arial" w:hAnsi="Arial" w:cs="Arial"/>
          <w:sz w:val="20"/>
        </w:rPr>
      </w:pPr>
      <w:r>
        <w:rPr>
          <w:rFonts w:cs="Arial" w:ascii="Arial" w:hAnsi="Arial"/>
          <w:sz w:val="20"/>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 Without limiting the applicability of any terms and conditions of the ISDA Agreement as set forth above, the parties expressly acknowledge and agree that (a) their payment obligations pursuant to this Transaction are subject to the terms and conditions of Section 2(d) of the ISDA Agreement (Deduction or Withholding for Tax) and (b) the representation and warranty set forth in Section 4(a)(iii) below is made for the purpose of Section 3(f) of the ISDA Agreement (Payee Tax Representations).</w:t>
      </w:r>
    </w:p>
    <w:p>
      <w:pPr>
        <w:pStyle w:val="Normal"/>
        <w:jc w:val="both"/>
        <w:rPr/>
      </w:pPr>
      <w:r>
        <w:rPr>
          <w:rFonts w:cs="Arial" w:ascii="Arial" w:hAnsi="Arial"/>
          <w:sz w:val="20"/>
        </w:rPr>
        <w:t>3.</w:t>
        <w:tab/>
      </w:r>
      <w:r>
        <w:rPr>
          <w:rFonts w:cs="Arial" w:ascii="Arial" w:hAnsi="Arial"/>
          <w:b/>
          <w:sz w:val="20"/>
          <w:u w:val="single"/>
        </w:rPr>
        <w:t>Representations</w:t>
      </w:r>
      <w:r>
        <w:rPr>
          <w:rFonts w:cs="Arial" w:ascii="Arial" w:hAnsi="Arial"/>
          <w:b/>
          <w:sz w:val="20"/>
        </w:rPr>
        <w:t>.</w:t>
      </w:r>
      <w:r>
        <w:rPr>
          <w:rFonts w:cs="Arial" w:ascii="Arial" w:hAnsi="Arial"/>
          <w:sz w:val="20"/>
        </w:rPr>
        <w:t xml:space="preserve"> To induce the other to enter into this Transaction, each party represents and warrants to the other that: (a) </w:t>
      </w:r>
      <w:r>
        <w:rPr>
          <w:rFonts w:cs="Arial" w:ascii="Arial" w:hAnsi="Arial"/>
          <w:sz w:val="20"/>
          <w:u w:val="single"/>
        </w:rPr>
        <w:t>Authority</w:t>
      </w:r>
      <w:r>
        <w:rPr>
          <w:rFonts w:cs="Arial" w:ascii="Arial" w:hAnsi="Arial"/>
          <w:sz w:val="20"/>
        </w:rPr>
        <w:t xml:space="preserve">: (i) the execution, delivery and performance of this Transaction have been duly authorized by all necessary corporate or other organization action on its part and (ii) this Transaction represents its legally valid and binding obligation, enforceable against it in accordance with its terms; (b) </w:t>
      </w:r>
      <w:r>
        <w:rPr>
          <w:rFonts w:cs="Arial" w:ascii="Arial" w:hAnsi="Arial"/>
          <w:sz w:val="20"/>
          <w:u w:val="single"/>
        </w:rPr>
        <w:t>Eligible Participant</w:t>
      </w:r>
      <w:r>
        <w:rPr>
          <w:rFonts w:cs="Arial" w:ascii="Arial" w:hAnsi="Arial"/>
          <w:sz w:val="20"/>
        </w:rPr>
        <w:t xml:space="preserve">: it constitutes an "eligible contract participant" as such term is defined in the Commodity Exchange Act, as amended, 7 U.S.C. Section 1(a)(12) and (ii) constitutes an “eligible commercial entity” as such term is defined in the Commodity Exchange Act, as amended, 7 U.S.C. Section 1a(11); (c) </w:t>
      </w:r>
      <w:r>
        <w:rPr>
          <w:rFonts w:cs="Arial" w:ascii="Arial" w:hAnsi="Arial"/>
          <w:sz w:val="20"/>
          <w:u w:val="single"/>
        </w:rPr>
        <w:t>Line of Business</w:t>
      </w:r>
      <w:r>
        <w:rPr>
          <w:rFonts w:cs="Arial" w:ascii="Arial" w:hAnsi="Arial"/>
          <w:sz w:val="20"/>
        </w:rPr>
        <w:t xml:space="preserve">: as of the Trade Date it is: (i) exposed in the conduct of its business to the risk of variations in temperature of the kind reflected in this Transaction and (ii) entering into this Transaction solely to offset or manage that risk; and (d) </w:t>
      </w:r>
      <w:r>
        <w:rPr>
          <w:rFonts w:cs="Arial" w:ascii="Arial" w:hAnsi="Arial"/>
          <w:sz w:val="20"/>
          <w:u w:val="single"/>
        </w:rPr>
        <w:t>No Reliance and No Advisory Status</w:t>
      </w:r>
      <w:r>
        <w:rPr>
          <w:rFonts w:cs="Arial" w:ascii="Arial" w:hAnsi="Arial"/>
          <w:sz w:val="20"/>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the ISDA Agreement,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Fonts w:cs="Arial" w:ascii="Arial" w:hAnsi="Arial"/>
          <w:sz w:val="20"/>
        </w:rPr>
        <w:t>4.</w:t>
        <w:tab/>
      </w:r>
      <w:r>
        <w:rPr>
          <w:rFonts w:cs="Arial" w:ascii="Arial" w:hAnsi="Arial"/>
          <w:b/>
          <w:sz w:val="20"/>
          <w:u w:val="single"/>
        </w:rPr>
        <w:t>Early Termination</w:t>
      </w:r>
      <w:r>
        <w:rPr>
          <w:rFonts w:cs="Arial" w:ascii="Arial" w:hAnsi="Arial"/>
          <w:b/>
          <w:sz w:val="20"/>
        </w:rPr>
        <w:t>.</w:t>
      </w:r>
      <w:r>
        <w:rPr>
          <w:rFonts w:cs="Arial" w:ascii="Arial" w:hAnsi="Arial"/>
          <w:sz w:val="20"/>
        </w:rPr>
        <w:t xml:space="preserve"> For purposes of Section 6(e) of the ISDA Agreement, the Second Method and Loss shall apply.</w:t>
      </w:r>
    </w:p>
    <w:p>
      <w:pPr>
        <w:pStyle w:val="Normal"/>
        <w:jc w:val="both"/>
        <w:rPr/>
      </w:pPr>
      <w:r>
        <w:rPr>
          <w:rFonts w:cs="Arial" w:ascii="Arial" w:hAnsi="Arial"/>
          <w:sz w:val="20"/>
        </w:rPr>
        <w:t>5.</w:t>
        <w:tab/>
      </w:r>
      <w:r>
        <w:rPr>
          <w:rFonts w:cs="Arial" w:ascii="Arial" w:hAnsi="Arial"/>
          <w:b/>
          <w:sz w:val="20"/>
          <w:u w:val="single"/>
        </w:rPr>
        <w:t>Governing Law/Jurisdiction</w:t>
      </w:r>
      <w:r>
        <w:rPr>
          <w:rFonts w:cs="Arial" w:ascii="Arial" w:hAnsi="Arial"/>
          <w:b/>
          <w:sz w:val="20"/>
        </w:rPr>
        <w:t>.</w:t>
      </w:r>
      <w:r>
        <w:rPr>
          <w:rFonts w:cs="Arial" w:ascii="Arial" w:hAnsi="Arial"/>
          <w:sz w:val="20"/>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w:t>
      </w:r>
    </w:p>
    <w:p>
      <w:pPr>
        <w:pStyle w:val="Normal"/>
        <w:jc w:val="both"/>
        <w:rPr/>
      </w:pPr>
      <w:r>
        <w:rPr>
          <w:rFonts w:cs="Arial" w:ascii="Arial" w:hAnsi="Arial"/>
          <w:sz w:val="20"/>
        </w:rPr>
        <w:t>6.</w:t>
        <w:tab/>
      </w:r>
      <w:r>
        <w:rPr>
          <w:rFonts w:cs="Arial" w:ascii="Arial" w:hAnsi="Arial"/>
          <w:b/>
          <w:sz w:val="20"/>
          <w:u w:val="single"/>
        </w:rPr>
        <w:t>Confidentiality</w:t>
      </w:r>
      <w:r>
        <w:rPr>
          <w:rFonts w:cs="Arial" w:ascii="Arial" w:hAnsi="Arial"/>
          <w:b/>
          <w:sz w:val="20"/>
        </w:rPr>
        <w:t>.</w:t>
      </w:r>
      <w:r>
        <w:rPr>
          <w:rFonts w:cs="Arial" w:ascii="Arial" w:hAnsi="Arial"/>
          <w:sz w:val="20"/>
        </w:rPr>
        <w:t xml:space="preserve"> This Transaction and any information made available by one party to the other party with respect to this Transaction is confidential and shall not be disclosed to any third party (nor shall any public announcement relating to this Transaction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Fonts w:cs="Arial" w:ascii="Arial" w:hAnsi="Arial"/>
          <w:sz w:val="20"/>
        </w:rPr>
        <w:t>7.</w:t>
        <w:tab/>
      </w:r>
      <w:r>
        <w:rPr>
          <w:rFonts w:cs="Arial" w:ascii="Arial" w:hAnsi="Arial"/>
          <w:b/>
          <w:sz w:val="20"/>
          <w:u w:val="single"/>
        </w:rPr>
        <w:t>Calculation Agent</w:t>
      </w:r>
      <w:r>
        <w:rPr>
          <w:rFonts w:cs="Arial" w:ascii="Arial" w:hAnsi="Arial"/>
          <w:b/>
          <w:sz w:val="20"/>
        </w:rPr>
        <w:t>.</w:t>
      </w:r>
      <w:r>
        <w:rPr>
          <w:rFonts w:cs="Arial" w:ascii="Arial" w:hAnsi="Arial"/>
          <w:sz w:val="20"/>
        </w:rPr>
        <w:t xml:space="preserve"> The Calculation Agent shall be Enron.</w:t>
      </w:r>
    </w:p>
    <w:p>
      <w:pPr>
        <w:pStyle w:val="Normal"/>
        <w:jc w:val="both"/>
        <w:rPr/>
      </w:pPr>
      <w:r>
        <w:rPr>
          <w:rFonts w:cs="Arial" w:ascii="Arial" w:hAnsi="Arial"/>
          <w:sz w:val="20"/>
        </w:rPr>
        <w:t>8.</w:t>
        <w:tab/>
      </w:r>
      <w:r>
        <w:rPr>
          <w:rFonts w:cs="Arial" w:ascii="Arial" w:hAnsi="Arial"/>
          <w:b/>
          <w:sz w:val="20"/>
          <w:u w:val="single"/>
        </w:rPr>
        <w:t>Netting of Payments</w:t>
      </w:r>
      <w:r>
        <w:rPr>
          <w:rFonts w:cs="Arial" w:ascii="Arial" w:hAnsi="Arial"/>
          <w:b/>
          <w:sz w:val="20"/>
        </w:rPr>
        <w:t>.</w:t>
      </w:r>
      <w:r>
        <w:rPr>
          <w:rFonts w:cs="Arial" w:ascii="Arial" w:hAnsi="Arial"/>
          <w:sz w:val="20"/>
        </w:rPr>
        <w:t xml:space="preserve"> Section 2(c)(ii) of the ISDA Agreement will not apply to all Transactions.</w:t>
      </w:r>
    </w:p>
    <w:p>
      <w:pPr>
        <w:pStyle w:val="Normal"/>
        <w:jc w:val="both"/>
        <w:rPr/>
      </w:pPr>
      <w:r>
        <w:rPr>
          <w:rFonts w:cs="Arial" w:ascii="Arial" w:hAnsi="Arial"/>
          <w:sz w:val="20"/>
        </w:rPr>
        <w:t>9.</w:t>
        <w:tab/>
      </w:r>
      <w:r>
        <w:rPr>
          <w:rFonts w:cs="Arial" w:ascii="Arial" w:hAnsi="Arial"/>
          <w:b/>
          <w:sz w:val="20"/>
          <w:u w:val="single"/>
        </w:rPr>
        <w:t>Limitation of Liability</w:t>
      </w:r>
      <w:r>
        <w:rPr>
          <w:rFonts w:cs="Arial" w:ascii="Arial" w:hAnsi="Arial"/>
          <w:b/>
          <w:sz w:val="20"/>
        </w:rPr>
        <w:t>.</w:t>
      </w:r>
      <w:r>
        <w:rPr>
          <w:rFonts w:cs="Arial" w:ascii="Arial" w:hAnsi="Arial"/>
          <w:sz w:val="20"/>
        </w:rPr>
        <w:t xml:space="preserve"> </w:t>
      </w:r>
      <w:r>
        <w:rPr>
          <w:rFonts w:cs="Arial" w:ascii="Arial" w:hAnsi="Arial"/>
          <w:b/>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THIS TRANSACTION ARE DEEMED TO BE SUCH DAMAGES. IF AND TO THE EXTENT ANY PAYMENT MADE PURSUANT TO THIS TRANSACTION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jc w:val="both"/>
        <w:rPr/>
      </w:pPr>
      <w:r>
        <w:rPr>
          <w:rFonts w:cs="Arial" w:ascii="Arial" w:hAnsi="Arial"/>
          <w:sz w:val="20"/>
        </w:rPr>
        <w:t>10.</w:t>
        <w:tab/>
      </w:r>
      <w:r>
        <w:rPr>
          <w:rFonts w:cs="Arial" w:ascii="Arial" w:hAnsi="Arial"/>
          <w:b/>
          <w:sz w:val="20"/>
          <w:u w:val="single"/>
        </w:rPr>
        <w:t>Setoff</w:t>
      </w:r>
      <w:r>
        <w:rPr>
          <w:rFonts w:cs="Arial" w:ascii="Arial" w:hAnsi="Arial"/>
          <w:b/>
          <w:sz w:val="20"/>
        </w:rPr>
        <w:t>.</w:t>
      </w:r>
      <w:r>
        <w:rPr>
          <w:rFonts w:cs="Arial" w:ascii="Arial" w:hAnsi="Arial"/>
          <w:sz w:val="20"/>
        </w:rPr>
        <w:t xml:space="preserve">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jc w:val="both"/>
        <w:rPr/>
      </w:pPr>
      <w:r>
        <w:rPr>
          <w:rFonts w:cs="Arial" w:ascii="Arial" w:hAnsi="Arial"/>
          <w:sz w:val="20"/>
        </w:rPr>
        <w:t xml:space="preserve">11. </w:t>
        <w:tab/>
      </w:r>
      <w:r>
        <w:rPr>
          <w:rFonts w:cs="Arial" w:ascii="Arial" w:hAnsi="Arial"/>
          <w:b/>
          <w:sz w:val="20"/>
          <w:u w:val="single"/>
        </w:rPr>
        <w:t>Severability</w:t>
      </w:r>
      <w:r>
        <w:rPr>
          <w:rFonts w:cs="Arial" w:ascii="Arial" w:hAnsi="Arial"/>
          <w:b/>
          <w:sz w:val="20"/>
        </w:rPr>
        <w:t>.</w:t>
      </w:r>
      <w:r>
        <w:rPr>
          <w:rFonts w:cs="Arial" w:ascii="Arial" w:hAnsi="Arial"/>
          <w:sz w:val="20"/>
        </w:rPr>
        <w:t xml:space="preserve"> If any term, provision, covenant or condition of this Transaction, or the application thereof to any party or circumstance, shall be held to be invalid or unenforceable (in whole or in part) for any reason, the remaining terms, provisions, covenants, and conditions of this Transaction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 w:ascii="Arial" w:hAnsi="Arial"/>
          <w:sz w:val="20"/>
          <w:u w:val="single"/>
        </w:rPr>
        <w:t>provided</w:t>
      </w:r>
      <w:r>
        <w:rPr>
          <w:rFonts w:cs="Arial" w:ascii="Arial" w:hAnsi="Arial"/>
          <w:sz w:val="20"/>
        </w:rPr>
        <w:t xml:space="preserve">, </w:t>
      </w:r>
      <w:r>
        <w:rPr>
          <w:rFonts w:cs="Arial" w:ascii="Arial" w:hAnsi="Arial"/>
          <w:sz w:val="20"/>
          <w:u w:val="single"/>
        </w:rPr>
        <w:t>however</w:t>
      </w:r>
      <w:r>
        <w:rPr>
          <w:rFonts w:cs="Arial" w:ascii="Arial" w:hAnsi="Arial"/>
          <w:sz w:val="20"/>
        </w:rPr>
        <w:t>, that this severability provision shall not be applicable if any provision of Section 1, 2, 5 or 6 of the ISDA Agreement (or any definition or provision in Section 14 to the extent it relates to, or is used in or in connection with any such Section) shall be so held to be invalid or unenforceable.</w:t>
      </w:r>
    </w:p>
    <w:p>
      <w:pPr>
        <w:pStyle w:val="Normal"/>
        <w:jc w:val="both"/>
        <w:rPr/>
      </w:pPr>
      <w:r>
        <w:rPr>
          <w:rFonts w:cs="Arial" w:ascii="Arial" w:hAnsi="Arial"/>
          <w:bCs/>
          <w:sz w:val="20"/>
        </w:rPr>
        <w:t>12</w:t>
      </w:r>
      <w:r>
        <w:rPr>
          <w:rFonts w:cs="Arial" w:ascii="Arial" w:hAnsi="Arial"/>
          <w:b/>
          <w:sz w:val="20"/>
        </w:rPr>
        <w:t>.</w:t>
        <w:tab/>
      </w:r>
      <w:r>
        <w:rPr>
          <w:rFonts w:cs="Arial" w:ascii="Arial" w:hAnsi="Arial"/>
          <w:b/>
          <w:sz w:val="20"/>
          <w:u w:val="single"/>
        </w:rPr>
        <w:t>Collateral Arrangements.</w:t>
      </w:r>
      <w:r>
        <w:rPr>
          <w:rFonts w:cs="Arial" w:ascii="Arial" w:hAnsi="Arial"/>
          <w:sz w:val="20"/>
        </w:rPr>
        <w:t xml:space="preserve"> 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p>
      <w:pPr>
        <w:pStyle w:val="Normal"/>
        <w:spacing w:lineRule="exact" w:line="480"/>
        <w:jc w:val="both"/>
        <w:rPr/>
      </w:pPr>
      <w:r>
        <w:rPr>
          <w:rFonts w:cs="Arial" w:ascii="Arial" w:hAnsi="Arial"/>
          <w:sz w:val="20"/>
          <w:szCs w:val="22"/>
        </w:rPr>
        <w:t>13.</w:t>
        <w:tab/>
      </w:r>
      <w:r>
        <w:rPr>
          <w:rFonts w:cs="Arial" w:ascii="Arial" w:hAnsi="Arial"/>
          <w:b/>
          <w:bCs/>
          <w:sz w:val="20"/>
          <w:szCs w:val="22"/>
          <w:u w:val="single"/>
        </w:rPr>
        <w:t>Tax Representations</w:t>
      </w:r>
      <w:r>
        <w:rPr>
          <w:rFonts w:cs="Arial" w:ascii="Arial" w:hAnsi="Arial"/>
          <w:b/>
          <w:bCs/>
          <w:sz w:val="20"/>
          <w:szCs w:val="22"/>
        </w:rPr>
        <w:t>.</w:t>
      </w:r>
    </w:p>
    <w:p>
      <w:pPr>
        <w:pStyle w:val="Normal"/>
        <w:spacing w:lineRule="exact" w:line="240" w:before="240" w:after="100"/>
        <w:ind w:hanging="720" w:start="720" w:end="0"/>
        <w:jc w:val="both"/>
        <w:rPr/>
      </w:pPr>
      <w:r>
        <w:rPr>
          <w:rFonts w:cs="Arial" w:ascii="Arial" w:hAnsi="Arial"/>
          <w:b/>
          <w:bCs/>
          <w:sz w:val="20"/>
          <w:szCs w:val="22"/>
        </w:rPr>
        <w:t>(a)</w:t>
        <w:tab/>
        <w:t xml:space="preserve">Payer Representations.  </w:t>
      </w:r>
      <w:r>
        <w:rPr>
          <w:rFonts w:cs="Arial" w:ascii="Arial" w:hAnsi="Arial"/>
          <w:sz w:val="20"/>
          <w:szCs w:val="22"/>
        </w:rPr>
        <w:t>For the purpose of Section 3(e) of the ISDA Form and in connection with making all payments under a Transaction, each party makes the following representation:</w:t>
      </w:r>
    </w:p>
    <w:p>
      <w:pPr>
        <w:pStyle w:val="Normal"/>
        <w:spacing w:lineRule="exact" w:line="240" w:before="240" w:after="100"/>
        <w:ind w:start="720" w:end="0"/>
        <w:jc w:val="both"/>
        <w:rPr/>
      </w:pPr>
      <w:r>
        <w:rPr>
          <w:rFonts w:cs="Arial" w:ascii="Arial" w:hAnsi="Arial"/>
          <w:sz w:val="20"/>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cs="Arial" w:ascii="Arial" w:hAnsi="Arial"/>
          <w:i/>
          <w:iCs/>
          <w:sz w:val="20"/>
          <w:szCs w:val="22"/>
        </w:rPr>
        <w:t>provided</w:t>
      </w:r>
      <w:r>
        <w:rPr>
          <w:rFonts w:cs="Arial" w:ascii="Arial" w:hAnsi="Arial"/>
          <w:sz w:val="20"/>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100"/>
        <w:ind w:hanging="720" w:start="720" w:end="0"/>
        <w:jc w:val="both"/>
        <w:rPr/>
      </w:pPr>
      <w:r>
        <w:rPr>
          <w:rFonts w:cs="Arial" w:ascii="Arial" w:hAnsi="Arial"/>
          <w:b/>
          <w:bCs/>
          <w:sz w:val="20"/>
          <w:szCs w:val="22"/>
        </w:rPr>
        <w:t>(b)</w:t>
        <w:tab/>
        <w:t>Payee Representations.</w:t>
      </w:r>
      <w:r>
        <w:rPr>
          <w:rFonts w:cs="Arial" w:ascii="Arial" w:hAnsi="Arial"/>
          <w:sz w:val="20"/>
          <w:szCs w:val="22"/>
        </w:rPr>
        <w:t xml:space="preserve">  For the purpose of Section 3(f), each party makes the following representations:</w:t>
      </w:r>
    </w:p>
    <w:p>
      <w:pPr>
        <w:pStyle w:val="Normal"/>
        <w:spacing w:lineRule="exact" w:line="240" w:before="240" w:after="100"/>
        <w:ind w:start="720" w:end="0"/>
        <w:jc w:val="both"/>
        <w:rPr>
          <w:rFonts w:ascii="Arial" w:hAnsi="Arial" w:cs="Arial"/>
          <w:sz w:val="20"/>
          <w:szCs w:val="22"/>
        </w:rPr>
      </w:pPr>
      <w:r>
        <w:rPr>
          <w:rFonts w:cs="Arial" w:ascii="Arial" w:hAnsi="Arial"/>
          <w:sz w:val="20"/>
          <w:szCs w:val="22"/>
        </w:rPr>
        <w:t>(i)</w:t>
        <w:tab/>
        <w:t>The following representation applies to each party, provided that, with respect to Counterparty, this representation applies only with respect to Transactions that Counterparty has not identified pursuant to clause (b)(ii)(1) below:</w:t>
      </w:r>
    </w:p>
    <w:p>
      <w:pPr>
        <w:pStyle w:val="Normal"/>
        <w:spacing w:lineRule="exact" w:line="240" w:before="240" w:after="100"/>
        <w:ind w:start="720" w:end="0"/>
        <w:jc w:val="both"/>
        <w:rPr>
          <w:rFonts w:ascii="Arial" w:hAnsi="Arial" w:cs="Arial"/>
          <w:sz w:val="20"/>
          <w:szCs w:val="22"/>
        </w:rPr>
      </w:pPr>
      <w:r>
        <w:rPr>
          <w:rFonts w:cs="Arial" w:ascii="Arial" w:hAnsi="Arial"/>
          <w:sz w:val="20"/>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480"/>
        <w:ind w:hanging="720" w:start="720" w:end="0"/>
        <w:jc w:val="both"/>
        <w:rPr>
          <w:rFonts w:ascii="Arial" w:hAnsi="Arial" w:cs="Arial"/>
          <w:sz w:val="20"/>
          <w:szCs w:val="22"/>
        </w:rPr>
      </w:pPr>
      <w:r>
        <w:rPr>
          <w:rFonts w:cs="Arial" w:ascii="Arial" w:hAnsi="Arial"/>
          <w:sz w:val="20"/>
          <w:szCs w:val="22"/>
        </w:rPr>
        <w:t>If such representation applies, then:</w:t>
      </w:r>
    </w:p>
    <w:p>
      <w:pPr>
        <w:pStyle w:val="Normal"/>
        <w:spacing w:lineRule="exact" w:line="240" w:before="240" w:after="100"/>
        <w:jc w:val="both"/>
        <w:rPr/>
      </w:pPr>
      <w:r>
        <w:rPr>
          <w:rFonts w:cs="Arial" w:ascii="Arial" w:hAnsi="Arial"/>
          <w:sz w:val="20"/>
          <w:szCs w:val="22"/>
        </w:rPr>
        <w:t>"</w:t>
      </w:r>
      <w:r>
        <w:rPr>
          <w:rFonts w:cs="Arial" w:ascii="Arial" w:hAnsi="Arial"/>
          <w:b/>
          <w:bCs/>
          <w:sz w:val="20"/>
          <w:szCs w:val="22"/>
        </w:rPr>
        <w:t>Specified Treaty</w:t>
      </w:r>
      <w:r>
        <w:rPr>
          <w:rFonts w:cs="Arial" w:ascii="Arial" w:hAnsi="Arial"/>
          <w:sz w:val="20"/>
          <w:szCs w:val="22"/>
        </w:rPr>
        <w:t>" means, with respect to Enron, the income tax treaty between the United States and Canada.</w:t>
      </w:r>
    </w:p>
    <w:p>
      <w:pPr>
        <w:pStyle w:val="Normal"/>
        <w:spacing w:lineRule="exact" w:line="240" w:before="240" w:after="100"/>
        <w:jc w:val="both"/>
        <w:rPr/>
      </w:pPr>
      <w:r>
        <w:rPr>
          <w:rFonts w:cs="Arial" w:ascii="Arial" w:hAnsi="Arial"/>
          <w:sz w:val="20"/>
          <w:szCs w:val="22"/>
        </w:rPr>
        <w:t>"</w:t>
      </w:r>
      <w:r>
        <w:rPr>
          <w:rFonts w:cs="Arial" w:ascii="Arial" w:hAnsi="Arial"/>
          <w:b/>
          <w:bCs/>
          <w:sz w:val="20"/>
          <w:szCs w:val="22"/>
        </w:rPr>
        <w:t>Specified Jurisdiction</w:t>
      </w:r>
      <w:r>
        <w:rPr>
          <w:rFonts w:cs="Arial" w:ascii="Arial" w:hAnsi="Arial"/>
          <w:sz w:val="20"/>
          <w:szCs w:val="22"/>
        </w:rPr>
        <w:t>" means, with respect to Enron,</w:t>
      </w:r>
      <w:r>
        <w:rPr>
          <w:rFonts w:cs="Arial" w:ascii="Arial" w:hAnsi="Arial"/>
          <w:color w:val="FF0000"/>
          <w:sz w:val="20"/>
          <w:szCs w:val="22"/>
        </w:rPr>
        <w:t xml:space="preserve"> Canada</w:t>
      </w:r>
      <w:r>
        <w:rPr>
          <w:rFonts w:cs="Arial" w:ascii="Arial" w:hAnsi="Arial"/>
          <w:sz w:val="20"/>
          <w:szCs w:val="22"/>
        </w:rPr>
        <w:t>.</w:t>
      </w:r>
    </w:p>
    <w:p>
      <w:pPr>
        <w:pStyle w:val="Normal"/>
        <w:spacing w:lineRule="exact" w:line="240" w:before="240" w:after="100"/>
        <w:jc w:val="both"/>
        <w:rPr/>
      </w:pPr>
      <w:r>
        <w:rPr>
          <w:rFonts w:cs="Arial" w:ascii="Arial" w:hAnsi="Arial"/>
          <w:sz w:val="20"/>
          <w:szCs w:val="22"/>
        </w:rPr>
        <w:t>"</w:t>
      </w:r>
      <w:r>
        <w:rPr>
          <w:rFonts w:cs="Arial" w:ascii="Arial" w:hAnsi="Arial"/>
          <w:b/>
          <w:bCs/>
          <w:sz w:val="20"/>
          <w:szCs w:val="22"/>
        </w:rPr>
        <w:t>Specified Jurisdiction</w:t>
      </w:r>
      <w:r>
        <w:rPr>
          <w:rFonts w:cs="Arial" w:ascii="Arial" w:hAnsi="Arial"/>
          <w:sz w:val="20"/>
          <w:szCs w:val="22"/>
        </w:rPr>
        <w:t>" means, with respect to Counterparty, the United States.</w:t>
      </w:r>
    </w:p>
    <w:p>
      <w:pPr>
        <w:pStyle w:val="Normal"/>
        <w:spacing w:lineRule="exact" w:line="240" w:before="240" w:after="100"/>
        <w:ind w:start="720" w:end="0"/>
        <w:jc w:val="both"/>
        <w:rPr>
          <w:rFonts w:ascii="Arial" w:hAnsi="Arial" w:cs="Arial"/>
          <w:sz w:val="20"/>
          <w:szCs w:val="22"/>
        </w:rPr>
      </w:pPr>
      <w:r>
        <w:rPr>
          <w:rFonts w:cs="Arial" w:ascii="Arial" w:hAnsi="Arial"/>
          <w:sz w:val="20"/>
          <w:szCs w:val="22"/>
        </w:rPr>
        <w:t>(ii)</w:t>
        <w:tab/>
        <w:t>The following representations apply to Counterparty: (1) Counterparty will identify by prior written notice or in the relevant Confirmation each Transaction as to which Counterparty is acting through a branch, Office, or agency located in the United States (including only the States thereof and the District of Columbia):</w:t>
      </w:r>
    </w:p>
    <w:p>
      <w:pPr>
        <w:pStyle w:val="Normal"/>
        <w:spacing w:lineRule="exact" w:line="240" w:before="240" w:after="100"/>
        <w:ind w:start="720" w:end="0"/>
        <w:jc w:val="both"/>
        <w:rPr>
          <w:rFonts w:ascii="Arial" w:hAnsi="Arial" w:cs="Arial"/>
          <w:sz w:val="20"/>
          <w:szCs w:val="22"/>
        </w:rPr>
      </w:pPr>
      <w:r>
        <w:rPr>
          <w:rFonts w:cs="Arial" w:ascii="Arial" w:hAnsi="Arial"/>
          <w:sz w:val="20"/>
          <w:szCs w:val="22"/>
        </w:rPr>
        <w:t>(2)</w:t>
        <w:tab/>
        <w:t>With respect to such Transactions, each payment received or to be received by Counterparty in connection with this Agreement will be effectively connected with its conduct of a trade or business in the United States.</w:t>
      </w:r>
    </w:p>
    <w:p>
      <w:pPr>
        <w:pStyle w:val="BodyTextIndent"/>
        <w:rPr/>
      </w:pPr>
      <w:r>
        <w:rPr/>
        <w:tab/>
        <w:t>(3)</w:t>
        <w:tab/>
        <w:t>To the extent that Counterparty is a financial institution and the relevant treaty does not provide for a zero rate of withholding on interest, Counterparty makes the following representation:</w:t>
      </w:r>
    </w:p>
    <w:p>
      <w:pPr>
        <w:pStyle w:val="Normal"/>
        <w:tabs>
          <w:tab w:val="left" w:pos="720" w:leader="none"/>
          <w:tab w:val="left" w:pos="1440" w:leader="none"/>
          <w:tab w:val="left" w:pos="2160" w:leader="none"/>
          <w:tab w:val="left" w:pos="2880" w:leader="none"/>
        </w:tabs>
        <w:spacing w:lineRule="exact" w:line="240" w:before="240" w:after="100"/>
        <w:ind w:hanging="3600" w:start="3600" w:end="0"/>
        <w:jc w:val="both"/>
        <w:rPr>
          <w:rFonts w:ascii="Arial" w:hAnsi="Arial" w:cs="Arial"/>
          <w:sz w:val="20"/>
          <w:szCs w:val="22"/>
        </w:rPr>
      </w:pPr>
      <w:r>
        <w:rPr>
          <w:rFonts w:cs="Arial" w:ascii="Arial" w:hAnsi="Arial"/>
          <w:sz w:val="20"/>
          <w:szCs w:val="22"/>
        </w:rPr>
        <w:tab/>
        <w:t>It is not entering into this Agreement in the ordinary course of its business of making loans.</w:t>
      </w:r>
    </w:p>
    <w:p>
      <w:pPr>
        <w:pStyle w:val="Normal"/>
        <w:spacing w:lineRule="exact" w:line="240" w:before="240" w:after="100"/>
        <w:ind w:hanging="720" w:start="720" w:end="0"/>
        <w:jc w:val="both"/>
        <w:rPr>
          <w:rFonts w:ascii="Arial" w:hAnsi="Arial" w:cs="Arial"/>
          <w:b/>
          <w:bCs/>
          <w:sz w:val="20"/>
          <w:szCs w:val="22"/>
        </w:rPr>
      </w:pPr>
      <w:r>
        <w:rPr>
          <w:rFonts w:cs="Arial" w:ascii="Arial" w:hAnsi="Arial"/>
          <w:b/>
          <w:bCs/>
          <w:sz w:val="20"/>
          <w:szCs w:val="22"/>
        </w:rPr>
        <w:t>(c)</w:t>
        <w:tab/>
        <w:t>Agreement to Deliver Documents</w:t>
      </w:r>
    </w:p>
    <w:p>
      <w:pPr>
        <w:pStyle w:val="Normal"/>
        <w:spacing w:lineRule="exact" w:line="240" w:before="240" w:after="100"/>
        <w:ind w:hanging="720" w:start="720" w:end="0"/>
        <w:jc w:val="both"/>
        <w:rPr/>
      </w:pPr>
      <w:r>
        <w:rPr>
          <w:rFonts w:cs="Arial" w:ascii="Arial" w:hAnsi="Arial"/>
          <w:b/>
          <w:bCs/>
          <w:sz w:val="20"/>
          <w:szCs w:val="22"/>
        </w:rPr>
        <w:tab/>
        <w:tab/>
      </w:r>
      <w:r>
        <w:rPr>
          <w:rFonts w:cs="Arial" w:ascii="Arial" w:hAnsi="Arial"/>
          <w:sz w:val="20"/>
          <w:szCs w:val="22"/>
        </w:rPr>
        <w:t>Upon request, each party shall provide the other with a properly completed and executed exemption form, certificate or other document that will allow the other party to make any payment hereunder wtihout deduction or withholding for Taxes.</w:t>
      </w:r>
    </w:p>
    <w:p>
      <w:pPr>
        <w:pStyle w:val="Normal"/>
        <w:spacing w:lineRule="exact" w:line="240" w:before="240" w:after="100"/>
        <w:ind w:hanging="720" w:start="720" w:end="0"/>
        <w:jc w:val="both"/>
        <w:rPr>
          <w:rFonts w:ascii="Arial" w:hAnsi="Arial" w:cs="Arial"/>
          <w:sz w:val="20"/>
          <w:szCs w:val="22"/>
        </w:rPr>
      </w:pPr>
      <w:r>
        <w:rPr>
          <w:rFonts w:cs="Arial" w:ascii="Arial" w:hAnsi="Arial"/>
          <w:sz w:val="20"/>
          <w:szCs w:val="22"/>
        </w:rPr>
      </w:r>
    </w:p>
    <w:p>
      <w:pPr>
        <w:pStyle w:val="Normal"/>
        <w:spacing w:lineRule="exact" w:line="240" w:before="240" w:after="100"/>
        <w:ind w:hanging="720" w:start="720" w:end="0"/>
        <w:jc w:val="both"/>
        <w:rPr>
          <w:rFonts w:ascii="Arial" w:hAnsi="Arial" w:cs="Arial"/>
          <w:sz w:val="20"/>
          <w:szCs w:val="22"/>
        </w:rPr>
      </w:pPr>
      <w:r>
        <w:rPr>
          <w:rFonts w:cs="Arial" w:ascii="Arial" w:hAnsi="Arial"/>
          <w:sz w:val="20"/>
          <w:szCs w:val="22"/>
        </w:rPr>
        <w:fldChar w:fldCharType="begin"/>
      </w:r>
      <w:r>
        <w:rPr>
          <w:sz w:val="20"/>
          <w:szCs w:val="22"/>
          <w:rFonts w:cs="Arial" w:ascii="Arial" w:hAnsi="Arial"/>
        </w:rPr>
        <w:instrText xml:space="preserve"> FILENAME \p </w:instrText>
      </w:r>
      <w:r>
        <w:rPr>
          <w:sz w:val="20"/>
          <w:szCs w:val="22"/>
          <w:rFonts w:cs="Arial" w:ascii="Arial" w:hAnsi="Arial"/>
        </w:rPr>
        <w:fldChar w:fldCharType="separate"/>
      </w:r>
      <w:r>
        <w:rPr>
          <w:sz w:val="20"/>
          <w:szCs w:val="22"/>
          <w:rFonts w:cs="Arial" w:ascii="Arial" w:hAnsi="Arial"/>
        </w:rPr>
        <w:t>/mnt/main-storage/datasets/enron-docs/doc/Foreign_Currency_GTC-b95e84b0ef255c90248dcc58fb9d52a3de9ef995dc8f56dfb2c5667999aa3634.doc</w:t>
      </w:r>
      <w:r>
        <w:rPr>
          <w:sz w:val="20"/>
          <w:szCs w:val="22"/>
          <w:rFonts w:cs="Arial" w:ascii="Arial" w:hAnsi="Arial"/>
        </w:rPr>
        <w:fldChar w:fldCharType="end"/>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b/>
      <w:u w:val="single"/>
    </w:rPr>
  </w:style>
  <w:style w:type="character" w:styleId="WW8Num5z0">
    <w:name w:val="WW8Num5z0"/>
    <w:qFormat/>
    <w:rPr>
      <w:b/>
      <w:u w:val="single"/>
    </w:rPr>
  </w:style>
  <w:style w:type="character" w:styleId="WW8Num6z0">
    <w:name w:val="WW8Num6z0"/>
    <w:qFormat/>
    <w:rPr/>
  </w:style>
  <w:style w:type="character" w:styleId="WW8Num7z0">
    <w:name w:val="WW8Num7z0"/>
    <w:qFormat/>
    <w:rPr>
      <w:b/>
      <w:u w:val="single"/>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bidi="ar-SA" w:eastAsia="zh-CN"/>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left" w:pos="720" w:leader="none"/>
        <w:tab w:val="left" w:pos="1440" w:leader="none"/>
        <w:tab w:val="left" w:pos="2160" w:leader="none"/>
        <w:tab w:val="left" w:pos="2880" w:leader="none"/>
      </w:tabs>
      <w:spacing w:lineRule="exact" w:line="240" w:before="240" w:after="100"/>
      <w:ind w:hanging="870" w:start="720" w:end="0"/>
      <w:jc w:val="both"/>
    </w:pPr>
    <w:rPr>
      <w:rFonts w:ascii="Arial" w:hAnsi="Arial" w:cs="Arial"/>
      <w:sz w:val="20"/>
      <w:szCs w:val="22"/>
    </w:rPr>
  </w:style>
  <w:style w:type="paragraph" w:styleId="BlockText">
    <w:name w:val="Block Text"/>
    <w:basedOn w:val="Normal"/>
    <w:qFormat/>
    <w:pPr>
      <w:widowControl/>
      <w:spacing w:before="0" w:after="0"/>
      <w:ind w:firstLine="720" w:start="180" w:end="-360"/>
    </w:pPr>
    <w:rPr>
      <w:sz w:val="20"/>
      <w:szCs w:val="24"/>
      <w:lang w:val="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2001-04-02T18:58:00Z</dcterms:created>
  <dc:creator>mlozano</dc:creator>
  <dc:description/>
  <dc:language>en-CA</dc:language>
  <cp:lastModifiedBy>mlozano</cp:lastModifiedBy>
  <cp:lastPrinted>2001-03-28T11:21:00Z</cp:lastPrinted>
  <dcterms:modified xsi:type="dcterms:W3CDTF">2001-04-02T20:18:00Z</dcterms:modified>
  <cp:revision>4</cp:revision>
  <dc:subject/>
  <dc:title>CDD Swap (credit)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