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Forecasting AGA Weekly Change</w:t>
      </w:r>
    </w:p>
    <w:p>
      <w:pPr>
        <w:pStyle w:val="Normal"/>
        <w:jc w:val="center"/>
        <w:rPr>
          <w:b/>
          <w:sz w:val="28"/>
        </w:rPr>
      </w:pPr>
      <w:r>
        <w:rPr>
          <w:b/>
          <w:sz w:val="28"/>
        </w:rPr>
      </w:r>
    </w:p>
    <w:p>
      <w:pPr>
        <w:pStyle w:val="Subtitle"/>
        <w:rPr/>
      </w:pPr>
      <w:r>
        <w:rPr/>
        <w:t>Zimin Lu</w:t>
      </w:r>
    </w:p>
    <w:p>
      <w:pPr>
        <w:pStyle w:val="Normal"/>
        <w:jc w:val="center"/>
        <w:rPr>
          <w:b/>
          <w:sz w:val="24"/>
        </w:rPr>
      </w:pPr>
      <w:r>
        <w:rPr>
          <w:b/>
          <w:sz w:val="24"/>
        </w:rPr>
        <w:t>Enron Research</w:t>
      </w:r>
    </w:p>
    <w:p>
      <w:pPr>
        <w:pStyle w:val="Normal"/>
        <w:jc w:val="center"/>
        <w:rPr>
          <w:b/>
          <w:sz w:val="24"/>
        </w:rPr>
      </w:pPr>
      <w:r>
        <w:rPr>
          <w:b/>
          <w:sz w:val="24"/>
        </w:rPr>
        <w:t>6/6/2000</w:t>
      </w:r>
    </w:p>
    <w:p>
      <w:pPr>
        <w:pStyle w:val="Normal"/>
        <w:rPr>
          <w:b/>
          <w:sz w:val="24"/>
        </w:rPr>
      </w:pPr>
      <w:r>
        <w:rPr>
          <w:b/>
          <w:sz w:val="24"/>
        </w:rPr>
      </w:r>
    </w:p>
    <w:p>
      <w:pPr>
        <w:pStyle w:val="Normal"/>
        <w:rPr>
          <w:sz w:val="24"/>
        </w:rPr>
      </w:pPr>
      <w:r>
        <w:rPr>
          <w:sz w:val="24"/>
        </w:rPr>
      </w:r>
    </w:p>
    <w:p>
      <w:pPr>
        <w:pStyle w:val="BodyText"/>
        <w:rPr/>
      </w:pPr>
      <w:r>
        <w:rPr/>
        <w:t>AGA stands for American Gas Association that conducts survey and reports working gas in storage in the United States. The survey is subdivided into three regions: producing region (Bloomberg ticker AGASPRO1), consuming east (AGACNE1) and consuming west (AGASCNW1). The total working gas in storage (AGASUST1), which is simply the aggregated gas in storage from the three regions, contains important fundamental gas supply information that can move the gas market. Therefore it is very worthwhile to investigate the dynamics of the AGA time series.</w:t>
      </w:r>
    </w:p>
    <w:p>
      <w:pPr>
        <w:pStyle w:val="BodyText"/>
        <w:rPr/>
      </w:pPr>
      <w:r>
        <w:rPr/>
      </w:r>
    </w:p>
    <w:p>
      <w:pPr>
        <w:pStyle w:val="BodyText"/>
        <w:rPr/>
      </w:pPr>
      <w:r>
        <w:rPr/>
        <w:t xml:space="preserve">Since natural gas is produced almost at a constant rate and consumption of natural gas is highly seasonal, the working gas in the storage is also highly seasonal. Traders tend to look back at last seasonal pattern to mentally forecast the next AGA number. The difference gives the “surprise” to the gas market in the form of bullish or bearish shocks. </w:t>
      </w:r>
    </w:p>
    <w:p>
      <w:pPr>
        <w:pStyle w:val="BodyText"/>
        <w:rPr/>
      </w:pPr>
      <w:r>
        <w:rPr/>
      </w:r>
    </w:p>
    <w:p>
      <w:pPr>
        <w:pStyle w:val="BodyText"/>
        <w:rPr/>
      </w:pPr>
      <w:r>
        <w:rPr/>
        <w:t>The approaches to the AGA forecast can be classified into two categories. The first type of model, I refer it as the “quark” model, is based on material balance. This model looks for how much gas has been produced, how much has been consumed, the difference has to be stored.  This demand and supply “quark” model is fundamentally correct, although figuring out supply and demand is not easy task. For example, the demand for gas-fired power plant has huge swings resulting from power price volatility.  The second type of model, I refer it as the “molecular” model, is relied on times series modeling techniques. The time series model I advocate here is quite simple, it is called seasonal Holt-Winter model.  It contains four ingredients: level, trend, seasonality and error correction.  Mathematically, it can be expressed as</w:t>
      </w:r>
    </w:p>
    <w:p>
      <w:pPr>
        <w:pStyle w:val="BodyText"/>
        <w:rPr/>
      </w:pPr>
      <w:r>
        <w:rPr/>
      </w:r>
    </w:p>
    <w:p>
      <w:pPr>
        <w:pStyle w:val="BodyText"/>
        <w:rPr/>
      </w:pPr>
      <w:r>
        <w:rPr/>
      </w:r>
    </w:p>
    <w:p>
      <w:pPr>
        <w:pStyle w:val="BodyText"/>
        <w:rPr/>
      </w:pPr>
      <w:r>
        <w:rPr/>
      </w:r>
      <m:oMathPara xmlns:m="http://schemas.openxmlformats.org/officeDocument/2006/math">
        <m:oMathParaPr>
          <m:jc m:val="left"/>
        </m:oMathParaPr>
        <m:oMath>
          <m:sSub>
            <m:e>
              <m:acc>
                <m:accPr>
                  <m:chr m:val="^"/>
                </m:accPr>
                <m:e>
                  <m:r>
                    <m:t xml:space="preserve">y</m:t>
                  </m:r>
                </m:e>
              </m:acc>
            </m:e>
            <m:sub>
              <m:r>
                <m:t xml:space="preserve">t</m:t>
              </m:r>
              <m:r>
                <m:t xml:space="preserve">+</m:t>
              </m:r>
              <m:r>
                <m:t xml:space="preserve">1</m:t>
              </m:r>
            </m:sub>
          </m:sSub>
          <m:r>
            <m:t xml:space="preserve">=</m:t>
          </m:r>
          <m:r>
            <m:t xml:space="preserve">(</m:t>
          </m:r>
          <m:sSub>
            <m:e>
              <m:r>
                <m:t xml:space="preserve">L</m:t>
              </m:r>
            </m:e>
            <m:sub>
              <m:r>
                <m:t xml:space="preserve">t</m:t>
              </m:r>
            </m:sub>
          </m:sSub>
          <m:r>
            <m:t xml:space="preserve">+</m:t>
          </m:r>
          <m:sSub>
            <m:e>
              <m:r>
                <m:t xml:space="preserve">T</m:t>
              </m:r>
            </m:e>
            <m:sub>
              <m:r>
                <m:t xml:space="preserve">t</m:t>
              </m:r>
            </m:sub>
          </m:sSub>
          <m:r>
            <m:t xml:space="preserve">)</m:t>
          </m:r>
          <m:r>
            <m:t xml:space="preserve">∗</m:t>
          </m:r>
          <m:sSub>
            <m:e>
              <m:r>
                <m:t xml:space="preserve">S</m:t>
              </m:r>
            </m:e>
            <m:sub>
              <m:r>
                <m:t xml:space="preserve">t</m:t>
              </m:r>
              <m:r>
                <m:t xml:space="preserve">+</m:t>
              </m:r>
              <m:r>
                <m:t xml:space="preserve">1</m:t>
              </m:r>
              <m:r>
                <m:t xml:space="preserve">−</m:t>
              </m:r>
              <m:r>
                <m:t xml:space="preserve">L</m:t>
              </m:r>
            </m:sub>
          </m:sSub>
          <m:r>
            <m:t xml:space="preserve">+</m:t>
          </m:r>
          <m:r>
            <m:t xml:space="preserve">g</m:t>
          </m:r>
          <m:r>
            <m:t xml:space="preserve">(</m:t>
          </m:r>
          <m:r>
            <m:t xml:space="preserve">(</m:t>
          </m:r>
          <m:sSub>
            <m:e>
              <m:r>
                <m:t xml:space="preserve">L</m:t>
              </m:r>
            </m:e>
            <m:sub>
              <m:r>
                <m:t xml:space="preserve">t</m:t>
              </m:r>
              <m:r>
                <m:t xml:space="preserve">−</m:t>
              </m:r>
              <m:r>
                <m:t xml:space="preserve">1</m:t>
              </m:r>
            </m:sub>
          </m:sSub>
          <m:r>
            <m:t xml:space="preserve">+</m:t>
          </m:r>
          <m:sSub>
            <m:e>
              <m:r>
                <m:t xml:space="preserve">T</m:t>
              </m:r>
            </m:e>
            <m:sub>
              <m:r>
                <m:t xml:space="preserve">t</m:t>
              </m:r>
              <m:r>
                <m:t xml:space="preserve">−</m:t>
              </m:r>
              <m:r>
                <m:t xml:space="preserve">1</m:t>
              </m:r>
            </m:sub>
          </m:sSub>
          <m:r>
            <m:t xml:space="preserve">)</m:t>
          </m:r>
          <m:r>
            <m:t xml:space="preserve">∗</m:t>
          </m:r>
          <m:sSub>
            <m:e>
              <m:r>
                <m:t xml:space="preserve">S</m:t>
              </m:r>
            </m:e>
            <m:sub>
              <m:r>
                <m:t xml:space="preserve">t</m:t>
              </m:r>
              <m:r>
                <m:t xml:space="preserve">−</m:t>
              </m:r>
              <m:r>
                <m:t xml:space="preserve">P</m:t>
              </m:r>
            </m:sub>
          </m:sSub>
          <m:r>
            <m:t xml:space="preserve">−</m:t>
          </m:r>
          <m:sSub>
            <m:e>
              <m:r>
                <m:t xml:space="preserve">y</m:t>
              </m:r>
            </m:e>
            <m:sub>
              <m:r>
                <m:t xml:space="preserve">t</m:t>
              </m:r>
            </m:sub>
          </m:sSub>
          <m:r>
            <m:t xml:space="preserve">)</m:t>
          </m:r>
        </m:oMath>
      </m:oMathPara>
    </w:p>
    <w:p>
      <w:pPr>
        <w:pStyle w:val="BodyText"/>
        <w:rPr/>
      </w:pPr>
      <w:r>
        <w:rPr/>
        <w:tab/>
        <w:tab/>
        <w:tab/>
        <w:tab/>
        <w:tab/>
        <w:tab/>
        <w:tab/>
        <w:tab/>
        <w:tab/>
        <w:tab/>
      </w:r>
    </w:p>
    <w:p>
      <w:pPr>
        <w:pStyle w:val="BodyText"/>
        <w:ind w:firstLine="720" w:start="6480" w:end="0"/>
        <w:rPr/>
      </w:pPr>
      <w:r>
        <w:rPr/>
        <w:t>Eq. 1</w:t>
      </w:r>
    </w:p>
    <w:p>
      <w:pPr>
        <w:pStyle w:val="BodyText"/>
        <w:rPr/>
      </w:pPr>
      <w:r>
        <w:rPr/>
      </w:r>
    </w:p>
    <w:p>
      <w:pPr>
        <w:pStyle w:val="BodyText"/>
        <w:rPr/>
      </w:pPr>
      <w:r>
        <w:rPr/>
        <w:t xml:space="preserve">where </w:t>
      </w:r>
    </w:p>
    <w:p>
      <w:pPr>
        <w:pStyle w:val="BodyText"/>
        <w:rPr/>
      </w:pPr>
      <w:r>
        <w:rPr/>
      </w:r>
    </w:p>
    <w:p>
      <w:pPr>
        <w:pStyle w:val="BodyText"/>
        <w:rPr/>
      </w:pPr>
      <w:r>
        <w:rPr/>
      </w:r>
      <m:oMath xmlns:m="http://schemas.openxmlformats.org/officeDocument/2006/math">
        <m:eqArr>
          <m:e>
            <m:sSub>
              <m:e>
                <m:r>
                  <m:t xml:space="preserve">L</m:t>
                </m:r>
              </m:e>
              <m:sub>
                <m:r>
                  <m:t xml:space="preserve">t</m:t>
                </m:r>
              </m:sub>
            </m:sSub>
            <m:r>
              <m:t xml:space="preserve">=</m:t>
            </m:r>
            <m:r>
              <m:t xml:space="preserve">α</m:t>
            </m:r>
            <m:f>
              <m:num>
                <m:sSub>
                  <m:e>
                    <m:r>
                      <m:t xml:space="preserve">y</m:t>
                    </m:r>
                  </m:e>
                  <m:sub>
                    <m:r>
                      <m:t xml:space="preserve">t</m:t>
                    </m:r>
                  </m:sub>
                </m:sSub>
              </m:num>
              <m:den>
                <m:sSub>
                  <m:e>
                    <m:r>
                      <m:t xml:space="preserve">S</m:t>
                    </m:r>
                  </m:e>
                  <m:sub>
                    <m:r>
                      <m:t xml:space="preserve">t</m:t>
                    </m:r>
                    <m:r>
                      <m:t xml:space="preserve">−</m:t>
                    </m:r>
                    <m:r>
                      <m:t xml:space="preserve">L</m:t>
                    </m:r>
                  </m:sub>
                </m:sSub>
              </m:den>
            </m:f>
            <m:r>
              <m:t xml:space="preserve">+</m:t>
            </m:r>
            <m:r>
              <m:t xml:space="preserve">(</m:t>
            </m:r>
            <m:r>
              <m:t xml:space="preserve">1</m:t>
            </m:r>
            <m:r>
              <m:t xml:space="preserve">−</m:t>
            </m:r>
            <m:r>
              <m:t xml:space="preserve">α</m:t>
            </m:r>
            <m:r>
              <m:t xml:space="preserve">)</m:t>
            </m:r>
            <m:r>
              <m:t xml:space="preserve">(</m:t>
            </m:r>
            <m:sSub>
              <m:e>
                <m:r>
                  <m:t xml:space="preserve">L</m:t>
                </m:r>
              </m:e>
              <m:sub>
                <m:r>
                  <m:t xml:space="preserve">t</m:t>
                </m:r>
                <m:r>
                  <m:t xml:space="preserve">−</m:t>
                </m:r>
                <m:r>
                  <m:t xml:space="preserve">1</m:t>
                </m:r>
              </m:sub>
            </m:sSub>
            <m:r>
              <m:t xml:space="preserve">+</m:t>
            </m:r>
            <m:sSub>
              <m:e>
                <m:r>
                  <m:t xml:space="preserve">L</m:t>
                </m:r>
              </m:e>
              <m:sub>
                <m:r>
                  <m:t xml:space="preserve">t</m:t>
                </m:r>
                <m:r>
                  <m:t xml:space="preserve">−</m:t>
                </m:r>
                <m:r>
                  <m:t xml:space="preserve">1</m:t>
                </m:r>
              </m:sub>
            </m:sSub>
            <m:r>
              <m:t xml:space="preserve">)</m:t>
            </m:r>
            <m:r>
              <m:t xml:space="preserve">;</m:t>
            </m:r>
          </m:e>
          <m:e>
            <m:sSub>
              <m:e>
                <m:r>
                  <m:t xml:space="preserve">T</m:t>
                </m:r>
              </m:e>
              <m:sub>
                <m:r>
                  <m:t xml:space="preserve">t</m:t>
                </m:r>
              </m:sub>
            </m:sSub>
            <m:r>
              <m:t xml:space="preserve">=</m:t>
            </m:r>
            <m:r>
              <m:t xml:space="preserve">β</m:t>
            </m:r>
            <m:r>
              <m:t xml:space="preserve">(</m:t>
            </m:r>
            <m:sSub>
              <m:e>
                <m:r>
                  <m:t xml:space="preserve">L</m:t>
                </m:r>
              </m:e>
              <m:sub>
                <m:r>
                  <m:t xml:space="preserve">t</m:t>
                </m:r>
              </m:sub>
            </m:sSub>
            <m:r>
              <m:t xml:space="preserve">−</m:t>
            </m:r>
            <m:sSub>
              <m:e>
                <m:r>
                  <m:t xml:space="preserve">L</m:t>
                </m:r>
              </m:e>
              <m:sub>
                <m:r>
                  <m:t xml:space="preserve">t</m:t>
                </m:r>
                <m:r>
                  <m:t xml:space="preserve">−</m:t>
                </m:r>
                <m:r>
                  <m:t xml:space="preserve">1</m:t>
                </m:r>
              </m:sub>
            </m:sSub>
            <m:r>
              <m:t xml:space="preserve">)</m:t>
            </m:r>
            <m:r>
              <m:t xml:space="preserve">+</m:t>
            </m:r>
            <m:r>
              <m:t xml:space="preserve">(</m:t>
            </m:r>
            <m:r>
              <m:t xml:space="preserve">1</m:t>
            </m:r>
            <m:r>
              <m:t xml:space="preserve">−</m:t>
            </m:r>
            <m:r>
              <m:t xml:space="preserve">β</m:t>
            </m:r>
            <m:r>
              <m:t xml:space="preserve">)</m:t>
            </m:r>
            <m:sSub>
              <m:e>
                <m:r>
                  <m:t xml:space="preserve">T</m:t>
                </m:r>
              </m:e>
              <m:sub>
                <m:r>
                  <m:t xml:space="preserve">t</m:t>
                </m:r>
                <m:r>
                  <m:t xml:space="preserve">−</m:t>
                </m:r>
                <m:r>
                  <m:t xml:space="preserve">1</m:t>
                </m:r>
              </m:sub>
            </m:sSub>
            <m:r>
              <m:t xml:space="preserve">;</m:t>
            </m:r>
          </m:e>
          <m:e>
            <m:sSub>
              <m:e>
                <m:r>
                  <m:t xml:space="preserve">S</m:t>
                </m:r>
              </m:e>
              <m:sub>
                <m:r>
                  <m:t xml:space="preserve">t</m:t>
                </m:r>
              </m:sub>
            </m:sSub>
            <m:r>
              <m:t xml:space="preserve">=</m:t>
            </m:r>
            <m:r>
              <m:t xml:space="preserve">γ</m:t>
            </m:r>
            <m:f>
              <m:num>
                <m:sSub>
                  <m:e>
                    <m:r>
                      <m:t xml:space="preserve">y</m:t>
                    </m:r>
                  </m:e>
                  <m:sub>
                    <m:r>
                      <m:t xml:space="preserve">t</m:t>
                    </m:r>
                  </m:sub>
                </m:sSub>
              </m:num>
              <m:den>
                <m:sSub>
                  <m:e>
                    <m:r>
                      <m:t xml:space="preserve">L</m:t>
                    </m:r>
                  </m:e>
                  <m:sub>
                    <m:r>
                      <m:t xml:space="preserve">t</m:t>
                    </m:r>
                  </m:sub>
                </m:sSub>
              </m:den>
            </m:f>
            <m:r>
              <m:t xml:space="preserve">+</m:t>
            </m:r>
            <m:r>
              <m:t xml:space="preserve">(</m:t>
            </m:r>
            <m:r>
              <m:t xml:space="preserve">1</m:t>
            </m:r>
            <m:r>
              <m:t xml:space="preserve">−</m:t>
            </m:r>
            <m:r>
              <m:t xml:space="preserve">γ</m:t>
            </m:r>
            <m:r>
              <m:t xml:space="preserve">)</m:t>
            </m:r>
            <m:sSub>
              <m:e>
                <m:r>
                  <m:t xml:space="preserve">S</m:t>
                </m:r>
              </m:e>
              <m:sub>
                <m:r>
                  <m:t xml:space="preserve">t</m:t>
                </m:r>
                <m:r>
                  <m:t xml:space="preserve">−</m:t>
                </m:r>
                <m:r>
                  <m:t xml:space="preserve">P</m:t>
                </m:r>
              </m:sub>
            </m:sSub>
            <m:r>
              <m:t xml:space="preserve">;</m:t>
            </m:r>
          </m:e>
        </m:eqArr>
      </m:oMath>
      <w:r>
        <w:rPr/>
        <w:tab/>
        <w:tab/>
        <w:tab/>
        <w:tab/>
        <w:tab/>
        <w:t xml:space="preserve"> Eq. 2</w:t>
      </w:r>
    </w:p>
    <w:p>
      <w:pPr>
        <w:pStyle w:val="BodyText"/>
        <w:rPr/>
      </w:pPr>
      <w:r>
        <w:rPr/>
        <w:t xml:space="preserve"> </w:t>
      </w:r>
    </w:p>
    <w:p>
      <w:pPr>
        <w:pStyle w:val="BodyText"/>
        <w:rPr/>
      </w:pPr>
      <w:r>
        <w:rPr/>
        <w:t xml:space="preserve">and </w:t>
      </w:r>
      <w:r>
        <w:rPr>
          <w:i/>
        </w:rPr>
        <w:t xml:space="preserve">P </w:t>
      </w:r>
      <w:r>
        <w:rPr/>
        <w:t xml:space="preserve">stands for the periodicity, for AGA, </w:t>
      </w:r>
      <w:r>
        <w:rPr>
          <w:i/>
        </w:rPr>
        <w:t>P</w:t>
      </w:r>
      <w:r>
        <w:rPr/>
        <w:t xml:space="preserve">=52 weeks, the last term in Eq. 1 denotes the auto-regressive error correction.   The model contains four parameters, which can be obtained from fitting to the historical AGA data. </w:t>
      </w:r>
    </w:p>
    <w:p>
      <w:pPr>
        <w:pStyle w:val="BodyText"/>
        <w:rPr/>
      </w:pPr>
      <w:r>
        <w:rPr/>
      </w:r>
    </w:p>
    <w:p>
      <w:pPr>
        <w:pStyle w:val="BodyText"/>
        <w:rPr/>
      </w:pPr>
      <w:r>
        <w:rPr/>
        <w:t xml:space="preserve">I applied this model to AGA weekly changes from July-95 to May-00 period, the result looks reasonable as shown below.  </w:t>
      </w:r>
    </w:p>
    <w:p>
      <w:pPr>
        <w:pStyle w:val="BodyText"/>
        <w:rPr/>
      </w:pPr>
      <w:r>
        <w:rPr/>
      </w:r>
    </w:p>
    <w:p>
      <w:pPr>
        <w:pStyle w:val="BodyText"/>
        <w:rPr/>
      </w:pPr>
      <w:r>
        <w:rPr/>
      </w:r>
    </w:p>
    <w:p>
      <w:pPr>
        <w:pStyle w:val="BodyText"/>
        <w:rPr/>
      </w:pPr>
      <w:r>
        <w:rPr/>
        <w:t>Fig. 1</w:t>
      </w:r>
    </w:p>
    <w:p>
      <w:pPr>
        <w:pStyle w:val="BodyText"/>
        <w:rPr/>
      </w:pPr>
      <w:r>
        <w:rPr/>
      </w:r>
    </w:p>
    <w:p>
      <w:pPr>
        <w:pStyle w:val="BodyText"/>
        <w:rPr/>
      </w:pPr>
      <w:r>
        <w:rPr/>
        <w:object w:dxaOrig="11521" w:dyaOrig="61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6pt;width:446.4pt;height:234.2pt;mso-wrap-distance-left:9.05pt;mso-wrap-distance-right:9.05pt;mso-position-horizontal-relative:text;mso-position-vertical-relative:text" filled="f" o:ole="">
            <v:imagedata r:id="rId3" o:title=""/>
            <w10:wrap type="topAndBottom"/>
          </v:shape>
          <o:OLEObject Type="Embed" ProgID="Excel.Sheet.12" ShapeID="ole_rId2" DrawAspect="Content" ObjectID="_959688580" r:id="rId2"/>
        </w:objec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The scattered plot between the real and forecasted data is shown in Fig. 2.  If we regress the forecasted AGA versus the real AGA data, we find 80% R-square.  In other words, 80% of the variance observed in AGA times series are explained by the forecast model, Eq. 1.</w:t>
      </w:r>
    </w:p>
    <w:p>
      <w:pPr>
        <w:pStyle w:val="BodyText"/>
        <w:rPr/>
      </w:pPr>
      <w:r>
        <w:rPr/>
      </w:r>
    </w:p>
    <w:p>
      <w:pPr>
        <w:pStyle w:val="BodyText"/>
        <w:rPr/>
      </w:pPr>
      <w:r>
        <w:rPr/>
      </w:r>
    </w:p>
    <w:p>
      <w:pPr>
        <w:pStyle w:val="BodyText"/>
        <w:rPr/>
      </w:pPr>
      <w:r>
        <w:drawing>
          <wp:anchor behindDoc="0" distT="0" distB="0" distL="114935" distR="114935" simplePos="0" locked="0" layoutInCell="1" allowOverlap="1" relativeHeight="4">
            <wp:simplePos x="0" y="0"/>
            <wp:positionH relativeFrom="column">
              <wp:posOffset>-137160</wp:posOffset>
            </wp:positionH>
            <wp:positionV relativeFrom="paragraph">
              <wp:posOffset>160655</wp:posOffset>
            </wp:positionV>
            <wp:extent cx="3749040" cy="276288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6" t="-9" r="-6" b="-9"/>
                    <a:stretch>
                      <a:fillRect/>
                    </a:stretch>
                  </pic:blipFill>
                  <pic:spPr bwMode="auto">
                    <a:xfrm>
                      <a:off x="0" y="0"/>
                      <a:ext cx="3749040" cy="2762885"/>
                    </a:xfrm>
                    <a:prstGeom prst="rect">
                      <a:avLst/>
                    </a:prstGeom>
                    <a:noFill/>
                  </pic:spPr>
                </pic:pic>
              </a:graphicData>
            </a:graphic>
          </wp:anchor>
        </w:drawing>
      </w:r>
      <w:r>
        <w:rPr/>
        <w:t>Fig. 2</w:t>
      </w:r>
    </w:p>
    <w:p>
      <w:pPr>
        <w:pStyle w:val="BodyText"/>
        <w:rPr/>
      </w:pPr>
      <w:r>
        <w:rPr/>
      </w:r>
    </w:p>
    <w:p>
      <w:pPr>
        <w:pStyle w:val="BodyText"/>
        <w:rPr/>
      </w:pPr>
      <w:r>
        <w:rPr/>
      </w:r>
    </w:p>
    <w:p>
      <w:pPr>
        <w:pStyle w:val="BodyText"/>
        <w:rPr/>
      </w:pPr>
      <w:r>
        <w:rPr/>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2000-06-06T11:50:00Z</dcterms:created>
  <dc:creator>zlu</dc:creator>
  <dc:description/>
  <dc:language>en-CA</dc:language>
  <cp:lastModifiedBy>zlu</cp:lastModifiedBy>
  <cp:lastPrinted>2000-06-09T13:33:00Z</cp:lastPrinted>
  <dcterms:modified xsi:type="dcterms:W3CDTF">2000-06-22T14:06:00Z</dcterms:modified>
  <cp:revision>20</cp:revision>
  <dc:subject/>
  <dc:title>Forecasting AGA</dc:title>
</cp:coreProperties>
</file>