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Forecast Sensitivities – Q2 2001</w:t>
      </w:r>
    </w:p>
    <w:p>
      <w:pPr>
        <w:pStyle w:val="Normal"/>
        <w:jc w:val="center"/>
        <w:rPr/>
      </w:pPr>
      <w:r>
        <w:rPr/>
        <w:t>(5/18/01)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/>
        </w:rPr>
        <w:t>FAS 133 Reserve</w:t>
      </w:r>
      <w:r>
        <w:rPr/>
        <w:t xml:space="preserve"> – AA &amp; Co. has proposed a change to our reserve methodology for non-spec trading gains/losses that will run through our PCA mechanism.  This would push approximately </w:t>
      </w:r>
      <w:r>
        <w:rPr>
          <w:b/>
        </w:rPr>
        <w:t>$8m</w:t>
      </w:r>
      <w:r>
        <w:rPr/>
        <w:t xml:space="preserve"> income from Q2 to Q3.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>
          <w:b/>
        </w:rPr>
        <w:t>Enron Overhead Allocations</w:t>
      </w:r>
      <w:r>
        <w:rPr/>
        <w:t xml:space="preserve"> </w:t>
      </w:r>
      <w:r>
        <w:rPr>
          <w:b/>
        </w:rPr>
        <w:t xml:space="preserve">-  </w:t>
      </w:r>
      <w:r>
        <w:rPr/>
        <w:t xml:space="preserve">PGE prefers to have the Q1 overheads that haven’t been billed yet to be caught up (expensed) all in Q2 (earnings neutral to Enron Corp).  Current forecast has this </w:t>
      </w:r>
      <w:r>
        <w:rPr>
          <w:b/>
        </w:rPr>
        <w:t xml:space="preserve"> $3-4 million</w:t>
      </w:r>
      <w:r>
        <w:rPr/>
        <w:t xml:space="preserve"> catch-up for Q1 evenly spread over Q2-Q4.  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>
          <w:b/>
        </w:rPr>
        <w:t xml:space="preserve">Note:  </w:t>
      </w:r>
      <w:r>
        <w:rPr/>
        <w:t xml:space="preserve">Forecast assumes Enron Overhead Billings for full year spread evenly over Q2-Q4, although we haven’t been billed anything yet for YTD April 2001.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>Sierra Integration Costs</w:t>
      </w:r>
      <w:r>
        <w:rPr/>
        <w:t xml:space="preserve"> </w:t>
      </w:r>
      <w:r>
        <w:rPr>
          <w:b/>
        </w:rPr>
        <w:t>Write-off</w:t>
      </w:r>
      <w:r>
        <w:rPr/>
        <w:t xml:space="preserve"> (PeopleSoft) - </w:t>
      </w:r>
      <w:r>
        <w:rPr>
          <w:b/>
        </w:rPr>
        <w:t xml:space="preserve">$3 million </w:t>
      </w:r>
      <w:r>
        <w:rPr/>
        <w:t>(potential recovery from Enron Corp)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rPr/>
      </w:pPr>
      <w:r>
        <w:rPr>
          <w:b/>
        </w:rPr>
        <w:t>California Receivables Reserve</w:t>
      </w:r>
      <w:r>
        <w:rPr/>
        <w:t xml:space="preserve"> – With PG&amp;E being the majority of our receivable balance from the ISO/PX, we should seriously consider increasing our credit reserve by about </w:t>
      </w:r>
      <w:r>
        <w:rPr>
          <w:b/>
        </w:rPr>
        <w:t>$8million to $10 million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2001-05-18T14:48:00Z</dcterms:created>
  <dc:creator>Kirk M. Stevens</dc:creator>
  <dc:description/>
  <dc:language>en-CA</dc:language>
  <cp:lastModifiedBy>Kirk M. Stevens</cp:lastModifiedBy>
  <dcterms:modified xsi:type="dcterms:W3CDTF">2001-05-18T18:08:00Z</dcterms:modified>
  <cp:revision>26</cp:revision>
  <dc:subject/>
  <dc:title>Forecast Sensitivities</dc:title>
</cp:coreProperties>
</file>