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pPr w:vertAnchor="page" w:horzAnchor="margin" w:tblpXSpec="center" w:leftFromText="180" w:rightFromText="180" w:tblpY="720"/>
        <w:tblW w:w="10169" w:type="dxa"/>
        <w:jc w:val="start"/>
        <w:tblInd w:w="1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214"/>
        <w:gridCol w:w="1611"/>
        <w:gridCol w:w="106"/>
        <w:gridCol w:w="899"/>
        <w:gridCol w:w="603"/>
        <w:gridCol w:w="1141"/>
        <w:gridCol w:w="603"/>
        <w:gridCol w:w="603"/>
        <w:gridCol w:w="516"/>
        <w:gridCol w:w="536"/>
        <w:gridCol w:w="627"/>
        <w:gridCol w:w="603"/>
        <w:gridCol w:w="1107"/>
      </w:tblGrid>
      <w:tr>
        <w:trPr>
          <w:trHeight w:val="962" w:hRule="atLeast"/>
        </w:trPr>
        <w:tc>
          <w:tcPr>
            <w:tcW w:w="10169" w:type="dxa"/>
            <w:gridSpan w:val="1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NEW YORK STATE DEPARTMENT OF PUBLIC SERVICE</w:t>
            </w:r>
            <w:r>
              <w:rPr>
                <w:sz w:val="22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2"/>
              </w:rPr>
              <w:t>Office of Consumer Education and Advocacy</w:t>
            </w:r>
            <w:r>
              <w:rPr>
                <w:sz w:val="22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2"/>
              </w:rPr>
              <w:t>Business Advocacy Program Area </w:t>
            </w:r>
            <w:r>
              <w:rPr>
                <w:sz w:val="22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November 2000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</w:rPr>
              <w:t>Electric Retail Access Migration</w:t>
            </w:r>
          </w:p>
        </w:tc>
      </w:tr>
      <w:tr>
        <w:trPr>
          <w:trHeight w:val="250" w:hRule="atLeast"/>
        </w:trPr>
        <w:tc>
          <w:tcPr>
            <w:tcW w:w="10169" w:type="dxa"/>
            <w:gridSpan w:val="1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Electric Statewide ESCO Migration Summary</w:t>
            </w:r>
          </w:p>
        </w:tc>
      </w:tr>
      <w:tr>
        <w:trPr>
          <w:trHeight w:val="225" w:hRule="atLeast"/>
        </w:trPr>
        <w:tc>
          <w:tcPr>
            <w:tcW w:w="10169" w:type="dxa"/>
            <w:gridSpan w:val="1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4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Non-Residential</w:t>
            </w:r>
          </w:p>
        </w:tc>
        <w:tc>
          <w:tcPr>
            <w:tcW w:w="233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Residential</w:t>
            </w:r>
          </w:p>
        </w:tc>
      </w:tr>
      <w:tr>
        <w:trPr>
          <w:trHeight w:val="1100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Number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of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Load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Number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of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br/>
              <w:t xml:space="preserve">  </w:t>
            </w:r>
          </w:p>
          <w:p>
            <w:pPr>
              <w:pStyle w:val="NormalWeb"/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Load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Number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of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br/>
              <w:t xml:space="preserve">  </w:t>
            </w:r>
          </w:p>
          <w:p>
            <w:pPr>
              <w:pStyle w:val="NormalWeb"/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Load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MWh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CUSTOMERS AND LOAD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219,408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1,315,894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40,157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1,213,062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179,251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102,832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237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% CHANGE FROM OCTOBER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4.2%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0.3%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13.2%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0.3%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2.3%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0.4%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437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October 2000 Total Customers; Load Migration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210,658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1,311,788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35,462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1,209,318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175,196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102,470</w:t>
            </w:r>
          </w:p>
        </w:tc>
      </w:tr>
      <w:tr>
        <w:trPr>
          <w:trHeight w:val="237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% CHANGE 12 MONTH PERIOD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82.1%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12.0%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27.8%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8.1%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101.2%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97.7%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Nov. 99 Total Customers; Load Migration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120,511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1,174,582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31,432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1,122,556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89,079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52,025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STATEWIDE TOTAL*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6,207,469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753,609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5,453,860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2931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STATEWIDE TOTAL MIGRATION</w:t>
            </w:r>
          </w:p>
        </w:tc>
        <w:tc>
          <w:tcPr>
            <w:tcW w:w="150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3.5%</w:t>
            </w:r>
          </w:p>
        </w:tc>
        <w:tc>
          <w:tcPr>
            <w:tcW w:w="114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5.3%</w:t>
            </w:r>
          </w:p>
        </w:tc>
        <w:tc>
          <w:tcPr>
            <w:tcW w:w="1052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3.3%</w:t>
            </w:r>
          </w:p>
        </w:tc>
        <w:tc>
          <w:tcPr>
            <w:tcW w:w="110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10169" w:type="dxa"/>
            <w:gridSpan w:val="1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 Taken from 5-yr. Plan/Blue Book 1998; 1998 data does not include LIPA, NYPA, municipals, cooperatives, and small regulated electric utilities.</w:t>
            </w:r>
          </w:p>
        </w:tc>
      </w:tr>
      <w:tr>
        <w:trPr>
          <w:trHeight w:val="225" w:hRule="atLeast"/>
        </w:trPr>
        <w:tc>
          <w:tcPr>
            <w:tcW w:w="10169" w:type="dxa"/>
            <w:gridSpan w:val="1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Electric Utility Territory ESCO Migration Summary</w:t>
            </w:r>
          </w:p>
        </w:tc>
      </w:tr>
      <w:tr>
        <w:trPr>
          <w:trHeight w:val="225" w:hRule="atLeast"/>
        </w:trPr>
        <w:tc>
          <w:tcPr>
            <w:tcW w:w="10169" w:type="dxa"/>
            <w:gridSpan w:val="1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6" w:type="dxa"/>
            <w:gridSpan w:val="5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Non-Residential</w:t>
            </w:r>
          </w:p>
        </w:tc>
        <w:tc>
          <w:tcPr>
            <w:tcW w:w="2873" w:type="dxa"/>
            <w:gridSpan w:val="4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Residential</w:t>
            </w:r>
          </w:p>
        </w:tc>
      </w:tr>
      <w:tr>
        <w:trPr>
          <w:trHeight w:val="1100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Utility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Number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of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Load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Number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of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br/>
              <w:t xml:space="preserve">  </w:t>
            </w:r>
          </w:p>
          <w:p>
            <w:pPr>
              <w:pStyle w:val="NormalWeb"/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Load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Number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of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br/>
              <w:t xml:space="preserve">  </w:t>
            </w:r>
          </w:p>
          <w:p>
            <w:pPr>
              <w:pStyle w:val="NormalWeb"/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Load</w:t>
            </w:r>
            <w:r>
              <w:rPr>
                <w:rFonts w:cs="Arial" w:ascii="Arial" w:hAnsi="Arial"/>
                <w:sz w:val="20"/>
              </w:rPr>
              <w:t xml:space="preserve"> </w:t>
              <w:br/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MWh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CHG&amp;E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390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7,453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257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7,285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133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168</w:t>
            </w:r>
          </w:p>
        </w:tc>
      </w:tr>
      <w:tr>
        <w:trPr>
          <w:trHeight w:val="237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 ED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85,125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660,399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13,756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628,831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71,369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31,567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NYSEG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30,506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163,780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5,817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144,064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24,689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19,716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37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NMPC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54,139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354,710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8,711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326,055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45,428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28,655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O&amp;R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16,967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25,829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4,056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17,832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12,911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7,997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37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RG&amp;E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32,281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103,723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7,560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88,994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24,721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14,729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21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61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219,408</w:t>
            </w:r>
          </w:p>
        </w:tc>
        <w:tc>
          <w:tcPr>
            <w:tcW w:w="1005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1,315,894</w:t>
            </w:r>
          </w:p>
        </w:tc>
        <w:tc>
          <w:tcPr>
            <w:tcW w:w="2347" w:type="dxa"/>
            <w:gridSpan w:val="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40,157</w:t>
            </w:r>
          </w:p>
        </w:tc>
        <w:tc>
          <w:tcPr>
            <w:tcW w:w="1119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1,213,062</w:t>
            </w:r>
          </w:p>
        </w:tc>
        <w:tc>
          <w:tcPr>
            <w:tcW w:w="1163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179,251</w:t>
            </w:r>
          </w:p>
        </w:tc>
        <w:tc>
          <w:tcPr>
            <w:tcW w:w="1710" w:type="dxa"/>
            <w:gridSpan w:val="2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102,832</w:t>
            </w:r>
          </w:p>
        </w:tc>
      </w:tr>
      <w:tr>
        <w:trPr>
          <w:trHeight w:val="450" w:hRule="atLeast"/>
        </w:trPr>
        <w:tc>
          <w:tcPr>
            <w:tcW w:w="10169" w:type="dxa"/>
            <w:gridSpan w:val="13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"Statewide" refers only to the six major regulated electric utilities. It does not include LIPA, NYPA, municipals, cooperatives, and small regulated electric utilities. 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20160"/>
      <w:pgMar w:left="1296" w:right="1296" w:gutter="0" w:header="0" w:top="216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2001-03-07T22:00:00Z</dcterms:created>
  <dc:creator>ksulliva</dc:creator>
  <dc:description/>
  <dc:language>en-CA</dc:language>
  <cp:lastModifiedBy>ksulliva</cp:lastModifiedBy>
  <cp:lastPrinted>2001-03-07T09:54:00Z</cp:lastPrinted>
  <dcterms:modified xsi:type="dcterms:W3CDTF">2001-03-07T22:00:00Z</dcterms:modified>
  <cp:revision>2</cp:revision>
  <dc:subject/>
  <dc:title>NEW YORK STATE DEPARTMENT OF PUBLIC SERVICE Office of Consumer Education and Advocacy Business Advocacy Program Area  November</dc:title>
</cp:coreProperties>
</file>