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270" w:leader="none"/>
        </w:tabs>
        <w:jc w:val="center"/>
        <w:rPr/>
      </w:pPr>
      <w:r>
        <w:rPr>
          <w:smallCaps/>
        </w:rPr>
        <w:t>UNITED</w:t>
      </w:r>
      <w:r>
        <w:rPr/>
        <w:t xml:space="preserve"> </w:t>
      </w:r>
      <w:r>
        <w:rPr>
          <w:smallCaps/>
        </w:rPr>
        <w:t>STATES</w:t>
      </w:r>
      <w:r>
        <w:rPr/>
        <w:t xml:space="preserve"> OF AMERICA</w:t>
      </w:r>
    </w:p>
    <w:p>
      <w:pPr>
        <w:pStyle w:val="Normal"/>
        <w:jc w:val="center"/>
        <w:rPr>
          <w:smallCaps/>
        </w:rPr>
      </w:pPr>
      <w:r>
        <w:rPr>
          <w:smallCaps/>
        </w:rPr>
        <w:t xml:space="preserve">BEFORE THE </w:t>
      </w:r>
    </w:p>
    <w:p>
      <w:pPr>
        <w:pStyle w:val="Normal"/>
        <w:jc w:val="center"/>
        <w:rPr>
          <w:smallCaps/>
        </w:rPr>
      </w:pPr>
      <w:r>
        <w:rPr>
          <w:smallCaps/>
        </w:rPr>
        <w:t>FEDERAL ENERGY REGULATORY COMMISSION</w:t>
      </w:r>
    </w:p>
    <w:p>
      <w:pPr>
        <w:pStyle w:val="Normal"/>
        <w:spacing w:before="0" w:after="120"/>
        <w:rPr>
          <w:smallCaps/>
        </w:rPr>
      </w:pPr>
      <w:r>
        <w:rPr>
          <w:smallCaps/>
        </w:rPr>
      </w:r>
    </w:p>
    <w:p>
      <w:pPr>
        <w:pStyle w:val="Normal"/>
        <w:spacing w:before="0" w:after="120"/>
        <w:rPr>
          <w:smallCaps/>
        </w:rPr>
      </w:pPr>
      <w:r>
        <w:rPr>
          <w:smallCaps/>
        </w:rPr>
      </w:r>
    </w:p>
    <w:tbl>
      <w:tblPr>
        <w:tblW w:w="8496" w:type="dxa"/>
        <w:jc w:val="start"/>
        <w:tblInd w:w="0" w:type="dxa"/>
        <w:tblLayout w:type="fixed"/>
        <w:tblCellMar>
          <w:top w:w="0" w:type="dxa"/>
          <w:start w:w="108" w:type="dxa"/>
          <w:bottom w:w="0" w:type="dxa"/>
          <w:end w:w="108" w:type="dxa"/>
        </w:tblCellMar>
      </w:tblPr>
      <w:tblGrid>
        <w:gridCol w:w="4428"/>
        <w:gridCol w:w="4068"/>
      </w:tblGrid>
      <w:tr>
        <w:trPr/>
        <w:tc>
          <w:tcPr>
            <w:tcW w:w="4428" w:type="dxa"/>
            <w:tcBorders>
              <w:end w:val="single" w:sz="6" w:space="0" w:color="000000"/>
            </w:tcBorders>
          </w:tcPr>
          <w:p>
            <w:pPr>
              <w:pStyle w:val="Caption"/>
              <w:snapToGrid w:val="false"/>
              <w:rPr/>
            </w:pPr>
            <w:r>
              <w:rPr/>
            </w:r>
          </w:p>
          <w:p>
            <w:pPr>
              <w:pStyle w:val="Caption"/>
              <w:rPr/>
            </w:pPr>
            <w:r>
              <w:rPr/>
            </w:r>
          </w:p>
          <w:p>
            <w:pPr>
              <w:pStyle w:val="Caption"/>
              <w:rPr/>
            </w:pPr>
            <w:r>
              <w:rPr/>
            </w:r>
          </w:p>
          <w:p>
            <w:pPr>
              <w:pStyle w:val="Caption"/>
              <w:rPr/>
            </w:pPr>
            <w:r>
              <w:rPr/>
            </w:r>
          </w:p>
          <w:p>
            <w:pPr>
              <w:pStyle w:val="Caption"/>
              <w:rPr/>
            </w:pPr>
            <w:r>
              <w:rPr/>
              <w:t>TRANSWESTERN PIPELINE COMPANY</w:t>
            </w:r>
          </w:p>
        </w:tc>
        <w:tc>
          <w:tcPr>
            <w:tcW w:w="4068" w:type="dxa"/>
            <w:tcBorders/>
          </w:tcPr>
          <w:p>
            <w:pPr>
              <w:pStyle w:val="Caption"/>
              <w:snapToGrid w:val="false"/>
              <w:ind w:firstLine="612" w:end="0"/>
              <w:rPr/>
            </w:pPr>
            <w:r>
              <w:rPr/>
            </w:r>
          </w:p>
          <w:p>
            <w:pPr>
              <w:pStyle w:val="Caption"/>
              <w:ind w:firstLine="612" w:end="0"/>
              <w:rPr/>
            </w:pPr>
            <w:r>
              <w:rPr/>
              <w:t>Docket No. RP97-288-009</w:t>
            </w:r>
          </w:p>
          <w:p>
            <w:pPr>
              <w:pStyle w:val="Caption"/>
              <w:ind w:firstLine="612" w:end="0"/>
              <w:rPr/>
            </w:pPr>
            <w:r>
              <w:rPr/>
              <w:t xml:space="preserve">                    </w:t>
            </w:r>
            <w:r>
              <w:rPr/>
              <w:t>RP97-288-010</w:t>
            </w:r>
          </w:p>
          <w:p>
            <w:pPr>
              <w:pStyle w:val="Caption"/>
              <w:ind w:firstLine="612" w:end="0"/>
              <w:rPr/>
            </w:pPr>
            <w:r>
              <w:rPr/>
              <w:t xml:space="preserve">                    </w:t>
            </w:r>
            <w:r>
              <w:rPr/>
              <w:t>RP97-288-011</w:t>
            </w:r>
          </w:p>
          <w:p>
            <w:pPr>
              <w:pStyle w:val="Caption"/>
              <w:ind w:firstLine="612" w:end="0"/>
              <w:rPr/>
            </w:pPr>
            <w:r>
              <w:rPr/>
              <w:t xml:space="preserve">                    </w:t>
            </w:r>
            <w:r>
              <w:rPr/>
              <w:t>RP97-288-012</w:t>
            </w:r>
          </w:p>
          <w:p>
            <w:pPr>
              <w:pStyle w:val="Caption"/>
              <w:ind w:firstLine="612" w:end="0"/>
              <w:rPr/>
            </w:pPr>
            <w:r>
              <w:rPr/>
              <w:t xml:space="preserve">                    </w:t>
            </w:r>
            <w:r>
              <w:rPr/>
              <w:t>RP97-288-013</w:t>
            </w:r>
          </w:p>
          <w:p>
            <w:pPr>
              <w:pStyle w:val="Caption"/>
              <w:ind w:firstLine="612" w:end="0"/>
              <w:rPr/>
            </w:pPr>
            <w:r>
              <w:rPr/>
              <w:t xml:space="preserve">                    </w:t>
            </w:r>
            <w:r>
              <w:rPr/>
              <w:t>RP97-288-014</w:t>
            </w:r>
          </w:p>
          <w:p>
            <w:pPr>
              <w:pStyle w:val="Caption"/>
              <w:ind w:firstLine="612" w:end="0"/>
              <w:rPr/>
            </w:pPr>
            <w:r>
              <w:rPr/>
              <w:t xml:space="preserve">                    </w:t>
            </w:r>
            <w:r>
              <w:rPr/>
              <w:t>RP97-288-015</w:t>
            </w:r>
          </w:p>
          <w:p>
            <w:pPr>
              <w:pStyle w:val="Caption"/>
              <w:ind w:firstLine="612" w:end="0"/>
              <w:rPr/>
            </w:pPr>
            <w:r>
              <w:rPr/>
              <w:t xml:space="preserve">                    </w:t>
            </w:r>
            <w:r>
              <w:rPr/>
              <w:t>RP97-288-016</w:t>
            </w:r>
          </w:p>
          <w:p>
            <w:pPr>
              <w:pStyle w:val="Caption"/>
              <w:ind w:firstLine="612" w:end="0"/>
              <w:rPr/>
            </w:pPr>
            <w:r>
              <w:rPr/>
            </w:r>
          </w:p>
        </w:tc>
      </w:tr>
    </w:tbl>
    <w:p>
      <w:pPr>
        <w:pStyle w:val="Normal"/>
        <w:spacing w:before="0" w:after="120"/>
        <w:rPr/>
      </w:pPr>
      <w:r>
        <w:rPr/>
      </w:r>
    </w:p>
    <w:p>
      <w:pPr>
        <w:pStyle w:val="Normal"/>
        <w:jc w:val="center"/>
        <w:rPr>
          <w:b/>
          <w:sz w:val="28"/>
        </w:rPr>
      </w:pPr>
      <w:r>
        <w:rPr>
          <w:b/>
          <w:sz w:val="28"/>
        </w:rPr>
        <w:t xml:space="preserve">FOLLOW-UP DATA REQUESTS OF THE PUBLIC UTILITIES </w:t>
      </w:r>
    </w:p>
    <w:p>
      <w:pPr>
        <w:pStyle w:val="Normal"/>
        <w:jc w:val="center"/>
        <w:rPr>
          <w:b/>
          <w:sz w:val="28"/>
        </w:rPr>
      </w:pPr>
      <w:r>
        <w:rPr>
          <w:b/>
          <w:sz w:val="28"/>
        </w:rPr>
        <w:t>COMMISSION OF THE STATE OF CALIFORNIA</w:t>
      </w:r>
    </w:p>
    <w:p>
      <w:pPr>
        <w:pStyle w:val="Normal"/>
        <w:spacing w:before="0" w:after="120"/>
        <w:rPr>
          <w:b/>
          <w:smallCaps/>
          <w:sz w:val="28"/>
        </w:rPr>
      </w:pPr>
      <w:r>
        <w:rPr>
          <w:b/>
          <w:smallCaps/>
          <w:sz w:val="28"/>
        </w:rPr>
      </w:r>
    </w:p>
    <w:p>
      <w:pPr>
        <w:pStyle w:val="Normal"/>
        <w:spacing w:lineRule="auto" w:line="480" w:before="0" w:after="120"/>
        <w:rPr/>
      </w:pPr>
      <w:r>
        <w:rPr/>
        <w:t>To:  Transwestern Pipeline Company</w:t>
      </w:r>
    </w:p>
    <w:p>
      <w:pPr>
        <w:pStyle w:val="Normal"/>
        <w:spacing w:lineRule="auto" w:line="360" w:before="0" w:after="120"/>
        <w:ind w:firstLine="720" w:end="0"/>
        <w:rPr/>
      </w:pPr>
      <w:r>
        <w:rPr/>
        <w:t>Because some of the responses of Transwestern Pipeline Company (“Transwestern ”) to the First Set of Data Requests submitted by the Public Utilities Commission of the State of California (“CPUC”) are incomplete or lack sufficient clarity, the following data requests are being resubmitted. Where possible, to facilitate Transwestern providing a response within the restrictive timetable for this proceeding, the request has been narrowed.  To allow time for review prior to the scheduled hearing, we ask that Transwestern’s responses be sent by e-mail by 6 p.m. California-time on  Thursday, August 23, 2001.   Please e-mail the responses to the following, all of whom have signed non-disclosure certificates:</w:t>
      </w:r>
    </w:p>
    <w:p>
      <w:pPr>
        <w:pStyle w:val="Normal"/>
        <w:spacing w:lineRule="auto" w:line="360" w:before="0" w:after="120"/>
        <w:ind w:firstLine="720" w:end="0"/>
        <w:rPr/>
      </w:pPr>
      <w:r>
        <w:rPr>
          <w:rFonts w:cs="Times New Roman"/>
          <w:color w:val="FFFFFF"/>
        </w:rPr>
        <w:t xml:space="preserve">  </w:t>
      </w:r>
      <w:r>
        <w:rPr>
          <w:color w:val="FFFFFF"/>
        </w:rPr>
        <w:t>bcp</w:t>
      </w:r>
      <w:r>
        <w:rPr/>
        <w:t xml:space="preserve"> @cpuc.ca.gov    loe@cpuc.ca.gov      imp@cpuc.ca.gov</w:t>
      </w:r>
    </w:p>
    <w:p>
      <w:pPr>
        <w:pStyle w:val="Normal"/>
        <w:spacing w:lineRule="auto" w:line="360" w:before="0" w:after="120"/>
        <w:ind w:firstLine="720" w:end="0"/>
        <w:rPr/>
      </w:pPr>
      <w:r>
        <w:rPr/>
      </w:r>
    </w:p>
    <w:p>
      <w:pPr>
        <w:pStyle w:val="Normal"/>
        <w:spacing w:lineRule="auto" w:line="360" w:before="0" w:after="120"/>
        <w:ind w:firstLine="720" w:end="0"/>
        <w:rPr/>
      </w:pPr>
      <w:r>
        <w:rPr/>
        <w:t xml:space="preserve">The same definitions and instructions of the First Set of Data Requests apply. All references to CPUC data requests refer to those set forth in the CPUC’s First Set of Data Requests.  The prior agreements regarding confidential treatment of protected material apply. </w:t>
      </w:r>
    </w:p>
    <w:p>
      <w:pPr>
        <w:pStyle w:val="Normal"/>
        <w:numPr>
          <w:ilvl w:val="0"/>
          <w:numId w:val="2"/>
        </w:numPr>
        <w:tabs>
          <w:tab w:val="left" w:pos="720" w:leader="none"/>
        </w:tabs>
        <w:spacing w:lineRule="auto" w:line="360" w:before="0" w:after="120"/>
        <w:ind w:hanging="996" w:start="900" w:end="0"/>
        <w:rPr/>
      </w:pPr>
      <w:r>
        <w:rPr>
          <w:rFonts w:cs="Times New Roman"/>
        </w:rPr>
        <w:t xml:space="preserve">   </w:t>
      </w:r>
      <w:r>
        <w:rPr/>
        <w:t xml:space="preserve">In CPUC Data Request No.4, Transwestern was asked to explain and justify any differences between the volumes nominated by SoCalGas and by PG&amp;E, and the volumes that flowed for each nomination in October 2000, and in January, February, and June 2001.   Transwestern failed, however,  to provide the requested </w:t>
      </w:r>
      <w:r>
        <w:rPr>
          <w:u w:val="single"/>
        </w:rPr>
        <w:t>explanation and justification for each day there was a difference between nominations and flows</w:t>
      </w:r>
      <w:r>
        <w:rPr/>
        <w:t xml:space="preserve"> as shown in Transwestern response to CPUC Data Request No. 3.   Accordingly, the CPUC requests again that Transwestern complete the response to Data Request No. 4 by explaining the specific causes for the differences between nominations of PG&amp;E and of SoCalGas, and the corresponding flows for each day in February 2001.  If the differences were caused on any of the relevant days in February 2001 by actions of PG&amp;E or of SoCalGas, please provide all relevant documentation.</w:t>
      </w:r>
    </w:p>
    <w:p>
      <w:pPr>
        <w:pStyle w:val="Normal"/>
        <w:numPr>
          <w:ilvl w:val="0"/>
          <w:numId w:val="2"/>
        </w:numPr>
        <w:tabs>
          <w:tab w:val="clear" w:pos="720"/>
          <w:tab w:val="left" w:pos="900" w:leader="none"/>
        </w:tabs>
        <w:spacing w:lineRule="auto" w:line="360" w:before="0" w:after="120"/>
        <w:ind w:hanging="996" w:start="900" w:end="0"/>
        <w:rPr/>
      </w:pPr>
      <w:r>
        <w:rPr/>
        <w:t>In CPUC Data Request No. 8, Transwestern was asked to explain the market conditions under which transportation based on a tariffed recourse rate would be uneconomic for a shipper on Transwestern and whether these conditions existed in December 2000, January 2001, an February 2001.  Transwestern’s response simply directed the CPUC to all of the prepared direct testimony of Steven M. Harris.  This response is incomplete and does not assist in an efficient and reasonable consideration of the issues in this proceeding.  For example, Mr. Harris refers vaguely to the relevance of “market conditions” in his testimony, but does not specify what they are or how they are applicable. (Exhibit No. TW-3, page 15, lines 1 and 2.  The CPUC, therefore, asks Transwestern again to explain, in detail, the market conditions that made tariffed recourse rates uneconomic for Sempra Energy Trading Corp. (Sempra Trading), Richardson Products Company (Richardson), BP Energy Company, Astra Power LLC, and Reliant Energy Services when they negotiated rates higher than the recourse rate in 2001.</w:t>
      </w:r>
    </w:p>
    <w:p>
      <w:pPr>
        <w:pStyle w:val="Normal"/>
        <w:numPr>
          <w:ilvl w:val="0"/>
          <w:numId w:val="2"/>
        </w:numPr>
        <w:tabs>
          <w:tab w:val="clear" w:pos="720"/>
          <w:tab w:val="left" w:pos="900" w:leader="none"/>
        </w:tabs>
        <w:spacing w:lineRule="auto" w:line="360" w:before="0" w:after="120"/>
        <w:ind w:hanging="996" w:start="900" w:end="0"/>
        <w:rPr/>
      </w:pPr>
      <w:r>
        <w:rPr/>
        <w:t xml:space="preserve">In CPUC Data Request No. 11, the CPUC requested an </w:t>
      </w:r>
      <w:r>
        <w:rPr>
          <w:u w:val="single"/>
        </w:rPr>
        <w:t>illustration</w:t>
      </w:r>
      <w:r>
        <w:rPr/>
        <w:t xml:space="preserve"> of how the transportation rates charged Sempra Trading and Richardson were calculated.  In response, Transwestern merely referred to the schedules provided in response to CPUC Data Request No. 6. The schedules indicate a formula in some of the columns.  In order to make discussion of the facts in this case clear and the hearing process thus more efficient, the CPUC again asks for an </w:t>
      </w:r>
      <w:r>
        <w:rPr>
          <w:u w:val="single"/>
        </w:rPr>
        <w:t>illustration</w:t>
      </w:r>
      <w:r>
        <w:rPr/>
        <w:t xml:space="preserve"> of the calculation for at least February 13 and 14, 2001 for Sempra Trading and for Richardson.  The calculation should include the total amount each shipper paid Transwestern for the volumes shipped each of those days and the applicable amount of any “sharing” of a basis differential. </w:t>
      </w:r>
    </w:p>
    <w:p>
      <w:pPr>
        <w:pStyle w:val="Normal"/>
        <w:spacing w:before="0" w:after="120"/>
        <w:ind w:firstLine="720" w:start="1440" w:end="0"/>
        <w:rPr/>
      </w:pPr>
      <w:r>
        <w:rPr>
          <w:rFonts w:cs="Times New Roman"/>
        </w:rPr>
        <w:t xml:space="preserve">                                       </w:t>
      </w:r>
      <w:r>
        <w:rPr/>
        <w:t>Respectfully submitted,</w:t>
      </w:r>
    </w:p>
    <w:p>
      <w:pPr>
        <w:pStyle w:val="Normal"/>
        <w:rPr/>
      </w:pPr>
      <w:r>
        <w:rPr/>
        <w:tab/>
        <w:tab/>
        <w:tab/>
        <w:tab/>
        <w:tab/>
        <w:tab/>
        <w:t xml:space="preserve">      GARY COHEN </w:t>
      </w:r>
    </w:p>
    <w:p>
      <w:pPr>
        <w:pStyle w:val="Footer"/>
        <w:tabs>
          <w:tab w:val="clear" w:pos="4320"/>
          <w:tab w:val="clear" w:pos="8640"/>
        </w:tabs>
        <w:rPr>
          <w:rFonts w:cs="Arial"/>
        </w:rPr>
      </w:pPr>
      <w:r>
        <w:rPr>
          <w:rFonts w:cs="Arial"/>
        </w:rPr>
        <w:tab/>
        <w:tab/>
        <w:tab/>
        <w:tab/>
        <w:tab/>
        <w:tab/>
        <w:t xml:space="preserve">      AROCLES AGUILAR</w:t>
      </w:r>
    </w:p>
    <w:p>
      <w:pPr>
        <w:pStyle w:val="b"/>
        <w:rPr/>
      </w:pPr>
      <w:r>
        <w:rPr/>
        <w:tab/>
        <w:tab/>
        <w:tab/>
        <w:tab/>
        <w:tab/>
        <w:tab/>
        <w:t xml:space="preserve">      HARVEY Y. MORRIS</w:t>
      </w:r>
    </w:p>
    <w:p>
      <w:pPr>
        <w:pStyle w:val="b"/>
        <w:rPr/>
      </w:pPr>
      <w:r>
        <w:rPr/>
        <w:tab/>
        <w:tab/>
        <w:tab/>
        <w:tab/>
        <w:tab/>
        <w:tab/>
        <w:t xml:space="preserve">      IDA M. PASSAMONTI</w:t>
      </w:r>
    </w:p>
    <w:p>
      <w:pPr>
        <w:pStyle w:val="Normal"/>
        <w:spacing w:before="0" w:after="120"/>
        <w:rPr/>
      </w:pPr>
      <w:r>
        <w:rPr/>
      </w:r>
    </w:p>
    <w:p>
      <w:pPr>
        <w:pStyle w:val="Normal"/>
        <w:spacing w:before="0" w:after="120"/>
        <w:rPr>
          <w:i/>
          <w:i/>
        </w:rPr>
      </w:pPr>
      <w:r>
        <w:rPr/>
        <w:tab/>
        <w:tab/>
        <w:tab/>
        <w:tab/>
        <w:tab/>
        <w:tab/>
        <w:t xml:space="preserve">     By:</w:t>
      </w:r>
      <w:r>
        <w:rPr>
          <w:u w:val="single"/>
        </w:rPr>
        <w:tab/>
        <w:tab/>
        <w:tab/>
        <w:tab/>
        <w:tab/>
      </w:r>
      <w:r>
        <w:rPr/>
        <w:tab/>
        <w:tab/>
        <w:tab/>
        <w:tab/>
        <w:tab/>
        <w:tab/>
        <w:tab/>
        <w:tab/>
        <w:t>Ida M. Passamonti</w:t>
      </w:r>
    </w:p>
    <w:p>
      <w:pPr>
        <w:pStyle w:val="Normal"/>
        <w:rPr/>
      </w:pPr>
      <w:r>
        <w:rPr/>
        <w:tab/>
        <w:tab/>
        <w:tab/>
        <w:tab/>
        <w:tab/>
        <w:tab/>
        <w:tab/>
        <w:t>505 Van Ness Avenue, Rm. 4300</w:t>
      </w:r>
    </w:p>
    <w:p>
      <w:pPr>
        <w:pStyle w:val="Normal"/>
        <w:rPr/>
      </w:pPr>
      <w:r>
        <w:rPr/>
        <w:tab/>
        <w:tab/>
        <w:tab/>
        <w:tab/>
        <w:tab/>
        <w:tab/>
        <w:tab/>
        <w:t>San Francisco, CA  94102</w:t>
      </w:r>
    </w:p>
    <w:p>
      <w:pPr>
        <w:pStyle w:val="Normal"/>
        <w:rPr/>
      </w:pPr>
      <w:r>
        <w:rPr/>
        <w:tab/>
        <w:tab/>
        <w:tab/>
        <w:tab/>
        <w:tab/>
        <w:tab/>
        <w:tab/>
        <w:t>Tel:(415) 703-1944</w:t>
      </w:r>
    </w:p>
    <w:p>
      <w:pPr>
        <w:pStyle w:val="Normal"/>
        <w:rPr/>
      </w:pPr>
      <w:r>
        <w:rPr>
          <w:rFonts w:cs="Times New Roman"/>
        </w:rPr>
        <w:t xml:space="preserve">                                                                              </w:t>
      </w:r>
      <w:r>
        <w:rPr/>
        <w:t>Fax (415) 703-4432</w:t>
      </w:r>
    </w:p>
    <w:p>
      <w:pPr>
        <w:pStyle w:val="Normal"/>
        <w:rPr>
          <w:rFonts w:cs="Times New Roman"/>
        </w:rPr>
      </w:pPr>
      <w:r>
        <w:rPr>
          <w:rFonts w:cs="Times New Roman"/>
        </w:rPr>
        <w:t xml:space="preserve"> </w:t>
      </w:r>
    </w:p>
    <w:p>
      <w:pPr>
        <w:pStyle w:val="Normal"/>
        <w:rPr/>
      </w:pPr>
      <w:r>
        <w:rPr/>
        <w:tab/>
        <w:tab/>
        <w:tab/>
        <w:tab/>
        <w:tab/>
        <w:tab/>
        <w:tab/>
        <w:t>Attorneys for the Public</w:t>
      </w:r>
    </w:p>
    <w:p>
      <w:pPr>
        <w:pStyle w:val="Normal"/>
        <w:rPr/>
      </w:pPr>
      <w:r>
        <w:rPr>
          <w:rFonts w:cs="Times New Roman"/>
        </w:rPr>
        <w:t xml:space="preserve">                                                                              </w:t>
      </w:r>
      <w:r>
        <w:rPr/>
        <w:t>Utilities Commission of</w:t>
      </w:r>
    </w:p>
    <w:p>
      <w:pPr>
        <w:pStyle w:val="Normal"/>
        <w:ind w:hanging="5040" w:start="5040" w:end="0"/>
        <w:rPr/>
      </w:pPr>
      <w:r>
        <w:rPr/>
        <w:t>Dated:  August 22, 2001</w:t>
        <w:tab/>
        <w:t xml:space="preserve"> The State of California</w:t>
      </w:r>
    </w:p>
    <w:p>
      <w:pPr>
        <w:pStyle w:val="BodyText2"/>
        <w:numPr>
          <w:ilvl w:val="0"/>
          <w:numId w:val="0"/>
        </w:numPr>
        <w:ind w:hanging="360" w:start="360" w:end="0"/>
        <w:rPr/>
      </w:pPr>
      <w:r>
        <w:rPr/>
      </w:r>
    </w:p>
    <w:p>
      <w:pPr>
        <w:pStyle w:val="Heading"/>
        <w:spacing w:before="0" w:after="0"/>
        <w:rPr>
          <w:b/>
        </w:rPr>
      </w:pPr>
      <w:r>
        <w:rPr>
          <w:rStyle w:val="LineNumber"/>
          <w:b/>
        </w:rPr>
        <w:t>CERTIFICATE OF SERVICE</w:t>
      </w:r>
    </w:p>
    <w:p>
      <w:pPr>
        <w:pStyle w:val="Normal"/>
        <w:rPr>
          <w:rStyle w:val="LineNumber"/>
          <w:b/>
        </w:rPr>
      </w:pPr>
      <w:r>
        <w:rPr>
          <w:b/>
        </w:rPr>
      </w:r>
    </w:p>
    <w:p>
      <w:pPr>
        <w:pStyle w:val="Normal"/>
        <w:ind w:end="-446"/>
        <w:rPr/>
      </w:pPr>
      <w:r>
        <w:rPr>
          <w:rStyle w:val="LineNumber"/>
        </w:rPr>
        <w:tab/>
      </w:r>
      <w:r>
        <w:rPr>
          <w:rStyle w:val="LineNumber"/>
          <w:sz w:val="24"/>
        </w:rPr>
        <w:t>I hereby certify that I have this day served the foregoing document by e-mail to:</w:t>
      </w:r>
    </w:p>
    <w:p>
      <w:pPr>
        <w:pStyle w:val="Normal"/>
        <w:ind w:end="-446"/>
        <w:rPr>
          <w:rStyle w:val="LineNumber"/>
          <w:sz w:val="24"/>
        </w:rPr>
      </w:pPr>
      <w:r>
        <w:rPr/>
      </w:r>
    </w:p>
    <w:tbl>
      <w:tblPr>
        <w:tblW w:w="10188" w:type="dxa"/>
        <w:jc w:val="start"/>
        <w:tblInd w:w="0" w:type="dxa"/>
        <w:tblLayout w:type="fixed"/>
        <w:tblCellMar>
          <w:top w:w="0" w:type="dxa"/>
          <w:start w:w="108" w:type="dxa"/>
          <w:bottom w:w="0" w:type="dxa"/>
          <w:end w:w="108" w:type="dxa"/>
        </w:tblCellMar>
      </w:tblPr>
      <w:tblGrid>
        <w:gridCol w:w="5148"/>
        <w:gridCol w:w="5040"/>
      </w:tblGrid>
      <w:tr>
        <w:trPr/>
        <w:tc>
          <w:tcPr>
            <w:tcW w:w="5148" w:type="dxa"/>
            <w:tcBorders/>
          </w:tcPr>
          <w:p>
            <w:pPr>
              <w:pStyle w:val="Normal"/>
              <w:ind w:end="-446"/>
              <w:rPr/>
            </w:pPr>
            <w:r>
              <w:rPr>
                <w:rStyle w:val="LineNumber"/>
                <w:sz w:val="24"/>
              </w:rPr>
              <w:t>Robin M Nuschler –</w:t>
            </w:r>
          </w:p>
          <w:p>
            <w:pPr>
              <w:pStyle w:val="Normal"/>
              <w:ind w:end="-446"/>
              <w:rPr>
                <w:rStyle w:val="LineNumber"/>
                <w:sz w:val="24"/>
              </w:rPr>
            </w:pPr>
            <w:r>
              <w:rPr>
                <w:rFonts w:cs="Times New Roman"/>
                <w:sz w:val="24"/>
              </w:rPr>
              <w:t xml:space="preserve"> </w:t>
            </w:r>
            <w:hyperlink r:id="rId2">
              <w:r>
                <w:rPr>
                  <w:rStyle w:val="Hyperlink"/>
                  <w:sz w:val="24"/>
                </w:rPr>
                <w:t>rnuschler@akingump.com</w:t>
              </w:r>
            </w:hyperlink>
          </w:p>
          <w:p>
            <w:pPr>
              <w:pStyle w:val="Normal"/>
              <w:ind w:end="-446"/>
              <w:rPr/>
            </w:pPr>
            <w:r>
              <w:rPr>
                <w:rStyle w:val="LineNumber"/>
                <w:sz w:val="24"/>
              </w:rPr>
              <w:t>Akin, Gump, Strauss, Hauer &amp; Feld, LLP</w:t>
            </w:r>
          </w:p>
          <w:p>
            <w:pPr>
              <w:pStyle w:val="Normal"/>
              <w:ind w:end="-446"/>
              <w:rPr/>
            </w:pPr>
            <w:r>
              <w:rPr>
                <w:rStyle w:val="LineNumber"/>
                <w:sz w:val="24"/>
              </w:rPr>
              <w:t>1333 New Hampshire Ave NW, Suite 400</w:t>
            </w:r>
          </w:p>
          <w:p>
            <w:pPr>
              <w:pStyle w:val="Normal"/>
              <w:ind w:end="-446"/>
              <w:rPr/>
            </w:pPr>
            <w:r>
              <w:rPr>
                <w:rStyle w:val="LineNumber"/>
                <w:sz w:val="24"/>
              </w:rPr>
              <w:t>Washington, DC  20036</w:t>
            </w:r>
          </w:p>
        </w:tc>
        <w:tc>
          <w:tcPr>
            <w:tcW w:w="5040" w:type="dxa"/>
            <w:tcBorders/>
          </w:tcPr>
          <w:p>
            <w:pPr>
              <w:pStyle w:val="Normal"/>
              <w:ind w:end="-450"/>
              <w:rPr/>
            </w:pPr>
            <w:r>
              <w:rPr>
                <w:rStyle w:val="LineNumber"/>
                <w:sz w:val="24"/>
              </w:rPr>
              <w:t xml:space="preserve">Charles A. Moore – </w:t>
            </w:r>
          </w:p>
          <w:p>
            <w:pPr>
              <w:pStyle w:val="Normal"/>
              <w:ind w:end="-450"/>
              <w:rPr/>
            </w:pPr>
            <w:r>
              <w:rPr>
                <w:rStyle w:val="LineNumber"/>
                <w:sz w:val="24"/>
              </w:rPr>
              <w:t>cmoore@akingump.com</w:t>
            </w:r>
          </w:p>
          <w:p>
            <w:pPr>
              <w:pStyle w:val="Normal"/>
              <w:ind w:end="-446"/>
              <w:rPr/>
            </w:pPr>
            <w:r>
              <w:rPr>
                <w:rStyle w:val="LineNumber"/>
                <w:sz w:val="24"/>
              </w:rPr>
              <w:t>Akin, Gump, Strauss, Hauer &amp; Feld, LLP</w:t>
            </w:r>
          </w:p>
          <w:p>
            <w:pPr>
              <w:pStyle w:val="Normal"/>
              <w:ind w:end="-446"/>
              <w:rPr/>
            </w:pPr>
            <w:r>
              <w:rPr>
                <w:rStyle w:val="LineNumber"/>
                <w:sz w:val="24"/>
              </w:rPr>
              <w:t>Pennzoil Place – South Tower</w:t>
            </w:r>
          </w:p>
          <w:p>
            <w:pPr>
              <w:pStyle w:val="Normal"/>
              <w:ind w:end="-446"/>
              <w:rPr/>
            </w:pPr>
            <w:r>
              <w:rPr>
                <w:rStyle w:val="LineNumber"/>
                <w:sz w:val="24"/>
              </w:rPr>
              <w:t>711 Louisiana St., Suite 1900</w:t>
            </w:r>
          </w:p>
          <w:p>
            <w:pPr>
              <w:pStyle w:val="Normal"/>
              <w:ind w:end="-446"/>
              <w:rPr/>
            </w:pPr>
            <w:r>
              <w:rPr>
                <w:rStyle w:val="LineNumber"/>
                <w:sz w:val="24"/>
              </w:rPr>
              <w:t>Houston, TX  77002</w:t>
            </w:r>
          </w:p>
          <w:p>
            <w:pPr>
              <w:pStyle w:val="Normal"/>
              <w:ind w:end="-446"/>
              <w:rPr>
                <w:rStyle w:val="LineNumber"/>
                <w:sz w:val="24"/>
              </w:rPr>
            </w:pPr>
            <w:r>
              <w:rPr/>
            </w:r>
          </w:p>
        </w:tc>
      </w:tr>
      <w:tr>
        <w:trPr/>
        <w:tc>
          <w:tcPr>
            <w:tcW w:w="5148" w:type="dxa"/>
            <w:tcBorders/>
          </w:tcPr>
          <w:p>
            <w:pPr>
              <w:pStyle w:val="Normal"/>
              <w:ind w:end="-450"/>
              <w:rPr/>
            </w:pPr>
            <w:r>
              <w:rPr>
                <w:rStyle w:val="LineNumber"/>
                <w:sz w:val="24"/>
              </w:rPr>
              <w:t xml:space="preserve">Steve Stojic – </w:t>
            </w:r>
          </w:p>
          <w:p>
            <w:pPr>
              <w:pStyle w:val="Normal"/>
              <w:ind w:end="-450"/>
              <w:rPr>
                <w:rStyle w:val="LineNumber"/>
                <w:sz w:val="24"/>
              </w:rPr>
            </w:pPr>
            <w:hyperlink r:id="rId3">
              <w:r>
                <w:rPr>
                  <w:rStyle w:val="Hyperlink"/>
                  <w:sz w:val="24"/>
                </w:rPr>
                <w:t>sstojic@gbmdc.com</w:t>
              </w:r>
            </w:hyperlink>
          </w:p>
          <w:p>
            <w:pPr>
              <w:pStyle w:val="Normal"/>
              <w:ind w:end="-446"/>
              <w:rPr/>
            </w:pPr>
            <w:r>
              <w:rPr>
                <w:rStyle w:val="LineNumber"/>
                <w:sz w:val="24"/>
              </w:rPr>
              <w:t>Gallagher, Boland and Meiburger</w:t>
            </w:r>
          </w:p>
          <w:p>
            <w:pPr>
              <w:pStyle w:val="Normal"/>
              <w:ind w:end="-446"/>
              <w:rPr/>
            </w:pPr>
            <w:r>
              <w:rPr>
                <w:rStyle w:val="LineNumber"/>
                <w:sz w:val="24"/>
              </w:rPr>
              <w:t>1023 15</w:t>
            </w:r>
            <w:r>
              <w:rPr>
                <w:rStyle w:val="LineNumber"/>
                <w:sz w:val="24"/>
                <w:vertAlign w:val="superscript"/>
              </w:rPr>
              <w:t>th</w:t>
            </w:r>
            <w:r>
              <w:rPr>
                <w:rStyle w:val="LineNumber"/>
                <w:sz w:val="24"/>
              </w:rPr>
              <w:t xml:space="preserve"> Street NW, Suite 900</w:t>
            </w:r>
          </w:p>
          <w:p>
            <w:pPr>
              <w:pStyle w:val="Normal"/>
              <w:ind w:end="-446"/>
              <w:rPr/>
            </w:pPr>
            <w:r>
              <w:rPr>
                <w:rStyle w:val="LineNumber"/>
                <w:sz w:val="24"/>
              </w:rPr>
              <w:t>Washington, DC  20005-2602</w:t>
            </w:r>
          </w:p>
          <w:p>
            <w:pPr>
              <w:pStyle w:val="Normal"/>
              <w:ind w:end="-446"/>
              <w:rPr>
                <w:rStyle w:val="LineNumber"/>
                <w:sz w:val="24"/>
              </w:rPr>
            </w:pPr>
            <w:r>
              <w:rPr/>
            </w:r>
          </w:p>
        </w:tc>
        <w:tc>
          <w:tcPr>
            <w:tcW w:w="5040" w:type="dxa"/>
            <w:tcBorders/>
          </w:tcPr>
          <w:p>
            <w:pPr>
              <w:pStyle w:val="Normal"/>
              <w:ind w:end="-450"/>
              <w:rPr/>
            </w:pPr>
            <w:r>
              <w:rPr>
                <w:rStyle w:val="LineNumber"/>
                <w:sz w:val="24"/>
              </w:rPr>
              <w:t xml:space="preserve">J. Gregory Porter – </w:t>
            </w:r>
          </w:p>
          <w:p>
            <w:pPr>
              <w:pStyle w:val="Normal"/>
              <w:ind w:end="-450"/>
              <w:rPr/>
            </w:pPr>
            <w:r>
              <w:rPr>
                <w:rStyle w:val="LineNumber"/>
                <w:sz w:val="24"/>
              </w:rPr>
              <w:t>greg.porter.enron.com</w:t>
            </w:r>
          </w:p>
          <w:p>
            <w:pPr>
              <w:pStyle w:val="Normal"/>
              <w:ind w:end="-446"/>
              <w:rPr>
                <w:rStyle w:val="LineNumber"/>
                <w:sz w:val="24"/>
              </w:rPr>
            </w:pPr>
            <w:r>
              <w:rPr>
                <w:rStyle w:val="LineNumber"/>
                <w:sz w:val="24"/>
              </w:rPr>
              <w:t>1111 S. 103</w:t>
            </w:r>
            <w:r>
              <w:rPr>
                <w:rStyle w:val="LineNumber"/>
                <w:sz w:val="24"/>
                <w:vertAlign w:val="superscript"/>
              </w:rPr>
              <w:t>rd</w:t>
            </w:r>
          </w:p>
          <w:p>
            <w:pPr>
              <w:pStyle w:val="Normal"/>
              <w:ind w:end="-446"/>
              <w:rPr/>
            </w:pPr>
            <w:r>
              <w:rPr>
                <w:rStyle w:val="LineNumber"/>
                <w:sz w:val="24"/>
              </w:rPr>
              <w:t>Omaha, NE  68103-0330</w:t>
            </w:r>
          </w:p>
        </w:tc>
      </w:tr>
      <w:tr>
        <w:trPr/>
        <w:tc>
          <w:tcPr>
            <w:tcW w:w="5148" w:type="dxa"/>
            <w:tcBorders/>
          </w:tcPr>
          <w:p>
            <w:pPr>
              <w:pStyle w:val="Normal"/>
              <w:ind w:end="-450"/>
              <w:rPr/>
            </w:pPr>
            <w:r>
              <w:rPr>
                <w:rStyle w:val="LineNumber"/>
                <w:sz w:val="24"/>
              </w:rPr>
              <w:t xml:space="preserve">Drew J. Fossum – </w:t>
            </w:r>
          </w:p>
          <w:p>
            <w:pPr>
              <w:pStyle w:val="Normal"/>
              <w:ind w:end="-450"/>
              <w:rPr>
                <w:rStyle w:val="LineNumber"/>
                <w:sz w:val="24"/>
              </w:rPr>
            </w:pPr>
            <w:hyperlink r:id="rId4">
              <w:r>
                <w:rPr>
                  <w:rStyle w:val="Hyperlink"/>
                  <w:sz w:val="24"/>
                </w:rPr>
                <w:t>drew.fossum@enron.com</w:t>
              </w:r>
            </w:hyperlink>
          </w:p>
          <w:p>
            <w:pPr>
              <w:pStyle w:val="Normal"/>
              <w:ind w:end="-446"/>
              <w:rPr/>
            </w:pPr>
            <w:r>
              <w:rPr>
                <w:rStyle w:val="LineNumber"/>
                <w:sz w:val="24"/>
              </w:rPr>
              <w:t>Enron Corporation, Office of General Counsel</w:t>
            </w:r>
          </w:p>
          <w:p>
            <w:pPr>
              <w:pStyle w:val="Normal"/>
              <w:ind w:end="-446"/>
              <w:rPr/>
            </w:pPr>
            <w:r>
              <w:rPr>
                <w:rStyle w:val="LineNumber"/>
                <w:sz w:val="24"/>
              </w:rPr>
              <w:t>1400 Smith Street</w:t>
            </w:r>
          </w:p>
          <w:p>
            <w:pPr>
              <w:pStyle w:val="Normal"/>
              <w:ind w:end="-446"/>
              <w:rPr/>
            </w:pPr>
            <w:r>
              <w:rPr>
                <w:rStyle w:val="LineNumber"/>
                <w:sz w:val="24"/>
              </w:rPr>
              <w:t>Houston, TX  77002</w:t>
            </w:r>
          </w:p>
          <w:p>
            <w:pPr>
              <w:pStyle w:val="Normal"/>
              <w:ind w:end="-446"/>
              <w:rPr>
                <w:rStyle w:val="LineNumber"/>
                <w:sz w:val="24"/>
              </w:rPr>
            </w:pPr>
            <w:r>
              <w:rPr/>
            </w:r>
          </w:p>
        </w:tc>
        <w:tc>
          <w:tcPr>
            <w:tcW w:w="5040" w:type="dxa"/>
            <w:tcBorders/>
          </w:tcPr>
          <w:p>
            <w:pPr>
              <w:pStyle w:val="BodyText"/>
              <w:spacing w:before="0" w:after="0"/>
              <w:rPr/>
            </w:pPr>
            <w:r>
              <w:rPr>
                <w:rStyle w:val="LineNumber"/>
                <w:sz w:val="24"/>
              </w:rPr>
              <w:t xml:space="preserve">Douglas Beresford – </w:t>
            </w:r>
          </w:p>
          <w:p>
            <w:pPr>
              <w:pStyle w:val="BodyText"/>
              <w:spacing w:before="0" w:after="0"/>
              <w:rPr/>
            </w:pPr>
            <w:r>
              <w:rPr>
                <w:rStyle w:val="LineNumber"/>
                <w:sz w:val="24"/>
              </w:rPr>
              <w:t xml:space="preserve">dlberesford@hhlaw.com </w:t>
            </w:r>
          </w:p>
          <w:p>
            <w:pPr>
              <w:pStyle w:val="BodyText"/>
              <w:spacing w:before="0" w:after="0"/>
              <w:rPr/>
            </w:pPr>
            <w:r>
              <w:rPr>
                <w:rStyle w:val="LineNumber"/>
                <w:sz w:val="24"/>
              </w:rPr>
              <w:t>Hogan &amp; Hartson LLP</w:t>
            </w:r>
          </w:p>
          <w:p>
            <w:pPr>
              <w:pStyle w:val="BodyText"/>
              <w:spacing w:before="0" w:after="0"/>
              <w:rPr/>
            </w:pPr>
            <w:r>
              <w:rPr>
                <w:rStyle w:val="LineNumber"/>
                <w:sz w:val="24"/>
              </w:rPr>
              <w:t>555 13</w:t>
            </w:r>
            <w:r>
              <w:rPr>
                <w:rStyle w:val="LineNumber"/>
                <w:sz w:val="24"/>
                <w:vertAlign w:val="superscript"/>
              </w:rPr>
              <w:t>th</w:t>
            </w:r>
            <w:r>
              <w:rPr>
                <w:rStyle w:val="LineNumber"/>
                <w:sz w:val="24"/>
              </w:rPr>
              <w:t xml:space="preserve"> Street NW</w:t>
            </w:r>
          </w:p>
          <w:p>
            <w:pPr>
              <w:pStyle w:val="Normal"/>
              <w:ind w:end="-446"/>
              <w:rPr/>
            </w:pPr>
            <w:r>
              <w:rPr>
                <w:rStyle w:val="LineNumber"/>
                <w:sz w:val="24"/>
              </w:rPr>
              <w:t>Washington, DC  20004</w:t>
            </w:r>
          </w:p>
        </w:tc>
      </w:tr>
      <w:tr>
        <w:trPr/>
        <w:tc>
          <w:tcPr>
            <w:tcW w:w="5148" w:type="dxa"/>
            <w:tcBorders/>
          </w:tcPr>
          <w:p>
            <w:pPr>
              <w:pStyle w:val="Normal"/>
              <w:ind w:end="-450"/>
              <w:rPr/>
            </w:pPr>
            <w:r>
              <w:rPr>
                <w:rStyle w:val="LineNumber"/>
                <w:sz w:val="24"/>
              </w:rPr>
              <w:t xml:space="preserve">Gordon J. Smith – </w:t>
            </w:r>
          </w:p>
          <w:p>
            <w:pPr>
              <w:pStyle w:val="Normal"/>
              <w:ind w:end="-450"/>
              <w:rPr/>
            </w:pPr>
            <w:r>
              <w:rPr>
                <w:rStyle w:val="LineNumber"/>
                <w:sz w:val="24"/>
              </w:rPr>
              <w:t>g.smith@jhenergy.com</w:t>
            </w:r>
          </w:p>
          <w:p>
            <w:pPr>
              <w:pStyle w:val="Normal"/>
              <w:ind w:end="-446"/>
              <w:rPr/>
            </w:pPr>
            <w:r>
              <w:rPr>
                <w:rStyle w:val="LineNumber"/>
                <w:sz w:val="24"/>
              </w:rPr>
              <w:t>John &amp; Hengerer</w:t>
            </w:r>
          </w:p>
          <w:p>
            <w:pPr>
              <w:pStyle w:val="Normal"/>
              <w:ind w:end="-446"/>
              <w:rPr/>
            </w:pPr>
            <w:r>
              <w:rPr>
                <w:rStyle w:val="LineNumber"/>
                <w:sz w:val="24"/>
              </w:rPr>
              <w:t>1200 17</w:t>
            </w:r>
            <w:r>
              <w:rPr>
                <w:rStyle w:val="LineNumber"/>
                <w:sz w:val="24"/>
                <w:vertAlign w:val="superscript"/>
              </w:rPr>
              <w:t>th</w:t>
            </w:r>
            <w:r>
              <w:rPr>
                <w:rStyle w:val="LineNumber"/>
                <w:sz w:val="24"/>
              </w:rPr>
              <w:t xml:space="preserve"> Street NW, Suite 600</w:t>
            </w:r>
          </w:p>
          <w:p>
            <w:pPr>
              <w:pStyle w:val="Normal"/>
              <w:ind w:end="-446"/>
              <w:rPr/>
            </w:pPr>
            <w:r>
              <w:rPr>
                <w:rStyle w:val="LineNumber"/>
                <w:sz w:val="24"/>
              </w:rPr>
              <w:t>Washington, DC  20036</w:t>
            </w:r>
          </w:p>
          <w:p>
            <w:pPr>
              <w:pStyle w:val="Normal"/>
              <w:ind w:end="-446"/>
              <w:rPr>
                <w:rStyle w:val="LineNumber"/>
                <w:sz w:val="24"/>
              </w:rPr>
            </w:pPr>
            <w:r>
              <w:rPr/>
            </w:r>
          </w:p>
        </w:tc>
        <w:tc>
          <w:tcPr>
            <w:tcW w:w="5040" w:type="dxa"/>
            <w:tcBorders/>
          </w:tcPr>
          <w:p>
            <w:pPr>
              <w:pStyle w:val="Normal"/>
              <w:ind w:end="-450"/>
              <w:rPr/>
            </w:pPr>
            <w:r>
              <w:rPr>
                <w:rStyle w:val="LineNumber"/>
                <w:sz w:val="24"/>
              </w:rPr>
              <w:t>Katherine B. Edwards –</w:t>
            </w:r>
          </w:p>
          <w:p>
            <w:pPr>
              <w:pStyle w:val="Normal"/>
              <w:ind w:end="-450"/>
              <w:rPr>
                <w:rStyle w:val="LineNumber"/>
                <w:sz w:val="24"/>
              </w:rPr>
            </w:pPr>
            <w:r>
              <w:rPr>
                <w:rStyle w:val="LineNumber"/>
                <w:rFonts w:cs="Times New Roman"/>
                <w:sz w:val="24"/>
              </w:rPr>
              <w:t xml:space="preserve"> </w:t>
            </w:r>
            <w:hyperlink r:id="rId5">
              <w:r>
                <w:rPr>
                  <w:rStyle w:val="Hyperlink"/>
                  <w:sz w:val="24"/>
                </w:rPr>
                <w:t>kbedwards@GKRSE-law.com</w:t>
              </w:r>
            </w:hyperlink>
          </w:p>
          <w:p>
            <w:pPr>
              <w:pStyle w:val="Normal"/>
              <w:ind w:end="-450"/>
              <w:rPr/>
            </w:pPr>
            <w:r>
              <w:rPr>
                <w:rStyle w:val="LineNumber"/>
                <w:sz w:val="24"/>
              </w:rPr>
              <w:t>1500 K Street NW, Suite 330</w:t>
            </w:r>
          </w:p>
          <w:p>
            <w:pPr>
              <w:pStyle w:val="Normal"/>
              <w:ind w:end="-450"/>
              <w:rPr/>
            </w:pPr>
            <w:r>
              <w:rPr>
                <w:rStyle w:val="LineNumber"/>
                <w:sz w:val="24"/>
              </w:rPr>
              <w:t>Washington, DC  20005</w:t>
            </w:r>
          </w:p>
        </w:tc>
      </w:tr>
      <w:tr>
        <w:trPr/>
        <w:tc>
          <w:tcPr>
            <w:tcW w:w="5148" w:type="dxa"/>
            <w:tcBorders/>
          </w:tcPr>
          <w:p>
            <w:pPr>
              <w:pStyle w:val="Normal"/>
              <w:ind w:end="-450"/>
              <w:rPr/>
            </w:pPr>
            <w:r>
              <w:rPr>
                <w:rStyle w:val="LineNumber"/>
                <w:sz w:val="24"/>
              </w:rPr>
              <w:t>Paul B. Mohler –</w:t>
            </w:r>
          </w:p>
          <w:p>
            <w:pPr>
              <w:pStyle w:val="Normal"/>
              <w:ind w:end="-450"/>
              <w:rPr/>
            </w:pPr>
            <w:r>
              <w:rPr>
                <w:rStyle w:val="LineNumber"/>
                <w:rFonts w:cs="Times New Roman"/>
                <w:sz w:val="24"/>
              </w:rPr>
              <w:t xml:space="preserve"> </w:t>
            </w:r>
            <w:r>
              <w:rPr>
                <w:rStyle w:val="LineNumber"/>
                <w:sz w:val="24"/>
              </w:rPr>
              <w:t>pmohler@hewm.com</w:t>
            </w:r>
          </w:p>
          <w:p>
            <w:pPr>
              <w:pStyle w:val="Normal"/>
              <w:ind w:end="-446"/>
              <w:rPr/>
            </w:pPr>
            <w:r>
              <w:rPr>
                <w:rStyle w:val="LineNumber"/>
                <w:sz w:val="24"/>
              </w:rPr>
              <w:t>Heller, Ehrman, White &amp; McAuliffe</w:t>
            </w:r>
          </w:p>
          <w:p>
            <w:pPr>
              <w:pStyle w:val="Normal"/>
              <w:ind w:end="-446"/>
              <w:rPr/>
            </w:pPr>
            <w:r>
              <w:rPr>
                <w:rStyle w:val="LineNumber"/>
                <w:sz w:val="24"/>
              </w:rPr>
              <w:t>1666 K Street NW, Suite 300</w:t>
            </w:r>
          </w:p>
          <w:p>
            <w:pPr>
              <w:pStyle w:val="Normal"/>
              <w:ind w:end="-446"/>
              <w:rPr/>
            </w:pPr>
            <w:r>
              <w:rPr>
                <w:rStyle w:val="LineNumber"/>
                <w:sz w:val="24"/>
              </w:rPr>
              <w:t>Washington, DC  20006-1228</w:t>
            </w:r>
          </w:p>
        </w:tc>
        <w:tc>
          <w:tcPr>
            <w:tcW w:w="5040" w:type="dxa"/>
            <w:tcBorders/>
          </w:tcPr>
          <w:p>
            <w:pPr>
              <w:pStyle w:val="Normal"/>
              <w:rPr/>
            </w:pPr>
            <w:r>
              <w:rPr>
                <w:rStyle w:val="LineNumber"/>
                <w:sz w:val="24"/>
              </w:rPr>
              <w:t xml:space="preserve">M. Lisanne Crowley – </w:t>
            </w:r>
          </w:p>
          <w:p>
            <w:pPr>
              <w:pStyle w:val="Normal"/>
              <w:rPr>
                <w:rStyle w:val="LineNumber"/>
                <w:sz w:val="24"/>
              </w:rPr>
            </w:pPr>
            <w:r>
              <w:rPr>
                <w:rStyle w:val="LineNumber"/>
                <w:sz w:val="24"/>
              </w:rPr>
              <w:t xml:space="preserve">lisanne crowley </w:t>
            </w:r>
            <w:hyperlink r:id="rId6">
              <w:r>
                <w:rPr>
                  <w:rStyle w:val="Hyperlink"/>
                  <w:sz w:val="24"/>
                </w:rPr>
                <w:t>@troutmansanders.com</w:t>
              </w:r>
            </w:hyperlink>
          </w:p>
          <w:p>
            <w:pPr>
              <w:pStyle w:val="Normal"/>
              <w:rPr/>
            </w:pPr>
            <w:r>
              <w:rPr>
                <w:rStyle w:val="LineNumber"/>
                <w:sz w:val="24"/>
              </w:rPr>
              <w:t>Troutman Sanders LLP</w:t>
            </w:r>
          </w:p>
          <w:p>
            <w:pPr>
              <w:pStyle w:val="Normal"/>
              <w:rPr/>
            </w:pPr>
            <w:r>
              <w:rPr>
                <w:rStyle w:val="LineNumber"/>
                <w:sz w:val="24"/>
              </w:rPr>
              <w:t>401 9</w:t>
            </w:r>
            <w:r>
              <w:rPr>
                <w:rStyle w:val="LineNumber"/>
                <w:sz w:val="24"/>
                <w:vertAlign w:val="superscript"/>
              </w:rPr>
              <w:t>th</w:t>
            </w:r>
            <w:r>
              <w:rPr>
                <w:rStyle w:val="LineNumber"/>
                <w:sz w:val="24"/>
              </w:rPr>
              <w:t xml:space="preserve"> Street NW, Suite 1000</w:t>
            </w:r>
          </w:p>
          <w:p>
            <w:pPr>
              <w:pStyle w:val="Normal"/>
              <w:rPr/>
            </w:pPr>
            <w:r>
              <w:rPr>
                <w:rStyle w:val="LineNumber"/>
                <w:sz w:val="24"/>
              </w:rPr>
              <w:t>Washington, DC  20004-2134</w:t>
            </w:r>
          </w:p>
        </w:tc>
      </w:tr>
      <w:tr>
        <w:trPr/>
        <w:tc>
          <w:tcPr>
            <w:tcW w:w="5148" w:type="dxa"/>
            <w:tcBorders/>
          </w:tcPr>
          <w:p>
            <w:pPr>
              <w:pStyle w:val="Normal"/>
              <w:rPr/>
            </w:pPr>
            <w:r>
              <w:rPr>
                <w:rStyle w:val="LineNumber"/>
                <w:sz w:val="24"/>
              </w:rPr>
              <w:t xml:space="preserve">Thomas J. Burgess –  </w:t>
            </w:r>
          </w:p>
          <w:p>
            <w:pPr>
              <w:pStyle w:val="Normal"/>
              <w:rPr>
                <w:rStyle w:val="LineNumber"/>
                <w:sz w:val="24"/>
              </w:rPr>
            </w:pPr>
            <w:r>
              <w:rPr/>
            </w:r>
          </w:p>
          <w:p>
            <w:pPr>
              <w:pStyle w:val="Normal"/>
              <w:rPr>
                <w:rStyle w:val="LineNumber"/>
                <w:sz w:val="24"/>
              </w:rPr>
            </w:pPr>
            <w:r>
              <w:rPr/>
            </w:r>
          </w:p>
          <w:p>
            <w:pPr>
              <w:pStyle w:val="Normal"/>
              <w:rPr>
                <w:rStyle w:val="LineNumber"/>
                <w:sz w:val="24"/>
              </w:rPr>
            </w:pPr>
            <w:hyperlink r:id="rId7">
              <w:r>
                <w:rPr>
                  <w:rStyle w:val="Hyperlink"/>
                  <w:sz w:val="24"/>
                </w:rPr>
                <w:t>Thomas.Burgess @FERC.FED.US</w:t>
              </w:r>
            </w:hyperlink>
          </w:p>
          <w:p>
            <w:pPr>
              <w:pStyle w:val="Normal"/>
              <w:rPr/>
            </w:pPr>
            <w:r>
              <w:rPr>
                <w:rStyle w:val="LineNumber"/>
                <w:sz w:val="24"/>
              </w:rPr>
              <w:t>Federal Energy Regulatory Commission</w:t>
            </w:r>
          </w:p>
          <w:p>
            <w:pPr>
              <w:pStyle w:val="Normal"/>
              <w:rPr/>
            </w:pPr>
            <w:r>
              <w:rPr>
                <w:rStyle w:val="LineNumber"/>
                <w:sz w:val="24"/>
              </w:rPr>
              <w:t>888 First Street NW, Room 51-09</w:t>
            </w:r>
          </w:p>
          <w:p>
            <w:pPr>
              <w:pStyle w:val="Normal"/>
              <w:rPr/>
            </w:pPr>
            <w:r>
              <w:rPr>
                <w:rStyle w:val="LineNumber"/>
                <w:sz w:val="24"/>
              </w:rPr>
              <w:t>Washington, DC  20426</w:t>
            </w:r>
          </w:p>
        </w:tc>
        <w:tc>
          <w:tcPr>
            <w:tcW w:w="5040" w:type="dxa"/>
            <w:tcBorders/>
          </w:tcPr>
          <w:p>
            <w:pPr>
              <w:pStyle w:val="Normal"/>
              <w:snapToGrid w:val="false"/>
              <w:ind w:end="-446"/>
              <w:rPr>
                <w:rStyle w:val="LineNumber"/>
                <w:sz w:val="24"/>
              </w:rPr>
            </w:pPr>
            <w:r>
              <w:rPr/>
            </w:r>
          </w:p>
        </w:tc>
      </w:tr>
    </w:tbl>
    <w:p>
      <w:pPr>
        <w:pStyle w:val="Normal"/>
        <w:rPr>
          <w:rStyle w:val="LineNumber"/>
          <w:sz w:val="24"/>
        </w:rPr>
      </w:pPr>
      <w:r>
        <w:rPr/>
      </w:r>
    </w:p>
    <w:p>
      <w:pPr>
        <w:pStyle w:val="BodyText2"/>
        <w:numPr>
          <w:ilvl w:val="0"/>
          <w:numId w:val="0"/>
        </w:numPr>
        <w:spacing w:lineRule="auto" w:line="240"/>
        <w:ind w:hanging="360" w:start="360" w:end="0"/>
        <w:rPr>
          <w:sz w:val="24"/>
        </w:rPr>
      </w:pPr>
      <w:r>
        <w:rPr>
          <w:sz w:val="24"/>
        </w:rPr>
        <w:tab/>
        <w:t>Dated at San Francisco, California, this 22nd day of August, 2001.</w:t>
      </w:r>
    </w:p>
    <w:p>
      <w:pPr>
        <w:pStyle w:val="BodyText2"/>
        <w:numPr>
          <w:ilvl w:val="0"/>
          <w:numId w:val="0"/>
        </w:numPr>
        <w:spacing w:lineRule="auto" w:line="240"/>
        <w:ind w:hanging="360" w:start="360" w:end="0"/>
        <w:rPr>
          <w:sz w:val="24"/>
        </w:rPr>
      </w:pPr>
      <w:r>
        <w:rPr>
          <w:sz w:val="24"/>
        </w:rPr>
      </w:r>
    </w:p>
    <w:p>
      <w:pPr>
        <w:pStyle w:val="Footer"/>
        <w:tabs>
          <w:tab w:val="clear" w:pos="4320"/>
          <w:tab w:val="clear" w:pos="8640"/>
        </w:tabs>
        <w:rPr>
          <w:sz w:val="24"/>
        </w:rPr>
      </w:pPr>
      <w:r>
        <w:rPr>
          <w:sz w:val="24"/>
        </w:rPr>
        <w:tab/>
        <w:tab/>
        <w:tab/>
        <w:tab/>
        <w:tab/>
        <w:tab/>
        <w:t>____________________________</w:t>
      </w:r>
    </w:p>
    <w:p>
      <w:pPr>
        <w:pStyle w:val="Normal"/>
        <w:rPr>
          <w:sz w:val="24"/>
        </w:rPr>
      </w:pPr>
      <w:r>
        <w:rPr>
          <w:sz w:val="24"/>
        </w:rPr>
        <w:tab/>
        <w:tab/>
        <w:tab/>
        <w:tab/>
        <w:tab/>
        <w:tab/>
        <w:tab/>
        <w:t>Ida M. Passamonti</w:t>
      </w:r>
    </w:p>
    <w:p>
      <w:pPr>
        <w:pStyle w:val="BodyText2"/>
        <w:numPr>
          <w:ilvl w:val="0"/>
          <w:numId w:val="0"/>
        </w:numPr>
        <w:ind w:hanging="360" w:start="360" w:end="0"/>
        <w:rPr>
          <w:sz w:val="24"/>
        </w:rPr>
      </w:pPr>
      <w:r>
        <w:rPr>
          <w:sz w:val="24"/>
        </w:rPr>
      </w:r>
    </w:p>
    <w:p>
      <w:pPr>
        <w:pStyle w:val="Normal"/>
        <w:rPr>
          <w:sz w:val="24"/>
        </w:rPr>
      </w:pPr>
      <w:r>
        <w:rPr>
          <w:sz w:val="24"/>
        </w:rPr>
      </w:r>
    </w:p>
    <w:sectPr>
      <w:footerReference w:type="default" r:id="rId8"/>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3185" cy="189865"/>
              <wp:effectExtent l="0" t="0" r="0" b="0"/>
              <wp:wrapSquare wrapText="bothSides"/>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12.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1716"/>
        </w:tabs>
        <w:ind w:start="1716" w:hanging="996"/>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6"/>
      <w:szCs w:val="20"/>
      <w:lang w:val="en-US" w:bidi="ar-SA" w:eastAsia="zh-CN"/>
    </w:rPr>
  </w:style>
  <w:style w:type="character" w:styleId="WW8Num2z0">
    <w:name w:val="WW8Num2z0"/>
    <w:qFormat/>
    <w:rPr/>
  </w:style>
  <w:style w:type="character" w:styleId="DefaultParagraphFont">
    <w:name w:val="Default Paragraph Font"/>
    <w:qFormat/>
    <w:rPr/>
  </w:style>
  <w:style w:type="character" w:styleId="LineNumber">
    <w:name w:val="line number"/>
    <w:basedOn w:val="DefaultParagraphFon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0" w:after="120"/>
      <w:jc w:val="center"/>
    </w:pPr>
    <w:rPr>
      <w:b/>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BodyText"/>
    <w:qFormat/>
    <w:pPr>
      <w:tabs>
        <w:tab w:val="clear" w:pos="720"/>
        <w:tab w:val="left" w:pos="4320" w:leader="none"/>
        <w:tab w:val="left" w:pos="5040" w:leader="none"/>
      </w:tabs>
      <w:spacing w:before="0" w:after="0"/>
    </w:pPr>
    <w:rPr>
      <w:rFonts w:cs="Times New Roman"/>
    </w:rPr>
  </w:style>
  <w:style w:type="paragraph" w:styleId="Index">
    <w:name w:val="Index"/>
    <w:basedOn w:val="Normal"/>
    <w:qFormat/>
    <w:pPr>
      <w:suppressLineNumbers/>
    </w:pPr>
    <w:rPr>
      <w:rFonts w:cs="NotoSans NF"/>
    </w:rPr>
  </w:style>
  <w:style w:type="paragraph" w:styleId="BodyText2">
    <w:name w:val="Body Text 2"/>
    <w:basedOn w:val="Normal"/>
    <w:qFormat/>
    <w:pPr>
      <w:numPr>
        <w:ilvl w:val="0"/>
        <w:numId w:val="1"/>
      </w:numPr>
      <w:spacing w:lineRule="auto" w:line="480"/>
    </w:pPr>
    <w:rPr>
      <w:rFonts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cs="Times New Roman"/>
    </w:rPr>
  </w:style>
  <w:style w:type="paragraph" w:styleId="b">
    <w:name w:val="b"/>
    <w:basedOn w:val="Normal"/>
    <w:qFormat/>
    <w:pPr/>
    <w:rPr>
      <w:rFonts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uschler@akingump.com" TargetMode="External"/><Relationship Id="rId3" Type="http://schemas.openxmlformats.org/officeDocument/2006/relationships/hyperlink" Target="mailto:sstpkoc@gbmdc.com" TargetMode="External"/><Relationship Id="rId4" Type="http://schemas.openxmlformats.org/officeDocument/2006/relationships/hyperlink" Target="mailto:drew.fossum@enron.com" TargetMode="External"/><Relationship Id="rId5" Type="http://schemas.openxmlformats.org/officeDocument/2006/relationships/hyperlink" Target="mailto:kbedwards@GKRSE-law.com" TargetMode="External"/><Relationship Id="rId6" Type="http://schemas.openxmlformats.org/officeDocument/2006/relationships/hyperlink" Target="mailto:lisanne.crowley@troutmansanders.com" TargetMode="External"/><Relationship Id="rId7" Type="http://schemas.openxmlformats.org/officeDocument/2006/relationships/hyperlink" Target="mailto:Thomas.Burgess@FERC.FED.US"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2001-08-21T20:53:00Z</dcterms:created>
  <dc:creator>IMP</dc:creator>
  <dc:description/>
  <dc:language>en-CA</dc:language>
  <cp:lastModifiedBy>IMP</cp:lastModifiedBy>
  <cp:lastPrinted>2001-08-22T12:20:00Z</cp:lastPrinted>
  <dcterms:modified xsi:type="dcterms:W3CDTF">2001-08-22T17:06:00Z</dcterms:modified>
  <cp:revision>7</cp:revision>
  <dc:subject/>
  <dc:title>UNITED STATES OF AMERICA</dc:title>
</cp:coreProperties>
</file>