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0" w:after="240"/>
        <w:ind w:hanging="0" w:start="0"/>
        <w:jc w:val="center"/>
        <w:rPr/>
      </w:pPr>
      <w:r>
        <w:rPr/>
        <w:t>Enhancement Request Document</w:t>
      </w:r>
    </w:p>
    <w:tbl>
      <w:tblPr>
        <w:tblW w:w="10278" w:type="dxa"/>
        <w:jc w:val="start"/>
        <w:tblInd w:w="0" w:type="dxa"/>
        <w:tblLayout w:type="fixed"/>
        <w:tblCellMar>
          <w:top w:w="0" w:type="dxa"/>
          <w:start w:w="108" w:type="dxa"/>
          <w:bottom w:w="0" w:type="dxa"/>
          <w:end w:w="108" w:type="dxa"/>
        </w:tblCellMar>
      </w:tblPr>
      <w:tblGrid>
        <w:gridCol w:w="2569"/>
        <w:gridCol w:w="2399"/>
        <w:gridCol w:w="2569"/>
        <w:gridCol w:w="2741"/>
      </w:tblGrid>
      <w:tr>
        <w:trPr>
          <w:trHeight w:val="279" w:hRule="atLeast"/>
        </w:trPr>
        <w:tc>
          <w:tcPr>
            <w:tcW w:w="2569" w:type="dxa"/>
            <w:tcBorders/>
            <w:vAlign w:val="center"/>
          </w:tcPr>
          <w:p>
            <w:pPr>
              <w:pStyle w:val="Header"/>
              <w:rPr>
                <w:rFonts w:ascii="Arial" w:hAnsi="Arial" w:cs="Arial"/>
              </w:rPr>
            </w:pPr>
            <w:r>
              <w:rPr>
                <w:rFonts w:cs="Arial" w:ascii="Arial" w:hAnsi="Arial"/>
              </w:rPr>
              <w:t>Prepared By:</w:t>
            </w:r>
          </w:p>
        </w:tc>
        <w:tc>
          <w:tcPr>
            <w:tcW w:w="2399" w:type="dxa"/>
            <w:tcBorders>
              <w:bottom w:val="single" w:sz="4" w:space="0" w:color="000000"/>
            </w:tcBorders>
            <w:vAlign w:val="center"/>
          </w:tcPr>
          <w:p>
            <w:pPr>
              <w:pStyle w:val="Header"/>
              <w:ind w:end="-108"/>
              <w:rPr>
                <w:rFonts w:ascii="Arial" w:hAnsi="Arial" w:cs="Arial"/>
              </w:rPr>
            </w:pPr>
            <w:r>
              <w:rPr>
                <w:rFonts w:cs="Arial" w:ascii="Arial" w:hAnsi="Arial"/>
              </w:rPr>
              <w:t>Ramona Betancourt</w:t>
            </w:r>
          </w:p>
        </w:tc>
        <w:tc>
          <w:tcPr>
            <w:tcW w:w="2569" w:type="dxa"/>
            <w:tcBorders/>
            <w:vAlign w:val="center"/>
          </w:tcPr>
          <w:p>
            <w:pPr>
              <w:pStyle w:val="Header"/>
              <w:rPr>
                <w:rFonts w:ascii="Arial" w:hAnsi="Arial" w:cs="Arial"/>
              </w:rPr>
            </w:pPr>
            <w:r>
              <w:rPr>
                <w:rFonts w:cs="Arial" w:ascii="Arial" w:hAnsi="Arial"/>
              </w:rPr>
              <w:t>Business Contact:</w:t>
            </w:r>
          </w:p>
        </w:tc>
        <w:tc>
          <w:tcPr>
            <w:tcW w:w="2741" w:type="dxa"/>
            <w:tcBorders>
              <w:bottom w:val="single" w:sz="4" w:space="0" w:color="000000"/>
            </w:tcBorders>
            <w:vAlign w:val="center"/>
          </w:tcPr>
          <w:p>
            <w:pPr>
              <w:pStyle w:val="Header"/>
              <w:rPr>
                <w:rFonts w:ascii="Arial" w:hAnsi="Arial" w:cs="Arial"/>
              </w:rPr>
            </w:pPr>
            <w:r>
              <w:rPr>
                <w:rFonts w:cs="Arial" w:ascii="Arial" w:hAnsi="Arial"/>
              </w:rPr>
              <w:t>Ramona Betancourt</w:t>
            </w:r>
          </w:p>
        </w:tc>
      </w:tr>
      <w:tr>
        <w:trPr>
          <w:trHeight w:val="341" w:hRule="atLeast"/>
        </w:trPr>
        <w:tc>
          <w:tcPr>
            <w:tcW w:w="2569" w:type="dxa"/>
            <w:tcBorders/>
            <w:vAlign w:val="center"/>
          </w:tcPr>
          <w:p>
            <w:pPr>
              <w:pStyle w:val="Header"/>
              <w:rPr>
                <w:rFonts w:ascii="Arial" w:hAnsi="Arial" w:cs="Arial"/>
              </w:rPr>
            </w:pPr>
            <w:r>
              <w:rPr>
                <w:rFonts w:cs="Arial" w:ascii="Arial" w:hAnsi="Arial"/>
              </w:rPr>
              <w:t>Enhancement Item:</w:t>
            </w:r>
          </w:p>
        </w:tc>
        <w:tc>
          <w:tcPr>
            <w:tcW w:w="2399" w:type="dxa"/>
            <w:tcBorders>
              <w:bottom w:val="single" w:sz="4" w:space="0" w:color="000000"/>
            </w:tcBorders>
            <w:vAlign w:val="center"/>
          </w:tcPr>
          <w:p>
            <w:pPr>
              <w:pStyle w:val="Header"/>
              <w:rPr>
                <w:rFonts w:ascii="Arial" w:hAnsi="Arial" w:cs="Arial"/>
              </w:rPr>
            </w:pPr>
            <w:r>
              <w:rPr>
                <w:rFonts w:cs="Arial" w:ascii="Arial" w:hAnsi="Arial"/>
              </w:rPr>
              <w:t>359</w:t>
            </w:r>
          </w:p>
        </w:tc>
        <w:tc>
          <w:tcPr>
            <w:tcW w:w="2569" w:type="dxa"/>
            <w:tcBorders/>
            <w:vAlign w:val="center"/>
          </w:tcPr>
          <w:p>
            <w:pPr>
              <w:pStyle w:val="Header"/>
              <w:rPr>
                <w:rFonts w:ascii="Arial" w:hAnsi="Arial" w:cs="Arial"/>
              </w:rPr>
            </w:pPr>
            <w:r>
              <w:rPr>
                <w:rFonts w:cs="Arial" w:ascii="Arial" w:hAnsi="Arial"/>
              </w:rPr>
              <w:t>Company:</w:t>
            </w:r>
          </w:p>
        </w:tc>
        <w:tc>
          <w:tcPr>
            <w:tcW w:w="2741" w:type="dxa"/>
            <w:tcBorders>
              <w:bottom w:val="single" w:sz="4" w:space="0" w:color="000000"/>
            </w:tcBorders>
            <w:vAlign w:val="center"/>
          </w:tcPr>
          <w:p>
            <w:pPr>
              <w:pStyle w:val="Header"/>
              <w:rPr>
                <w:rFonts w:ascii="Arial" w:hAnsi="Arial" w:cs="Arial"/>
              </w:rPr>
            </w:pPr>
            <w:r>
              <w:rPr>
                <w:rFonts w:cs="Arial" w:ascii="Arial" w:hAnsi="Arial"/>
              </w:rPr>
              <w:t>TW</w:t>
            </w:r>
          </w:p>
        </w:tc>
      </w:tr>
      <w:tr>
        <w:trPr>
          <w:trHeight w:val="359" w:hRule="atLeast"/>
        </w:trPr>
        <w:tc>
          <w:tcPr>
            <w:tcW w:w="2569" w:type="dxa"/>
            <w:tcBorders/>
            <w:vAlign w:val="center"/>
          </w:tcPr>
          <w:p>
            <w:pPr>
              <w:pStyle w:val="Header"/>
              <w:rPr>
                <w:rFonts w:ascii="Arial" w:hAnsi="Arial" w:cs="Arial"/>
              </w:rPr>
            </w:pPr>
            <w:r>
              <w:rPr>
                <w:rFonts w:cs="Arial" w:ascii="Arial" w:hAnsi="Arial"/>
              </w:rPr>
              <w:t>Priority Status:</w:t>
            </w:r>
          </w:p>
        </w:tc>
        <w:tc>
          <w:tcPr>
            <w:tcW w:w="2399" w:type="dxa"/>
            <w:tcBorders>
              <w:bottom w:val="single" w:sz="4" w:space="0" w:color="000000"/>
            </w:tcBorders>
            <w:vAlign w:val="center"/>
          </w:tcPr>
          <w:p>
            <w:pPr>
              <w:pStyle w:val="Header"/>
              <w:rPr>
                <w:rFonts w:ascii="Arial" w:hAnsi="Arial" w:cs="Arial"/>
              </w:rPr>
            </w:pPr>
            <w:r>
              <w:rPr>
                <w:rFonts w:cs="Arial" w:ascii="Arial" w:hAnsi="Arial"/>
              </w:rPr>
              <w:t>High</w:t>
            </w:r>
          </w:p>
        </w:tc>
        <w:tc>
          <w:tcPr>
            <w:tcW w:w="2569" w:type="dxa"/>
            <w:tcBorders/>
            <w:vAlign w:val="center"/>
          </w:tcPr>
          <w:p>
            <w:pPr>
              <w:pStyle w:val="Header"/>
              <w:rPr>
                <w:rFonts w:ascii="Arial" w:hAnsi="Arial" w:cs="Arial"/>
              </w:rPr>
            </w:pPr>
            <w:r>
              <w:rPr>
                <w:rFonts w:cs="Arial" w:ascii="Arial" w:hAnsi="Arial"/>
              </w:rPr>
              <w:t>EDS Contact:</w:t>
            </w:r>
          </w:p>
        </w:tc>
        <w:tc>
          <w:tcPr>
            <w:tcW w:w="2741" w:type="dxa"/>
            <w:tcBorders>
              <w:bottom w:val="single" w:sz="4" w:space="0" w:color="000000"/>
            </w:tcBorders>
            <w:vAlign w:val="center"/>
          </w:tcPr>
          <w:p>
            <w:pPr>
              <w:pStyle w:val="Header"/>
              <w:snapToGrid w:val="false"/>
              <w:rPr>
                <w:rFonts w:ascii="Arial" w:hAnsi="Arial" w:cs="Arial"/>
              </w:rPr>
            </w:pPr>
            <w:r>
              <w:rPr>
                <w:rFonts w:cs="Arial" w:ascii="Arial" w:hAnsi="Arial"/>
              </w:rPr>
            </w:r>
          </w:p>
        </w:tc>
      </w:tr>
      <w:tr>
        <w:trPr>
          <w:trHeight w:val="521" w:hRule="atLeast"/>
        </w:trPr>
        <w:tc>
          <w:tcPr>
            <w:tcW w:w="2569" w:type="dxa"/>
            <w:tcBorders/>
            <w:vAlign w:val="center"/>
          </w:tcPr>
          <w:p>
            <w:pPr>
              <w:pStyle w:val="Header"/>
              <w:rPr>
                <w:rFonts w:ascii="Arial" w:hAnsi="Arial" w:cs="Arial"/>
              </w:rPr>
            </w:pPr>
            <w:r>
              <w:rPr>
                <w:rFonts w:cs="Arial" w:ascii="Arial" w:hAnsi="Arial"/>
              </w:rPr>
              <w:t>Supporting documents attached (Y/N):</w:t>
            </w:r>
          </w:p>
        </w:tc>
        <w:tc>
          <w:tcPr>
            <w:tcW w:w="2399" w:type="dxa"/>
            <w:tcBorders>
              <w:bottom w:val="single" w:sz="4" w:space="0" w:color="000000"/>
            </w:tcBorders>
            <w:vAlign w:val="center"/>
          </w:tcPr>
          <w:p>
            <w:pPr>
              <w:pStyle w:val="Header"/>
              <w:snapToGrid w:val="false"/>
              <w:rPr>
                <w:rFonts w:ascii="Arial" w:hAnsi="Arial" w:cs="Arial"/>
              </w:rPr>
            </w:pPr>
            <w:r>
              <w:rPr>
                <w:rFonts w:cs="Arial" w:ascii="Arial" w:hAnsi="Arial"/>
              </w:rPr>
            </w:r>
          </w:p>
        </w:tc>
        <w:tc>
          <w:tcPr>
            <w:tcW w:w="2569" w:type="dxa"/>
            <w:tcBorders/>
            <w:vAlign w:val="center"/>
          </w:tcPr>
          <w:p>
            <w:pPr>
              <w:pStyle w:val="Header"/>
              <w:rPr>
                <w:rFonts w:ascii="Arial" w:hAnsi="Arial" w:cs="Arial"/>
              </w:rPr>
            </w:pPr>
            <w:r>
              <w:rPr>
                <w:rFonts w:cs="Arial" w:ascii="Arial" w:hAnsi="Arial"/>
              </w:rPr>
              <w:t>Date completed &amp; moved to production:</w:t>
            </w:r>
          </w:p>
        </w:tc>
        <w:tc>
          <w:tcPr>
            <w:tcW w:w="2741" w:type="dxa"/>
            <w:tcBorders>
              <w:bottom w:val="single" w:sz="4" w:space="0" w:color="000000"/>
            </w:tcBorders>
            <w:vAlign w:val="center"/>
          </w:tcPr>
          <w:p>
            <w:pPr>
              <w:pStyle w:val="Header"/>
              <w:snapToGrid w:val="false"/>
              <w:rPr>
                <w:rFonts w:ascii="Arial" w:hAnsi="Arial" w:cs="Arial"/>
              </w:rPr>
            </w:pPr>
            <w:r>
              <w:rPr>
                <w:rFonts w:cs="Arial" w:ascii="Arial" w:hAnsi="Arial"/>
              </w:rPr>
            </w:r>
          </w:p>
        </w:tc>
      </w:tr>
    </w:tbl>
    <w:p>
      <w:pPr>
        <w:pStyle w:val="Normal"/>
        <w:numPr>
          <w:ilvl w:val="0"/>
          <w:numId w:val="0"/>
        </w:numPr>
        <w:jc w:val="center"/>
        <w:outlineLvl w:val="0"/>
        <w:rPr>
          <w:rFonts w:ascii="Arial" w:hAnsi="Arial" w:cs="Arial"/>
          <w:b/>
          <w:sz w:val="26"/>
        </w:rPr>
      </w:pPr>
      <w:r>
        <w:rPr>
          <w:rFonts w:cs="Arial" w:ascii="Arial" w:hAnsi="Arial"/>
          <w:b/>
          <w:sz w:val="26"/>
        </w:rPr>
      </w:r>
    </w:p>
    <w:p>
      <w:pPr>
        <w:pStyle w:val="Normal"/>
        <w:numPr>
          <w:ilvl w:val="0"/>
          <w:numId w:val="0"/>
        </w:numPr>
        <w:jc w:val="center"/>
        <w:outlineLvl w:val="0"/>
        <w:rPr>
          <w:rFonts w:ascii="Arial" w:hAnsi="Arial" w:cs="Arial"/>
          <w:b/>
          <w:sz w:val="26"/>
        </w:rPr>
      </w:pPr>
      <w:r>
        <w:rPr>
          <w:rFonts w:cs="Arial" w:ascii="Arial" w:hAnsi="Arial"/>
          <w:b/>
          <w:sz w:val="26"/>
        </w:rPr>
        <w:t>TW Allocation Flow Direction Enchancement</w:t>
      </w:r>
    </w:p>
    <w:p>
      <w:pPr>
        <w:pStyle w:val="Normal"/>
        <w:numPr>
          <w:ilvl w:val="0"/>
          <w:numId w:val="0"/>
        </w:numPr>
        <w:jc w:val="center"/>
        <w:outlineLvl w:val="0"/>
        <w:rPr>
          <w:rFonts w:ascii="Arial" w:hAnsi="Arial" w:cs="Arial"/>
          <w:b/>
          <w:sz w:val="26"/>
        </w:rPr>
      </w:pPr>
      <w:r>
        <w:rPr>
          <w:rFonts w:cs="Arial" w:ascii="Arial" w:hAnsi="Arial"/>
          <w:b/>
          <w:sz w:val="26"/>
        </w:rPr>
        <w:t>Scheduling &amp; Contracts &amp; Invoice</w:t>
      </w:r>
    </w:p>
    <w:p>
      <w:pPr>
        <w:pStyle w:val="Normal"/>
        <w:numPr>
          <w:ilvl w:val="0"/>
          <w:numId w:val="0"/>
        </w:numPr>
        <w:jc w:val="center"/>
        <w:outlineLvl w:val="0"/>
        <w:rPr>
          <w:rFonts w:ascii="Arial" w:hAnsi="Arial" w:cs="Arial"/>
          <w:b/>
          <w:sz w:val="26"/>
        </w:rPr>
      </w:pPr>
      <w:r>
        <w:rPr>
          <w:rFonts w:cs="Arial" w:ascii="Arial" w:hAnsi="Arial"/>
          <w:b/>
          <w:sz w:val="26"/>
        </w:rPr>
        <w:t>Revised 08/21/01</w:t>
      </w:r>
    </w:p>
    <w:p>
      <w:pPr>
        <w:pStyle w:val="Normal"/>
        <w:rPr>
          <w:rFonts w:ascii="Arial" w:hAnsi="Arial" w:cs="Arial"/>
          <w:b/>
          <w:sz w:val="24"/>
        </w:rPr>
      </w:pPr>
      <w:r>
        <w:rPr>
          <w:rFonts w:cs="Arial" w:ascii="Arial" w:hAnsi="Arial"/>
          <w:b/>
          <w:sz w:val="24"/>
        </w:rPr>
      </w:r>
    </w:p>
    <w:p>
      <w:pPr>
        <w:pStyle w:val="Normal"/>
        <w:numPr>
          <w:ilvl w:val="0"/>
          <w:numId w:val="0"/>
        </w:numPr>
        <w:outlineLvl w:val="0"/>
        <w:rPr>
          <w:rFonts w:ascii="Arial" w:hAnsi="Arial" w:cs="Arial"/>
          <w:sz w:val="24"/>
          <w:u w:val="single"/>
        </w:rPr>
      </w:pPr>
      <w:r>
        <w:rPr>
          <w:rFonts w:cs="Arial" w:ascii="Arial" w:hAnsi="Arial"/>
          <w:b/>
          <w:sz w:val="24"/>
          <w:u w:val="single"/>
        </w:rPr>
        <w:t>PURPOSE AND DESCRIPTION OF REQUEST:</w:t>
      </w:r>
    </w:p>
    <w:p>
      <w:pPr>
        <w:pStyle w:val="Normal"/>
        <w:rPr>
          <w:rFonts w:ascii="Arial" w:hAnsi="Arial" w:cs="Arial"/>
          <w:sz w:val="24"/>
          <w:u w:val="single"/>
        </w:rPr>
      </w:pPr>
      <w:r>
        <w:rPr>
          <w:rFonts w:cs="Arial" w:ascii="Arial" w:hAnsi="Arial"/>
          <w:sz w:val="24"/>
          <w:u w:val="single"/>
        </w:rPr>
      </w:r>
    </w:p>
    <w:p>
      <w:pPr>
        <w:pStyle w:val="Normal"/>
        <w:numPr>
          <w:ilvl w:val="0"/>
          <w:numId w:val="5"/>
        </w:numPr>
        <w:rPr>
          <w:rFonts w:ascii="Arial" w:hAnsi="Arial" w:cs="Arial"/>
        </w:rPr>
      </w:pPr>
      <w:r>
        <w:rPr>
          <w:rFonts w:cs="Arial" w:ascii="Arial" w:hAnsi="Arial"/>
        </w:rPr>
        <w:t>Currently TW has provisions in the tariff that allows customers to nominate &amp; schedule the most direct route on the system that is between the primary receipt and primary delivery. The direction of flow for such path is defined as being from the primary receipt point to the primary delivery point for our firm services which include FTS1, FTS2, LFT, EFBH, FTS3, &amp; all firm release.  Since TW can flow gas east &amp; west, an indicator should be added to the contracts system and the allocation process that will identify the primary direction of flow for each firm contract. This will allow us to track contracts during the allocation process that are not nominating in the correct direction of flow. Shippers who nominate to alternate points in the opposite direction of flow are considered to be flowing outside the primary path and are subject higher rates as well as allocation cuts before those shippers who are nominated at alternate points within the primary path.</w:t>
      </w:r>
    </w:p>
    <w:p>
      <w:pPr>
        <w:pStyle w:val="Normal"/>
        <w:rPr>
          <w:rFonts w:ascii="Arial" w:hAnsi="Arial" w:cs="Arial"/>
        </w:rPr>
      </w:pPr>
      <w:r>
        <w:rPr>
          <w:rFonts w:cs="Arial" w:ascii="Arial" w:hAnsi="Arial"/>
        </w:rPr>
      </w:r>
    </w:p>
    <w:p>
      <w:pPr>
        <w:pStyle w:val="Normal"/>
        <w:numPr>
          <w:ilvl w:val="0"/>
          <w:numId w:val="5"/>
        </w:numPr>
        <w:rPr>
          <w:rFonts w:ascii="Arial" w:hAnsi="Arial" w:cs="Arial"/>
        </w:rPr>
      </w:pPr>
      <w:r>
        <w:rPr>
          <w:rFonts w:cs="Arial" w:ascii="Arial" w:hAnsi="Arial"/>
          <w:b/>
        </w:rPr>
        <w:t>Cost Justification</w:t>
      </w:r>
      <w:r>
        <w:rPr>
          <w:rFonts w:cs="Arial" w:ascii="Arial" w:hAnsi="Arial"/>
        </w:rPr>
        <w:t>:  Required by Tariff</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numPr>
          <w:ilvl w:val="0"/>
          <w:numId w:val="0"/>
        </w:numPr>
        <w:outlineLvl w:val="0"/>
        <w:rPr>
          <w:rFonts w:ascii="Arial" w:hAnsi="Arial" w:cs="Arial"/>
          <w:b/>
          <w:sz w:val="24"/>
          <w:u w:val="single"/>
        </w:rPr>
      </w:pPr>
      <w:r>
        <w:rPr>
          <w:rFonts w:cs="Arial" w:ascii="Arial" w:hAnsi="Arial"/>
          <w:b/>
          <w:sz w:val="24"/>
          <w:u w:val="single"/>
        </w:rPr>
        <w:t>REQUIREMENTS:</w:t>
      </w:r>
    </w:p>
    <w:p>
      <w:pPr>
        <w:pStyle w:val="Normal"/>
        <w:rPr>
          <w:rFonts w:ascii="Arial" w:hAnsi="Arial" w:cs="Arial"/>
          <w:b/>
          <w:sz w:val="24"/>
          <w:u w:val="single"/>
        </w:rPr>
      </w:pPr>
      <w:r>
        <w:rPr>
          <w:rFonts w:cs="Arial" w:ascii="Arial" w:hAnsi="Arial"/>
          <w:b/>
          <w:sz w:val="24"/>
          <w:u w:val="single"/>
        </w:rPr>
      </w:r>
    </w:p>
    <w:p>
      <w:pPr>
        <w:pStyle w:val="Normal"/>
        <w:numPr>
          <w:ilvl w:val="0"/>
          <w:numId w:val="5"/>
        </w:numPr>
        <w:rPr>
          <w:rFonts w:ascii="Arial" w:hAnsi="Arial" w:cs="Arial"/>
        </w:rPr>
      </w:pPr>
      <w:r>
        <w:rPr>
          <w:rFonts w:cs="Arial" w:ascii="Arial" w:hAnsi="Arial"/>
        </w:rPr>
        <w:t xml:space="preserve">Add an indicator at the contract level to the contract system for primary path direction of flow. This process would be used to calculate the flow direction of two points utilizing the current TW marketing laterals defined for use in the “Inside/Outside the path” process that determines valid receipt/delivery points for a contract. A new table should be created containing each possible pair of laterals and the flow direction between them. A store procedure would be built which would be called by TMS to get the directional relationship between any two points based upon the laterals containing the points. The lowest level that we would go down to is the lateral level. This means several points are defined and grouped within one lateral, so we would not be able to determine whether a points in the same lateral are east or west of each other, only if the lateral is east or west of the next lateral. This new table would store all lateral numbers which defines the to and from lateral chain along with the direction to and from that it can flow to still be within the flow direction. This table would consist of approximately 400 possible lateral pairs on TW. Marketing will determine the proper direction when going from a lateral to a lateral. All lateral pairs must have a direction tied to them. </w:t>
      </w:r>
    </w:p>
    <w:p>
      <w:pPr>
        <w:pStyle w:val="Normal"/>
        <w:numPr>
          <w:ilvl w:val="0"/>
          <w:numId w:val="5"/>
        </w:numPr>
        <w:rPr>
          <w:rFonts w:ascii="Arial" w:hAnsi="Arial" w:cs="Arial"/>
        </w:rPr>
      </w:pPr>
      <w:r>
        <w:rPr>
          <w:rFonts w:cs="Arial" w:ascii="Arial" w:hAnsi="Arial"/>
        </w:rPr>
        <w:t xml:space="preserve">This new indicator in the contracts system will default to one direction of flow, however, we will need the ability to select multiple directions for the contracts that we currently have in place that are allowed to go in 2 or more directions on an alternate basis and validate this in the process that TMS uses. Example of current shippers with this right are: USGT, Astra, &amp; Avage,  </w:t>
      </w:r>
    </w:p>
    <w:p>
      <w:pPr>
        <w:pStyle w:val="Normal"/>
        <w:numPr>
          <w:ilvl w:val="0"/>
          <w:numId w:val="5"/>
        </w:numPr>
        <w:rPr>
          <w:rFonts w:ascii="Arial" w:hAnsi="Arial" w:cs="Arial"/>
        </w:rPr>
      </w:pPr>
      <w:r>
        <w:rPr>
          <w:rFonts w:cs="Arial" w:ascii="Arial" w:hAnsi="Arial"/>
        </w:rPr>
        <w:t xml:space="preserve">Add this flow direction validation to the nomination save process in TMS. This flow direction check will need to be preformed at the time of save and should look at any alternate path that has been nominated on the firm contracts to determine if it is an alternate path that is outside the primary path or alternate point outside the path due to the flow direction being invalid for the contract. The shipper should be given an error message that tells the shipper that; “The receipt point  XXX and delivery point XXX is an alternate point outside the primary path of their contract and therefore, not valid. You may either contact your Tranwestern Marketing Department Representative to negotiate a rate for this path or select another valid alternate point on your contract.”  If the customer request a rate for the alternate path and Marketing grants the right to the shipper to nominate to the alternate outside path, marketing must complete these two steps: </w:t>
      </w:r>
    </w:p>
    <w:p>
      <w:pPr>
        <w:pStyle w:val="Normal"/>
        <w:numPr>
          <w:ilvl w:val="0"/>
          <w:numId w:val="3"/>
        </w:numPr>
        <w:rPr>
          <w:rFonts w:ascii="Arial" w:hAnsi="Arial" w:cs="Arial"/>
          <w:color w:val="FF0000"/>
        </w:rPr>
      </w:pPr>
      <w:r>
        <w:rPr>
          <w:rFonts w:cs="Arial" w:ascii="Arial" w:hAnsi="Arial"/>
        </w:rPr>
        <w:t xml:space="preserve">Process an Amendment/ Correction to the contract to change the Flow direction for that contract to not validate outside the path nominations on that contract. TMS must read this change and not validate alternate outside the path points on that contract during the effective date in which this flag has been shut off for the contract. TMS will still validate during the allocation process and still allocate using this process. This new flag must be gas day effective with a start date and end date. </w:t>
      </w:r>
      <w:r>
        <w:rPr>
          <w:rFonts w:cs="Arial" w:ascii="Arial" w:hAnsi="Arial"/>
          <w:color w:val="FF0000"/>
        </w:rPr>
        <w:t>Question: Should this be validated down to the level of the cycles with in the gas day?</w:t>
      </w:r>
    </w:p>
    <w:p>
      <w:pPr>
        <w:pStyle w:val="Normal"/>
        <w:numPr>
          <w:ilvl w:val="0"/>
          <w:numId w:val="4"/>
        </w:numPr>
        <w:rPr>
          <w:rFonts w:ascii="Arial" w:hAnsi="Arial" w:cs="Arial"/>
        </w:rPr>
      </w:pPr>
      <w:r>
        <w:rPr>
          <w:rFonts w:cs="Arial" w:ascii="Arial" w:hAnsi="Arial"/>
        </w:rPr>
        <w:t>Marketing must enter the new negotiated rate for the alternate path in the rate system at the time the amendment is granted to allow the alternate outside the path points on the contract.</w:t>
      </w:r>
    </w:p>
    <w:p>
      <w:pPr>
        <w:pStyle w:val="Normal"/>
        <w:numPr>
          <w:ilvl w:val="0"/>
          <w:numId w:val="5"/>
        </w:numPr>
        <w:rPr>
          <w:rFonts w:ascii="Arial" w:hAnsi="Arial" w:cs="Arial"/>
          <w:color w:val="FF0000"/>
        </w:rPr>
      </w:pPr>
      <w:r>
        <w:rPr>
          <w:rFonts w:cs="Arial" w:ascii="Arial" w:hAnsi="Arial"/>
        </w:rPr>
        <w:t xml:space="preserve">Add an ability to turn off the nomination flow direction validation at a contract level and the inside/outside the path validation at the nomination save process. The concern here is what will this do for our online nomination validation process during the nomination save process. This will also need to the included as a change for the nominations that come via EDI. </w:t>
      </w:r>
      <w:r>
        <w:rPr>
          <w:rFonts w:cs="Arial" w:ascii="Arial" w:hAnsi="Arial"/>
          <w:color w:val="FF0000"/>
        </w:rPr>
        <w:t xml:space="preserve">Question: Do we need to request any new contract validation codes from GISB, or can we handle within the current choices of contract validation codes? </w:t>
      </w:r>
    </w:p>
    <w:p>
      <w:pPr>
        <w:pStyle w:val="Normal"/>
        <w:numPr>
          <w:ilvl w:val="0"/>
          <w:numId w:val="2"/>
        </w:numPr>
        <w:rPr>
          <w:rFonts w:ascii="Arial" w:hAnsi="Arial" w:cs="Arial"/>
        </w:rPr>
      </w:pPr>
      <w:r>
        <w:rPr>
          <w:rFonts w:eastAsia="Arial" w:cs="Arial" w:ascii="Arial" w:hAnsi="Arial"/>
        </w:rPr>
        <w:t xml:space="preserve"> </w:t>
      </w:r>
      <w:r>
        <w:rPr>
          <w:rFonts w:cs="Arial" w:ascii="Arial" w:hAnsi="Arial"/>
        </w:rPr>
        <w:t>If at any time Marketing changes the flag back to validate flow direction, TMS would need to pick up this change and validate again. Since this can be changed on the contract at any time, TMS should include this step in the revalidation process to verify the status of this flow direction flag during our revalidation process for each cycle. If the flow direction flag has been changed and the system determines that an existing alternate point is now outside the path, then the rollover and balance process should schedule that path to zero and use the same cut code that we use today when the revalidation process finds a point that is no longer valid on a contract. Receipt point not valid or delivery point not valid.</w:t>
      </w:r>
    </w:p>
    <w:p>
      <w:pPr>
        <w:pStyle w:val="Normal"/>
        <w:numPr>
          <w:ilvl w:val="0"/>
          <w:numId w:val="5"/>
        </w:numPr>
        <w:rPr>
          <w:rFonts w:ascii="Arial" w:hAnsi="Arial" w:cs="Arial"/>
        </w:rPr>
      </w:pPr>
      <w:r>
        <w:rPr>
          <w:rFonts w:cs="Arial" w:ascii="Arial" w:hAnsi="Arial"/>
        </w:rPr>
        <w:t>This new flow direction logic will interact with the inside/outside the path logic requirements and will be an additional step used in determining the path direction on shippers’ contracts who nominate to alternate points inside the primary path, but in the opposite direction of flow. This opposite direction of flow would mean that contract path is considered to be outside the path on an alternate basis. (see business requirements for Inside/Outside the Path)</w:t>
      </w:r>
    </w:p>
    <w:p>
      <w:pPr>
        <w:pStyle w:val="Normal"/>
        <w:numPr>
          <w:ilvl w:val="0"/>
          <w:numId w:val="5"/>
        </w:numPr>
        <w:rPr>
          <w:rFonts w:ascii="Arial" w:hAnsi="Arial" w:cs="Arial"/>
        </w:rPr>
      </w:pPr>
      <w:r>
        <w:rPr>
          <w:rFonts w:cs="Arial" w:ascii="Arial" w:hAnsi="Arial"/>
        </w:rPr>
        <w:t xml:space="preserve">Continue the use the current inside/outside the path allocation process that exist today in the contracts &amp; allocation system for each cycle and add the new additional process in the allocation function that will determine the flow direction for each path on firm contracts as noted above in the first bullet. We will still use this process for the allocation needs on TW, as well as, validate at the time the nomination is saved as a means to capture additional revenue for alternate paths that are outside the primary path on firm contracts. </w:t>
      </w:r>
    </w:p>
    <w:p>
      <w:pPr>
        <w:pStyle w:val="Normal"/>
        <w:rPr>
          <w:rFonts w:ascii="Arial" w:hAnsi="Arial" w:cs="Arial"/>
        </w:rPr>
      </w:pPr>
      <w:r>
        <w:rPr>
          <w:rFonts w:cs="Arial" w:ascii="Arial" w:hAnsi="Arial"/>
        </w:rPr>
      </w:r>
    </w:p>
    <w:sectPr>
      <w:footerReference w:type="default" r:id="rId2"/>
      <w:type w:val="nextPage"/>
      <w:pgSz w:w="12240" w:h="15840"/>
      <w:pgMar w:left="1008" w:right="1008" w:gutter="0" w:header="0" w:top="57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Page </w:t>
    </w:r>
    <w:r>
      <w:rPr/>
      <w:fldChar w:fldCharType="begin"/>
    </w:r>
    <w:r>
      <w:rPr/>
      <w:instrText xml:space="preserve"> PAGE </w:instrText>
    </w:r>
    <w:r>
      <w:rPr/>
      <w:fldChar w:fldCharType="separate"/>
    </w:r>
    <w:r>
      <w:rPr/>
      <w:t>2</w:t>
    </w:r>
    <w:r>
      <w:rPr/>
      <w:fldChar w:fldCharType="end"/>
    </w:r>
    <w:r>
      <w:rPr/>
      <w:t xml:space="preserve"> of </w:t>
    </w:r>
    <w:r>
      <w:rPr/>
      <w:fldChar w:fldCharType="begin"/>
    </w:r>
    <w:r>
      <w:rPr/>
      <w:instrText xml:space="preserve"> NUMPAGES \* ARABIC </w:instrText>
    </w:r>
    <w:r>
      <w:rPr/>
      <w:fldChar w:fldCharType="separate"/>
    </w:r>
    <w:r>
      <w:rPr/>
      <w:t>2</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1."/>
      <w:lvlJc w:val="start"/>
      <w:pPr>
        <w:tabs>
          <w:tab w:val="num" w:pos="1080"/>
        </w:tabs>
        <w:ind w:start="1080" w:hanging="360"/>
      </w:pPr>
      <w:rPr/>
    </w:lvl>
  </w:abstractNum>
  <w:abstractNum w:abstractNumId="4">
    <w:lvl w:ilvl="0">
      <w:start w:val="2"/>
      <w:numFmt w:val="decimal"/>
      <w:lvlText w:val="%1."/>
      <w:lvlJc w:val="start"/>
      <w:pPr>
        <w:tabs>
          <w:tab w:val="num" w:pos="1080"/>
        </w:tabs>
        <w:ind w:start="1080" w:hanging="360"/>
      </w:pPr>
      <w:rPr/>
    </w:lvl>
  </w:abstractNum>
  <w:abstractNum w:abstractNumId="5">
    <w:lvl w:ilvl="0">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character" w:styleId="WW8Num3z0">
    <w:name w:val="WW8Num3z0"/>
    <w:qFormat/>
    <w:rPr>
      <w:rFonts w:ascii="Symbol" w:hAnsi="Symbol" w:cs="Symbol"/>
    </w:rPr>
  </w:style>
  <w:style w:type="character" w:styleId="WW8Num4z0">
    <w:name w:val="WW8Num4z0"/>
    <w:qFormat/>
    <w:rPr/>
  </w:style>
  <w:style w:type="character" w:styleId="WW8Num5z0">
    <w:name w:val="WW8Num5z0"/>
    <w:qFormat/>
    <w:rPr/>
  </w:style>
  <w:style w:type="character" w:styleId="WW8Num6z0">
    <w:name w:val="WW8Num6z0"/>
    <w:qFormat/>
    <w:rPr>
      <w:rFonts w:ascii="Symbol" w:hAnsi="Symbol" w:cs="Symbol"/>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Master</Template>
  <TotalTime>424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2000-01-31T14:34:00Z</dcterms:created>
  <dc:creator>Marysusan Banavali</dc:creator>
  <dc:description/>
  <dc:language>en-CA</dc:language>
  <cp:lastModifiedBy>rbetanc</cp:lastModifiedBy>
  <cp:lastPrinted>2001-08-21T14:04:00Z</cp:lastPrinted>
  <dcterms:modified xsi:type="dcterms:W3CDTF">2001-08-21T16:53:00Z</dcterms:modified>
  <cp:revision>10</cp:revision>
  <dc:subject/>
  <dc:title>NAME</dc:title>
</cp:coreProperties>
</file>