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er2.xml.rels" ContentType="application/vnd.openxmlformats-package.relationships+xml"/>
  <Override PartName="/word/_rels/footer1.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3.jpeg" ContentType="image/jpeg"/>
  <Override PartName="/word/media/image2.jpeg" ContentType="image/jpeg"/>
  <Override PartName="/word/media/image4.jpeg" ContentType="image/jpeg"/>
  <Override PartName="/word/header5.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FCSSubLogoText"/>
        <w:keepNext w:val="false"/>
        <w:keepLines w:val="false"/>
        <w:spacing w:before="0" w:after="0"/>
        <w:rPr>
          <w:rFonts w:ascii="Arial" w:hAnsi="Arial" w:cs="Arial"/>
          <w:kern w:val="0"/>
        </w:rPr>
      </w:pPr>
      <w:r>
        <w:rPr>
          <w:rFonts w:cs="Arial" w:ascii="Arial" w:hAnsi="Arial"/>
          <w:kern w:val="0"/>
        </w:rPr>
        <w:drawing>
          <wp:inline distT="0" distB="0" distL="0" distR="0">
            <wp:extent cx="3016250" cy="3016250"/>
            <wp:effectExtent l="0" t="0" r="0" b="0"/>
            <wp:docPr id="1" name="Enron"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ron" descr="" title=""/>
                    <pic:cNvPicPr>
                      <a:picLocks noChangeAspect="1" noChangeArrowheads="1"/>
                    </pic:cNvPicPr>
                  </pic:nvPicPr>
                  <pic:blipFill>
                    <a:blip r:embed="rId2"/>
                    <a:srcRect l="-15" t="-15" r="-15" b="-15"/>
                    <a:stretch>
                      <a:fillRect/>
                    </a:stretch>
                  </pic:blipFill>
                  <pic:spPr bwMode="auto">
                    <a:xfrm>
                      <a:off x="0" y="0"/>
                      <a:ext cx="3016250" cy="3016250"/>
                    </a:xfrm>
                    <a:prstGeom prst="rect">
                      <a:avLst/>
                    </a:prstGeom>
                    <a:noFill/>
                  </pic:spPr>
                </pic:pic>
              </a:graphicData>
            </a:graphic>
          </wp:inline>
        </w:drawing>
      </w:r>
    </w:p>
    <w:p>
      <w:pPr>
        <w:pStyle w:val="Normal"/>
        <w:jc w:val="center"/>
        <w:rPr>
          <w:rFonts w:ascii="Arial Bold" w:hAnsi="Arial Bold" w:cs="Arial Bold"/>
          <w:b/>
          <w:vanish/>
          <w:color w:val="FF0000"/>
        </w:rPr>
      </w:pPr>
      <w:r>
        <w:rPr>
          <w:rFonts w:cs="Arial Bold" w:ascii="Arial Bold" w:hAnsi="Arial Bold"/>
          <w:b/>
          <w:vanish/>
          <w:color w:val="FF0000"/>
        </w:rPr>
        <w:t>DO NOT RUN PRESENTATION MACRO ON THIS FILE OR YOU WILL BE SORRY!!!</w:t>
      </w:r>
    </w:p>
    <w:p>
      <w:pPr>
        <w:pStyle w:val="CoverPage"/>
        <w:spacing w:before="1200" w:after="480"/>
        <w:ind w:end="1987"/>
        <w:jc w:val="center"/>
        <w:rPr>
          <w:b/>
          <w:sz w:val="48"/>
        </w:rPr>
      </w:pPr>
      <w:r>
        <w:rPr>
          <w:b/>
          <w:sz w:val="48"/>
        </w:rPr>
        <w:t>Enron North America Corp.</w:t>
      </w:r>
    </w:p>
    <w:p>
      <w:pPr>
        <w:pStyle w:val="CoverPage"/>
        <w:spacing w:before="240" w:after="240"/>
        <w:ind w:end="1987"/>
        <w:jc w:val="center"/>
        <w:rPr>
          <w:b/>
          <w:sz w:val="32"/>
        </w:rPr>
      </w:pPr>
      <w:r>
        <w:rPr>
          <w:b/>
          <w:sz w:val="32"/>
        </w:rPr>
        <w:t>Confidential Information Memorandum</w:t>
      </w:r>
    </w:p>
    <w:p>
      <w:pPr>
        <w:pStyle w:val="CoverPage"/>
        <w:spacing w:before="1440" w:after="0"/>
        <w:ind w:end="1987"/>
        <w:jc w:val="center"/>
        <w:rPr>
          <w:b/>
        </w:rPr>
      </w:pPr>
      <w:r>
        <w:rPr>
          <w:b/>
        </w:rPr>
        <w:fldChar w:fldCharType="begin"/>
      </w:r>
      <w:r>
        <w:rPr>
          <w:b/>
        </w:rPr>
        <w:instrText xml:space="preserve"> DOCPROPERTY "Date"</w:instrText>
      </w:r>
      <w:r>
        <w:rPr>
          <w:b/>
        </w:rPr>
        <w:fldChar w:fldCharType="separate"/>
      </w:r>
      <w:r>
        <w:rPr>
          <w:b/>
        </w:rPr>
        <w:t>August 2001</w:t>
      </w:r>
      <w:r>
        <w:rPr>
          <w:b/>
        </w:rPr>
        <w:fldChar w:fldCharType="end"/>
      </w:r>
    </w:p>
    <w:p>
      <w:pPr>
        <w:pStyle w:val="BlockText"/>
        <w:ind w:start="900" w:end="1440"/>
        <w:rPr>
          <w:rFonts w:cs="Arial"/>
          <w:b/>
          <w:sz w:val="32"/>
        </w:rPr>
      </w:pPr>
      <w:r>
        <w:rPr>
          <w:rFonts w:cs="Arial"/>
          <w:b/>
          <w:sz w:val="32"/>
        </w:rPr>
      </w:r>
    </w:p>
    <w:p>
      <w:pPr>
        <w:pStyle w:val="BlockText"/>
        <w:ind w:start="900" w:end="1440"/>
        <w:rPr>
          <w:rFonts w:cs="Arial"/>
          <w:b/>
          <w:sz w:val="32"/>
        </w:rPr>
      </w:pPr>
      <w:r>
        <w:rPr>
          <w:rFonts w:cs="Arial"/>
          <w:b/>
          <w:sz w:val="32"/>
        </w:rPr>
      </w:r>
    </w:p>
    <w:p>
      <w:pPr>
        <w:pStyle w:val="BlockText"/>
        <w:ind w:start="900" w:end="1440"/>
        <w:rPr>
          <w:rFonts w:cs="Arial"/>
          <w:b/>
          <w:sz w:val="32"/>
        </w:rPr>
      </w:pPr>
      <w:r>
        <w:rPr>
          <w:rFonts w:cs="Arial"/>
          <w:b/>
          <w:sz w:val="32"/>
        </w:rPr>
      </w:r>
    </w:p>
    <w:p>
      <w:pPr>
        <w:pStyle w:val="Normal"/>
        <w:jc w:val="center"/>
        <w:rPr>
          <w:rFonts w:ascii="Arial Bold" w:hAnsi="Arial Bold" w:cs="Arial Bold"/>
          <w:b/>
          <w:vanish/>
          <w:color w:val="FF0000"/>
        </w:rPr>
      </w:pPr>
      <w:r>
        <w:rPr>
          <w:rFonts w:cs="Arial Bold" w:ascii="Arial Bold" w:hAnsi="Arial Bold"/>
          <w:b/>
          <w:vanish/>
          <w:color w:val="FF0000"/>
        </w:rPr>
        <w:t>DO NOT RUN PRESENTATION MACRO ON THIS FILE OR YOU WILL BE SORRY!!!</w:t>
      </w:r>
    </w:p>
    <w:p>
      <w:pPr>
        <w:sectPr>
          <w:type w:val="nextPage"/>
          <w:pgSz w:w="12240" w:h="15840"/>
          <w:pgMar w:left="1440" w:right="720" w:gutter="0" w:header="0" w:top="1555" w:footer="0" w:bottom="1296"/>
          <w:pgNumType w:start="1" w:fmt="upperLetter"/>
          <w:formProt w:val="false"/>
          <w:textDirection w:val="lrTb"/>
          <w:docGrid w:type="default" w:linePitch="272" w:charSpace="0"/>
        </w:sectPr>
        <w:pStyle w:val="CoverPage"/>
        <w:spacing w:before="1440" w:after="0"/>
        <w:ind w:start="0" w:end="0"/>
        <w:jc w:val="center"/>
        <w:rPr>
          <w:rFonts w:ascii="Arial Bold" w:hAnsi="Arial Bold" w:cs="Arial Bold"/>
          <w:b/>
          <w:vanish/>
          <w:color w:val="FF0000"/>
        </w:rPr>
      </w:pPr>
      <w:r>
        <w:rPr>
          <w:rFonts w:cs="Arial Bold" w:ascii="Arial Bold" w:hAnsi="Arial Bold"/>
          <w:b/>
          <w:vanish/>
          <w:color w:val="FF0000"/>
        </w:rPr>
      </w:r>
    </w:p>
    <w:p>
      <w:pPr>
        <w:pStyle w:val="Sec0"/>
        <w:jc w:val="center"/>
        <w:rPr/>
      </w:pPr>
      <w:r>
        <w:rPr/>
        <mc:AlternateContent>
          <mc:Choice Requires="wps">
            <w:drawing>
              <wp:anchor behindDoc="0" distT="0" distB="0" distL="114935" distR="114935" simplePos="0" locked="0" layoutInCell="0" allowOverlap="1" relativeHeight="134">
                <wp:simplePos x="0" y="0"/>
                <wp:positionH relativeFrom="page">
                  <wp:posOffset>6839585</wp:posOffset>
                </wp:positionH>
                <wp:positionV relativeFrom="page">
                  <wp:posOffset>464820</wp:posOffset>
                </wp:positionV>
                <wp:extent cx="320040" cy="320040"/>
                <wp:effectExtent l="12700" t="12700" r="12700" b="12700"/>
                <wp:wrapNone/>
                <wp:docPr id="2" name=""/>
                <a:graphic xmlns:a="http://schemas.openxmlformats.org/drawingml/2006/main">
                  <a:graphicData uri="http://schemas.microsoft.com/office/word/2010/wordprocessingShape">
                    <wps:wsp>
                      <wps:cNvSpPr/>
                      <wps:spPr>
                        <a:xfrm>
                          <a:off x="0" y="0"/>
                          <a:ext cx="320040" cy="320040"/>
                        </a:xfrm>
                        <a:prstGeom prst="rect">
                          <a:avLst/>
                        </a:prstGeom>
                        <a:solidFill>
                          <a:srgbClr val="ffffff"/>
                        </a:solidFill>
                        <a:ln w="25560">
                          <a:solidFill>
                            <a:srgbClr val="000000"/>
                          </a:solidFill>
                          <a:miter/>
                        </a:ln>
                      </wps:spPr>
                      <wps:style>
                        <a:lnRef idx="0"/>
                        <a:fillRef idx="0"/>
                        <a:effectRef idx="0"/>
                        <a:fontRef idx="minor"/>
                      </wps:style>
                      <wps:bodyPr/>
                    </wps:wsp>
                  </a:graphicData>
                </a:graphic>
              </wp:anchor>
            </w:drawing>
          </mc:Choice>
          <mc:Fallback>
            <w:pict>
              <v:rect id="shape_0" fillcolor="white" stroked="t" o:allowincell="f" style="position:absolute;margin-left:538.55pt;margin-top:36.6pt;width:25.15pt;height:25.15pt;mso-wrap-style:none;v-text-anchor:middle;mso-position-horizontal-relative:page;mso-position-vertical-relative:page">
                <v:fill o:detectmouseclick="t" type="solid" color2="black"/>
                <v:stroke color="black" weight="25560" joinstyle="miter" endcap="flat"/>
                <w10:wrap type="none"/>
              </v:rect>
            </w:pict>
          </mc:Fallback>
        </mc:AlternateContent>
        <w:t>Information Memorandum</w:t>
      </w:r>
      <w:r>
        <mc:AlternateContent>
          <mc:Choice Requires="wps">
            <w:drawing>
              <wp:anchor behindDoc="0" distT="0" distB="0" distL="114935" distR="114935" simplePos="0" locked="0" layoutInCell="0" allowOverlap="1" relativeHeight="135">
                <wp:simplePos x="0" y="0"/>
                <wp:positionH relativeFrom="page">
                  <wp:posOffset>6830695</wp:posOffset>
                </wp:positionH>
                <wp:positionV relativeFrom="page">
                  <wp:posOffset>822960</wp:posOffset>
                </wp:positionV>
                <wp:extent cx="431800" cy="127000"/>
                <wp:effectExtent l="0" t="0" r="0" b="0"/>
                <wp:wrapNone/>
                <wp:docPr id="3" name="Frame1"/>
                <a:graphic xmlns:a="http://schemas.openxmlformats.org/drawingml/2006/main">
                  <a:graphicData uri="http://schemas.microsoft.com/office/word/2010/wordprocessingShape">
                    <wps:wsp>
                      <wps:cNvSpPr txBox="1"/>
                      <wps:spPr>
                        <a:xfrm>
                          <a:off x="0" y="0"/>
                          <a:ext cx="431800" cy="127000"/>
                        </a:xfrm>
                        <a:prstGeom prst="rect"/>
                        <a:solidFill>
                          <a:srgbClr val="FFFFFF">
                            <a:alpha val="0"/>
                          </a:srgbClr>
                        </a:solidFill>
                      </wps:spPr>
                      <wps:txbx>
                        <w:txbxContent>
                          <w:p>
                            <w:pPr>
                              <w:pStyle w:val="Normal"/>
                              <w:rPr>
                                <w:b/>
                                <w:sz w:val="16"/>
                              </w:rPr>
                            </w:pPr>
                            <w:r>
                              <w:rPr>
                                <w:b/>
                                <w:sz w:val="16"/>
                              </w:rPr>
                              <w:t>COPY #</w:t>
                            </w:r>
                          </w:p>
                        </w:txbxContent>
                      </wps:txbx>
                      <wps:bodyPr anchor="t" lIns="635" tIns="635" rIns="635" bIns="635">
                        <a:noAutofit/>
                      </wps:bodyPr>
                    </wps:wsp>
                  </a:graphicData>
                </a:graphic>
              </wp:anchor>
            </w:drawing>
          </mc:Choice>
          <mc:Fallback>
            <w:pict>
              <v:rect fillcolor="#FFFFFF" style="position:absolute;rotation:-0;width:34pt;height:10pt;mso-wrap-distance-left:9.05pt;mso-wrap-distance-right:9.05pt;mso-wrap-distance-top:0pt;mso-wrap-distance-bottom:0pt;margin-top:64.8pt;mso-position-vertical-relative:page;margin-left:537.85pt;mso-position-horizontal-relative:page">
                <v:fill opacity="0f"/>
                <v:textbox inset="0.000694444444444445in,0.000694444444444445in,0.000694444444444445in,0.000694444444444445in">
                  <w:txbxContent>
                    <w:p>
                      <w:pPr>
                        <w:pStyle w:val="Normal"/>
                        <w:rPr>
                          <w:b/>
                          <w:sz w:val="16"/>
                        </w:rPr>
                      </w:pPr>
                      <w:r>
                        <w:rPr>
                          <w:b/>
                          <w:sz w:val="16"/>
                        </w:rPr>
                        <w:t>COPY #</w:t>
                      </w:r>
                    </w:p>
                  </w:txbxContent>
                </v:textbox>
                <w10:wrap type="none"/>
              </v:rect>
            </w:pict>
          </mc:Fallback>
        </mc:AlternateContent>
      </w:r>
    </w:p>
    <w:p>
      <w:pPr>
        <w:pStyle w:val="Normal"/>
        <w:rPr/>
      </w:pPr>
      <w:r>
        <w:rPr/>
      </w:r>
    </w:p>
    <w:p>
      <w:pPr>
        <w:pStyle w:val="BlockText"/>
        <w:ind w:start="0" w:end="0"/>
        <w:jc w:val="both"/>
        <w:rPr>
          <w:rFonts w:cs="Arial"/>
        </w:rPr>
      </w:pPr>
      <w:r>
        <w:rPr>
          <w:rFonts w:cs="Arial"/>
        </w:rPr>
        <w:t>This information memorandum (“Memorandum”) and the information contained herein are subject to the confidentiality agreement (“Confidentiality Agreement”) entered into between you on the one hand and Enron North America Corp. (“Enron North America” or "ENA") on the other hand.</w:t>
      </w:r>
    </w:p>
    <w:p>
      <w:pPr>
        <w:pStyle w:val="BlockText"/>
        <w:ind w:start="0" w:end="0"/>
        <w:jc w:val="both"/>
        <w:rPr>
          <w:rFonts w:cs="Arial"/>
        </w:rPr>
      </w:pPr>
      <w:r>
        <w:rPr>
          <w:rFonts w:cs="Arial"/>
        </w:rPr>
      </w:r>
    </w:p>
    <w:p>
      <w:pPr>
        <w:pStyle w:val="BlockText"/>
        <w:ind w:start="0" w:end="0"/>
        <w:jc w:val="both"/>
        <w:rPr>
          <w:rFonts w:cs="Arial"/>
        </w:rPr>
      </w:pPr>
      <w:r>
        <w:rPr>
          <w:rFonts w:cs="Arial"/>
        </w:rPr>
        <w:t>Certain information included in this Memorandum contains forward-looking statements identified by such words as “expect,” "anticipate,” or “project.”  Such statements are based on current expectations and involve a number of known and unknown risks and uncertainties that could cause the actual use, benefits, availability, results and performance of the equipment, permits, sites and other assets described herein (collectively, the “Projects”) to differ materially from any expected future use, benefits, availability, results or performance, expressed or implied, by the forward-looking statements, including expectations regarding the future use of the Projects for the purposes described herein.  Enron North America has identified important factors that could cause actual usage of the Projects and any results thereof to differ materially from such expectations, including development uncertainty, operating uncertainty, acquisition uncertainty, uncertainties relating to power, gas and other fuel markets, weather, uncertainties relating to domestic and international economic and political conditions, and uncertainties regarding the impact of regulations, changes in government policy, industry deregulation and competition.  You have an obligation to evaluate all such risks for yourself.  Enron North America does not assume responsibility to update forward-looking information contained herein.</w:t>
      </w:r>
    </w:p>
    <w:p>
      <w:pPr>
        <w:pStyle w:val="BlockText"/>
        <w:ind w:start="0" w:end="0"/>
        <w:jc w:val="both"/>
        <w:rPr>
          <w:rFonts w:cs="Arial"/>
        </w:rPr>
      </w:pPr>
      <w:r>
        <w:rPr>
          <w:rFonts w:cs="Arial"/>
        </w:rPr>
        <w:br/>
        <w:t xml:space="preserve">This Memorandum does not purport to be all-inclusive or to include all information that you may desire or need in investigating the Projects and the benefits and risks associated therewith.  Any estimates, expectations and projections contained in this Memorandum involve significant elements of subjective judgment and analysis, which may or may not be correct.  Neither Enron North America nor any of its affiliates, employees, shareholders, members or representatives makes any representation or warranty, express or implied, as to the accuracy or completeness of the information contained herein or any other information (whether communicated in written or oral form) transmitted or made available to you. Enron North America and its shareholders, affiliates, employees, members and representatives expressly disclaim any and all liability which may be based on the information contained herein (or any errors or omissions therefrom) or relating to or resulting from the use of this Memorandum, the information contained herein or such other information received by you or any of your affiliates or representatives. </w:t>
      </w:r>
    </w:p>
    <w:p>
      <w:pPr>
        <w:pStyle w:val="IntroPage"/>
        <w:jc w:val="both"/>
        <w:rPr>
          <w:rFonts w:cs="Arial"/>
        </w:rPr>
      </w:pPr>
      <w:r>
        <w:rPr>
          <w:rFonts w:cs="Arial"/>
        </w:rPr>
      </w:r>
    </w:p>
    <w:p>
      <w:pPr>
        <w:pStyle w:val="BlockText"/>
        <w:ind w:start="0" w:end="0"/>
        <w:jc w:val="both"/>
        <w:rPr>
          <w:rFonts w:cs="Arial"/>
        </w:rPr>
      </w:pPr>
      <w:r>
        <w:rPr>
          <w:rFonts w:cs="Arial"/>
        </w:rPr>
        <w:t>Nothing in this Memorandum is, or shall be relied upon as, a promise or representation, whether as to the past or future. Enron North America does not intend to update or otherwise revise this Memorandum following its distribution, and you should not expect Enron North America to do so. You are expected to conduct an independent investigation and evaluation in connection with any proposed transaction.</w:t>
      </w:r>
    </w:p>
    <w:p>
      <w:pPr>
        <w:pStyle w:val="BlockText"/>
        <w:ind w:start="0" w:end="0"/>
        <w:jc w:val="both"/>
        <w:rPr>
          <w:rFonts w:cs="Arial"/>
        </w:rPr>
      </w:pPr>
      <w:r>
        <w:rPr>
          <w:rFonts w:cs="Arial"/>
        </w:rPr>
      </w:r>
    </w:p>
    <w:p>
      <w:pPr>
        <w:pStyle w:val="IntroPage"/>
        <w:jc w:val="both"/>
        <w:rPr>
          <w:rFonts w:cs="Arial"/>
        </w:rPr>
      </w:pPr>
      <w:r>
        <w:rPr>
          <w:rFonts w:cs="Arial"/>
        </w:rPr>
        <w:t xml:space="preserve">Enron North America does not assume responsibility to update any projections or forward-looking statements contained herein.  Enron North America expressly reserves the right, in its sole and absolute discretion, to: (1) reject any or all offers or terminate discussions with you for any reason or no reason; (2) negotiate with one or more potential purchasers at any time and enter into definitive agreements for the sale, or other transaction involving, the Projects without prior notice; and (3) discontinue, amend, or modify, at any time, any procedures relating to this process.  </w:t>
      </w:r>
    </w:p>
    <w:p>
      <w:pPr>
        <w:pStyle w:val="IntroPage"/>
        <w:jc w:val="both"/>
        <w:rPr>
          <w:rFonts w:cs="Arial"/>
        </w:rPr>
      </w:pPr>
      <w:r>
        <w:rPr>
          <w:rFonts w:cs="Arial"/>
        </w:rPr>
      </w:r>
    </w:p>
    <w:p>
      <w:pPr>
        <w:pStyle w:val="Normal"/>
        <w:jc w:val="both"/>
        <w:rPr>
          <w:rFonts w:cs="Arial"/>
        </w:rPr>
      </w:pPr>
      <w:r>
        <w:rPr>
          <w:rFonts w:cs="Arial"/>
        </w:rPr>
        <w:t>NEITHER THIS MEMORANDUM NOR ITS DELIVERY TO YOU SHALL CONSTITUTE AN OFFER TO SELL ANY SECURITY OR ENTER INTO ANY OTHER TRANSACTION OR COMMERCIAL AGREEMENT.</w:t>
      </w:r>
    </w:p>
    <w:p>
      <w:pPr>
        <w:sectPr>
          <w:headerReference w:type="default" r:id="rId3"/>
          <w:type w:val="nextPage"/>
          <w:pgSz w:w="12240" w:h="15840"/>
          <w:pgMar w:left="1440" w:right="720" w:gutter="0" w:header="720" w:top="1555" w:footer="0" w:bottom="1296"/>
          <w:pgNumType w:fmt="upperLetter"/>
          <w:formProt w:val="false"/>
          <w:textDirection w:val="lrTb"/>
          <w:docGrid w:type="default" w:linePitch="272" w:charSpace="0"/>
        </w:sectPr>
        <w:pStyle w:val="Normal"/>
        <w:jc w:val="both"/>
        <w:rPr/>
      </w:pPr>
      <w:r>
        <w:rPr/>
      </w:r>
    </w:p>
    <w:p>
      <w:pPr>
        <w:pStyle w:val="TocContent0"/>
        <w:rPr/>
      </w:pPr>
      <w:r>
        <w:rPr/>
        <w:t>Table of Contents</w:t>
      </w:r>
    </w:p>
    <w:p>
      <w:pPr>
        <w:pStyle w:val="TocA0"/>
        <w:numPr>
          <w:ilvl w:val="0"/>
          <w:numId w:val="69"/>
        </w:numPr>
        <w:rPr/>
      </w:pPr>
      <w:r>
        <w:rPr/>
        <w:t>Investment Opportunity</w:t>
      </w:r>
    </w:p>
    <w:p>
      <w:pPr>
        <w:pStyle w:val="TocA0"/>
        <w:numPr>
          <w:ilvl w:val="0"/>
          <w:numId w:val="69"/>
        </w:numPr>
        <w:rPr/>
      </w:pPr>
      <w:r>
        <w:rPr/>
        <w:t>Transaction Process</w:t>
      </w:r>
    </w:p>
    <w:p>
      <w:pPr>
        <w:pStyle w:val="TocA0"/>
        <w:numPr>
          <w:ilvl w:val="0"/>
          <w:numId w:val="69"/>
        </w:numPr>
        <w:rPr/>
      </w:pPr>
      <w:r>
        <w:rPr/>
        <w:t>Key Investment Merits</w:t>
      </w:r>
    </w:p>
    <w:p>
      <w:pPr>
        <w:pStyle w:val="TocA0"/>
        <w:numPr>
          <w:ilvl w:val="0"/>
          <w:numId w:val="69"/>
        </w:numPr>
        <w:rPr/>
      </w:pPr>
      <w:r>
        <w:rPr/>
        <w:t>Project Overviews</w:t>
      </w:r>
    </w:p>
    <w:p>
      <w:pPr>
        <w:pStyle w:val="TocA0"/>
        <w:numPr>
          <w:ilvl w:val="0"/>
          <w:numId w:val="69"/>
        </w:numPr>
        <w:rPr/>
      </w:pPr>
      <w:r>
        <w:rPr/>
        <w:t>Market Overviews</w:t>
      </w:r>
    </w:p>
    <w:p>
      <w:pPr>
        <w:pStyle w:val="TocA0"/>
        <w:numPr>
          <w:ilvl w:val="0"/>
          <w:numId w:val="0"/>
        </w:numPr>
        <w:spacing w:before="240" w:after="240"/>
        <w:ind w:hanging="0" w:start="1440" w:end="965"/>
        <w:rPr/>
      </w:pPr>
      <w:r>
        <w:rPr/>
      </w:r>
    </w:p>
    <w:p>
      <w:pPr>
        <w:pStyle w:val="TocContent0"/>
        <w:pageBreakBefore w:val="false"/>
        <w:spacing w:before="0" w:after="120"/>
        <w:rPr>
          <w:sz w:val="28"/>
        </w:rPr>
      </w:pPr>
      <w:r>
        <w:rPr>
          <w:sz w:val="28"/>
        </w:rPr>
        <w:t>Exhibits</w:t>
      </w:r>
    </w:p>
    <w:p>
      <w:pPr>
        <w:pStyle w:val="TocA1"/>
        <w:spacing w:before="240" w:after="120"/>
        <w:rPr>
          <w:i/>
          <w:i/>
          <w:iCs/>
        </w:rPr>
      </w:pPr>
      <w:r>
        <w:rPr>
          <w:i/>
          <w:iCs/>
        </w:rPr>
        <w:t>Midway Energy Center</w:t>
      </w:r>
    </w:p>
    <w:p>
      <w:pPr>
        <w:pStyle w:val="TocA0"/>
        <w:numPr>
          <w:ilvl w:val="0"/>
          <w:numId w:val="12"/>
        </w:numPr>
        <w:tabs>
          <w:tab w:val="left" w:pos="2121" w:leader="none"/>
          <w:tab w:val="right" w:pos="9840" w:leader="none"/>
        </w:tabs>
        <w:spacing w:before="100" w:after="100"/>
        <w:ind w:hanging="360" w:start="2160" w:end="965"/>
        <w:rPr/>
      </w:pPr>
      <w:r>
        <w:rPr>
          <w:rFonts w:eastAsia="Arial"/>
        </w:rPr>
        <w:t xml:space="preserve">  </w:t>
      </w:r>
      <w:r>
        <w:rPr/>
        <w:t xml:space="preserve">Area Site Map </w:t>
      </w:r>
    </w:p>
    <w:p>
      <w:pPr>
        <w:pStyle w:val="TocA0"/>
        <w:numPr>
          <w:ilvl w:val="0"/>
          <w:numId w:val="12"/>
        </w:numPr>
        <w:tabs>
          <w:tab w:val="left" w:pos="2121" w:leader="none"/>
          <w:tab w:val="right" w:pos="9840" w:leader="none"/>
        </w:tabs>
        <w:spacing w:before="100" w:after="100"/>
        <w:ind w:hanging="360" w:start="2160" w:end="965"/>
        <w:rPr/>
      </w:pPr>
      <w:r>
        <w:rPr>
          <w:rFonts w:eastAsia="Arial"/>
        </w:rPr>
        <w:t xml:space="preserve">  </w:t>
      </w:r>
      <w:r>
        <w:rPr/>
        <w:t xml:space="preserve">Site Development Plan </w:t>
      </w:r>
    </w:p>
    <w:p>
      <w:pPr>
        <w:pStyle w:val="TocA0"/>
        <w:numPr>
          <w:ilvl w:val="0"/>
          <w:numId w:val="12"/>
        </w:numPr>
        <w:tabs>
          <w:tab w:val="left" w:pos="2121" w:leader="none"/>
          <w:tab w:val="right" w:pos="9840" w:leader="none"/>
        </w:tabs>
        <w:spacing w:before="100" w:after="100"/>
        <w:ind w:hanging="360" w:start="2160" w:end="965"/>
        <w:rPr/>
      </w:pPr>
      <w:r>
        <w:rPr>
          <w:rFonts w:eastAsia="Arial"/>
        </w:rPr>
        <w:t xml:space="preserve">  </w:t>
      </w:r>
      <w:r>
        <w:rPr/>
        <w:t xml:space="preserve">EPC Estimate and Construction Schedule </w:t>
      </w:r>
    </w:p>
    <w:p>
      <w:pPr>
        <w:pStyle w:val="TocA0"/>
        <w:numPr>
          <w:ilvl w:val="0"/>
          <w:numId w:val="0"/>
        </w:numPr>
        <w:spacing w:before="240" w:after="120"/>
        <w:ind w:hanging="0" w:start="1440" w:end="965"/>
        <w:rPr>
          <w:i/>
          <w:i/>
          <w:iCs/>
        </w:rPr>
      </w:pPr>
      <w:r>
        <w:rPr>
          <w:i/>
          <w:iCs/>
        </w:rPr>
        <w:t>Ft. Pierce Repowering Project</w:t>
      </w:r>
    </w:p>
    <w:p>
      <w:pPr>
        <w:pStyle w:val="TocA0"/>
        <w:numPr>
          <w:ilvl w:val="0"/>
          <w:numId w:val="12"/>
        </w:numPr>
        <w:tabs>
          <w:tab w:val="left" w:pos="2121" w:leader="none"/>
          <w:tab w:val="right" w:pos="9840" w:leader="none"/>
        </w:tabs>
        <w:spacing w:before="100" w:after="100"/>
        <w:ind w:hanging="360" w:start="2160" w:end="965"/>
        <w:rPr/>
      </w:pPr>
      <w:r>
        <w:rPr>
          <w:rFonts w:eastAsia="Arial"/>
        </w:rPr>
        <w:t xml:space="preserve">  </w:t>
      </w:r>
      <w:r>
        <w:rPr/>
        <w:t>Area Site Map</w:t>
      </w:r>
    </w:p>
    <w:p>
      <w:pPr>
        <w:pStyle w:val="TocA0"/>
        <w:numPr>
          <w:ilvl w:val="0"/>
          <w:numId w:val="12"/>
        </w:numPr>
        <w:tabs>
          <w:tab w:val="left" w:pos="2121" w:leader="none"/>
          <w:tab w:val="right" w:pos="9840" w:leader="none"/>
        </w:tabs>
        <w:spacing w:before="100" w:after="100"/>
        <w:ind w:hanging="360" w:start="2160" w:end="965"/>
        <w:rPr/>
      </w:pPr>
      <w:r>
        <w:rPr>
          <w:rFonts w:eastAsia="Arial"/>
        </w:rPr>
        <w:t xml:space="preserve">  </w:t>
      </w:r>
      <w:r>
        <w:rPr/>
        <w:t>Site Development Plan</w:t>
      </w:r>
    </w:p>
    <w:p>
      <w:pPr>
        <w:pStyle w:val="TocA0"/>
        <w:numPr>
          <w:ilvl w:val="0"/>
          <w:numId w:val="0"/>
        </w:numPr>
        <w:spacing w:before="100" w:after="100"/>
        <w:ind w:hanging="0" w:start="1800" w:end="965"/>
        <w:rPr/>
      </w:pPr>
      <w:r>
        <w:rPr/>
        <w:t>F.   EPC Estimate and Construction Schedule</w:t>
      </w:r>
    </w:p>
    <w:p>
      <w:pPr>
        <w:pStyle w:val="TocA0"/>
        <w:numPr>
          <w:ilvl w:val="0"/>
          <w:numId w:val="19"/>
        </w:numPr>
        <w:spacing w:before="100" w:after="100"/>
        <w:ind w:hanging="360" w:start="2160" w:end="965"/>
        <w:rPr/>
      </w:pPr>
      <w:r>
        <w:rPr>
          <w:rFonts w:eastAsia="Arial"/>
        </w:rPr>
        <w:t xml:space="preserve">  </w:t>
      </w:r>
      <w:r>
        <w:rPr/>
        <w:t>Description of Equipment</w:t>
      </w:r>
    </w:p>
    <w:p>
      <w:pPr>
        <w:pStyle w:val="TocA0"/>
        <w:numPr>
          <w:ilvl w:val="0"/>
          <w:numId w:val="19"/>
        </w:numPr>
        <w:spacing w:before="100" w:after="100"/>
        <w:ind w:hanging="360" w:start="2160" w:end="965"/>
        <w:rPr/>
      </w:pPr>
      <w:r>
        <w:rPr>
          <w:rFonts w:eastAsia="Arial"/>
        </w:rPr>
        <w:t xml:space="preserve">  </w:t>
      </w:r>
      <w:r>
        <w:rPr/>
        <w:t>Electric Transmission System Map</w:t>
      </w:r>
    </w:p>
    <w:p>
      <w:pPr>
        <w:pStyle w:val="Scovn0"/>
        <w:numPr>
          <w:ilvl w:val="1"/>
          <w:numId w:val="60"/>
        </w:numPr>
        <w:rPr/>
      </w:pPr>
      <w:r>
        <w:rPr/>
      </w:r>
    </w:p>
    <w:p>
      <w:pPr>
        <w:pStyle w:val="Scov0"/>
        <w:rPr/>
      </w:pPr>
      <w:r>
        <w:rPr/>
        <w:t>Investment Opportunity</w:t>
      </w:r>
    </w:p>
    <w:p>
      <w:pPr>
        <w:pStyle w:val="Scovn0"/>
        <w:numPr>
          <w:ilvl w:val="1"/>
          <w:numId w:val="60"/>
        </w:numPr>
        <w:rPr/>
      </w:pPr>
      <w:r>
        <w:rPr/>
      </w:r>
    </w:p>
    <w:p>
      <w:pPr>
        <w:pStyle w:val="Scov0"/>
        <w:rPr/>
      </w:pPr>
      <w:r>
        <w:rPr/>
        <w:t>Transaction Process</w:t>
      </w:r>
    </w:p>
    <w:p>
      <w:pPr>
        <w:pStyle w:val="Scovn0"/>
        <w:numPr>
          <w:ilvl w:val="1"/>
          <w:numId w:val="60"/>
        </w:numPr>
        <w:rPr/>
      </w:pPr>
      <w:r>
        <w:rPr/>
      </w:r>
    </w:p>
    <w:p>
      <w:pPr>
        <w:pStyle w:val="Scov0"/>
        <w:rPr/>
      </w:pPr>
      <w:r>
        <w:rPr/>
        <w:t>Key Investment Merits</w:t>
      </w:r>
    </w:p>
    <w:p>
      <w:pPr>
        <w:pStyle w:val="Scovn0"/>
        <w:numPr>
          <w:ilvl w:val="1"/>
          <w:numId w:val="60"/>
        </w:numPr>
        <w:rPr/>
      </w:pPr>
      <w:r>
        <w:rPr/>
      </w:r>
    </w:p>
    <w:p>
      <w:pPr>
        <w:pStyle w:val="Scov0"/>
        <w:rPr/>
      </w:pPr>
      <w:r>
        <w:rPr/>
        <w:t>Project Overviews</w:t>
      </w:r>
    </w:p>
    <w:p>
      <w:pPr>
        <w:pStyle w:val="Scovn0"/>
        <w:numPr>
          <w:ilvl w:val="1"/>
          <w:numId w:val="60"/>
        </w:numPr>
        <w:rPr/>
      </w:pPr>
      <w:r>
        <w:rPr/>
      </w:r>
    </w:p>
    <w:p>
      <w:pPr>
        <w:pStyle w:val="Scov0"/>
        <w:rPr/>
      </w:pPr>
      <w:r>
        <w:rPr/>
        <w:t>Market Overviews</w:t>
      </w:r>
    </w:p>
    <w:p>
      <w:pPr>
        <w:pStyle w:val="A1"/>
        <w:rPr>
          <w:b/>
          <w:sz w:val="20"/>
        </w:rPr>
      </w:pPr>
      <w:r>
        <w:rPr>
          <w:b/>
          <w:sz w:val="20"/>
        </w:rPr>
        <w:t>[THE INFORMATION IN THIS SECTION HAS BEEN INCLUDED BASED ON A VARIETY OF THIRD PARTY SOURCES. THE INFORMATION CONTAINED HEREIN HAS NOT BEEN INDEPENDENTLY VERIFIED.]</w:t>
      </w:r>
    </w:p>
    <w:p>
      <w:pPr>
        <w:pStyle w:val="Normal"/>
        <w:rPr>
          <w:b/>
          <w:sz w:val="20"/>
        </w:rPr>
      </w:pPr>
      <w:r>
        <w:rPr>
          <w:b/>
          <w:sz w:val="20"/>
        </w:rPr>
      </w:r>
    </w:p>
    <w:p>
      <w:pPr>
        <w:sectPr>
          <w:headerReference w:type="default" r:id="rId4"/>
          <w:headerReference w:type="first" r:id="rId5"/>
          <w:footerReference w:type="default" r:id="rId6"/>
          <w:type w:val="nextPage"/>
          <w:pgSz w:w="12240" w:h="15840"/>
          <w:pgMar w:left="1440" w:right="720" w:gutter="0" w:header="720" w:top="2160" w:footer="720" w:bottom="1296"/>
          <w:pgNumType w:fmt="upperLetter"/>
          <w:formProt w:val="false"/>
          <w:textDirection w:val="lrTb"/>
          <w:docGrid w:type="default" w:linePitch="272" w:charSpace="0"/>
        </w:sectPr>
        <w:pStyle w:val="Normal"/>
        <w:rPr/>
      </w:pPr>
      <w:r>
        <w:rPr/>
      </w:r>
    </w:p>
    <w:p>
      <w:pPr>
        <w:pStyle w:val="Sec0"/>
        <w:spacing w:before="0" w:after="120"/>
        <w:rPr/>
      </w:pPr>
      <w:r>
        <w:rPr/>
        <w:t>Investment Opportunity</w:t>
      </w:r>
    </w:p>
    <w:p>
      <w:pPr>
        <w:pStyle w:val="HdLet0"/>
        <w:rPr/>
      </w:pPr>
      <w:r>
        <w:rPr/>
        <w:t>A.</w:t>
        <w:tab/>
        <w:t>Overview of the Proposed Transaction</w:t>
      </w:r>
    </w:p>
    <w:p>
      <w:pPr>
        <w:pStyle w:val="BodyTextIndent3"/>
        <w:spacing w:before="20" w:after="20"/>
        <w:ind w:hanging="0" w:start="1440" w:end="720"/>
        <w:jc w:val="both"/>
        <w:rPr>
          <w:rFonts w:cs="Arial"/>
          <w:sz w:val="20"/>
        </w:rPr>
      </w:pPr>
      <w:r>
        <w:rPr>
          <w:rFonts w:cs="Arial"/>
          <w:sz w:val="20"/>
        </w:rPr>
        <w:t xml:space="preserve">By this Memorandum, ENA is soliciting offers to purchase the member interests in Midway Development Company, L.L.C. (“MDC”), and Fort Pierce Repowering Project, L.L.C. (“FPRP”). Each of MDC and FPRP are Delaware limited liability companies and wholly-owned by Enron North America. </w:t>
      </w:r>
    </w:p>
    <w:p>
      <w:pPr>
        <w:pStyle w:val="BodyTextIndent3"/>
        <w:spacing w:before="20" w:after="20"/>
        <w:ind w:hanging="0" w:start="1440" w:end="720"/>
        <w:jc w:val="both"/>
        <w:rPr>
          <w:rFonts w:cs="Arial"/>
          <w:sz w:val="20"/>
        </w:rPr>
      </w:pPr>
      <w:r>
        <w:rPr>
          <w:rFonts w:cs="Arial"/>
          <w:sz w:val="20"/>
        </w:rPr>
      </w:r>
    </w:p>
    <w:p>
      <w:pPr>
        <w:pStyle w:val="BodyTextIndent3"/>
        <w:spacing w:before="20" w:after="20"/>
        <w:ind w:hanging="0" w:start="1440" w:end="720"/>
        <w:jc w:val="both"/>
        <w:rPr>
          <w:rFonts w:cs="Arial"/>
          <w:sz w:val="20"/>
        </w:rPr>
      </w:pPr>
      <w:r>
        <w:rPr>
          <w:rFonts w:cs="Arial"/>
          <w:sz w:val="20"/>
        </w:rPr>
        <w:t xml:space="preserve">MDC was formed for the purpose of developing the Midway Energy Center (the “Midway Energy Center” or “MEC”), a two-phase dual fuel (natural gas and No.2 fuel oil) merchant power generation facility, with an initial phase of 510MW operating in simple cycle and with an anticipated commercial operations date of June 2002, and a second phase consisting of a 280MW combined cycle expansion. </w:t>
      </w:r>
    </w:p>
    <w:p>
      <w:pPr>
        <w:pStyle w:val="BodyTextIndent3"/>
        <w:spacing w:before="20" w:after="20"/>
        <w:ind w:hanging="0" w:start="1440" w:end="720"/>
        <w:jc w:val="both"/>
        <w:rPr>
          <w:rFonts w:cs="Arial"/>
          <w:sz w:val="20"/>
        </w:rPr>
      </w:pPr>
      <w:r>
        <w:rPr>
          <w:rFonts w:cs="Arial"/>
          <w:sz w:val="20"/>
        </w:rPr>
      </w:r>
    </w:p>
    <w:p>
      <w:pPr>
        <w:pStyle w:val="BodyTextIndent3"/>
        <w:spacing w:before="20" w:after="20"/>
        <w:ind w:hanging="0" w:start="1440" w:end="720"/>
        <w:jc w:val="both"/>
        <w:rPr>
          <w:rFonts w:cs="Arial"/>
          <w:sz w:val="20"/>
        </w:rPr>
      </w:pPr>
      <w:r>
        <w:rPr>
          <w:rFonts w:cs="Arial"/>
          <w:sz w:val="20"/>
        </w:rPr>
        <w:t xml:space="preserve">FPRP was formed for the purpose of developing the Fort Pierce Repowering Project (“FP Project), a 196MW merchant, combined-cycle facility with an anticipated commercial operations date of April 2003 that will sell the steam it produces to the Ft. Pierce Utility Authority (“FPUA”). </w:t>
      </w:r>
    </w:p>
    <w:p>
      <w:pPr>
        <w:pStyle w:val="BodyTextIndent3"/>
        <w:spacing w:before="20" w:after="20"/>
        <w:ind w:hanging="0" w:start="1440" w:end="720"/>
        <w:jc w:val="both"/>
        <w:rPr>
          <w:rFonts w:cs="Arial"/>
          <w:sz w:val="20"/>
        </w:rPr>
      </w:pPr>
      <w:r>
        <w:rPr>
          <w:rFonts w:cs="Arial"/>
          <w:sz w:val="20"/>
        </w:rPr>
      </w:r>
    </w:p>
    <w:p>
      <w:pPr>
        <w:pStyle w:val="BodyTextIndent3"/>
        <w:spacing w:before="20" w:after="20"/>
        <w:ind w:hanging="0" w:start="1440" w:end="720"/>
        <w:jc w:val="both"/>
        <w:rPr>
          <w:rFonts w:cs="Arial"/>
          <w:sz w:val="20"/>
        </w:rPr>
      </w:pPr>
      <w:r>
        <w:rPr>
          <w:rFonts w:cs="Arial"/>
          <w:sz w:val="20"/>
        </w:rPr>
        <w:t xml:space="preserve">Substantially all of the development activities associated with both of the facilities that are to be constructed by each of MDC and FPRP, respectivelly (each a “Facility” and collectively the “Facilities”) are completed such that construction of the MEC can begin immediately, and construction of the FP Project can begin within the next several months. No legislative changes to the Florida Power Plant Siting Act are required as a precondition to such construction. </w:t>
      </w:r>
    </w:p>
    <w:p>
      <w:pPr>
        <w:pStyle w:val="BodyTextIndent3"/>
        <w:spacing w:before="20" w:after="20"/>
        <w:ind w:hanging="0" w:start="1440" w:end="720"/>
        <w:jc w:val="both"/>
        <w:rPr>
          <w:rFonts w:cs="Arial"/>
          <w:sz w:val="20"/>
        </w:rPr>
      </w:pPr>
      <w:r>
        <w:rPr>
          <w:rFonts w:cs="Arial"/>
          <w:sz w:val="20"/>
        </w:rPr>
      </w:r>
    </w:p>
    <w:p>
      <w:pPr>
        <w:pStyle w:val="BodyTextIndent3"/>
        <w:spacing w:before="20" w:after="20"/>
        <w:ind w:hanging="0" w:start="1440" w:end="720"/>
        <w:jc w:val="both"/>
        <w:rPr>
          <w:rFonts w:cs="Arial"/>
          <w:sz w:val="20"/>
        </w:rPr>
      </w:pPr>
      <w:r>
        <w:rPr>
          <w:rFonts w:cs="Arial"/>
          <w:sz w:val="20"/>
        </w:rPr>
        <w:t xml:space="preserve">Furthemore, both the MEC and the FP Project are strategically located in Southeast Florida, which has not been subject to the frequent transmission bottlenecks experienced on Florida’s Gulf Coast electric grid or in the northern part of the state. </w:t>
      </w:r>
    </w:p>
    <w:p>
      <w:pPr>
        <w:pStyle w:val="BodyTextIndent3"/>
        <w:spacing w:before="20" w:after="20"/>
        <w:ind w:hanging="0" w:start="1440" w:end="720"/>
        <w:jc w:val="both"/>
        <w:rPr>
          <w:rFonts w:cs="Arial"/>
          <w:sz w:val="20"/>
        </w:rPr>
      </w:pPr>
      <w:r>
        <w:rPr>
          <w:rFonts w:cs="Arial"/>
          <w:sz w:val="20"/>
        </w:rPr>
      </w:r>
    </w:p>
    <w:p>
      <w:pPr>
        <w:pStyle w:val="BodyTextIndent3"/>
        <w:spacing w:before="20" w:after="20"/>
        <w:ind w:hanging="0" w:start="1440" w:end="720"/>
        <w:jc w:val="both"/>
        <w:rPr>
          <w:rFonts w:cs="Arial"/>
          <w:sz w:val="20"/>
        </w:rPr>
      </w:pPr>
      <w:r>
        <w:rPr>
          <w:rFonts w:cs="Arial"/>
          <w:sz w:val="20"/>
        </w:rPr>
        <w:t xml:space="preserve">The MEC and the FP Project therefore offer a purchaser a significant merchant generation position and first-mover advantage that includes a blend of near term simple and combined cycle operations. </w:t>
      </w:r>
    </w:p>
    <w:p>
      <w:pPr>
        <w:pStyle w:val="HdLet0"/>
        <w:rPr/>
      </w:pPr>
      <w:r>
        <w:rPr/>
        <w:t>B.</w:t>
        <w:tab/>
        <w:t>Summary</w:t>
      </w:r>
    </w:p>
    <w:tbl>
      <w:tblPr>
        <w:tblW w:w="10080" w:type="dxa"/>
        <w:jc w:val="start"/>
        <w:tblInd w:w="0" w:type="dxa"/>
        <w:tblLayout w:type="fixed"/>
        <w:tblCellMar>
          <w:top w:w="0" w:type="dxa"/>
          <w:start w:w="0" w:type="dxa"/>
          <w:bottom w:w="0" w:type="dxa"/>
          <w:end w:w="0" w:type="dxa"/>
        </w:tblCellMar>
      </w:tblPr>
      <w:tblGrid>
        <w:gridCol w:w="1800"/>
        <w:gridCol w:w="1350"/>
        <w:gridCol w:w="2203"/>
        <w:gridCol w:w="1313"/>
        <w:gridCol w:w="1111"/>
        <w:gridCol w:w="2303"/>
      </w:tblGrid>
      <w:tr>
        <w:trPr/>
        <w:tc>
          <w:tcPr>
            <w:tcW w:w="1800" w:type="dxa"/>
            <w:tcBorders>
              <w:top w:val="single" w:sz="18" w:space="0" w:color="000000"/>
              <w:bottom w:val="single" w:sz="4" w:space="0" w:color="000000"/>
            </w:tcBorders>
            <w:vAlign w:val="bottom"/>
          </w:tcPr>
          <w:p>
            <w:pPr>
              <w:pStyle w:val="Normal"/>
              <w:keepNext w:val="true"/>
              <w:keepLines/>
              <w:spacing w:before="36" w:after="36"/>
              <w:jc w:val="center"/>
              <w:rPr>
                <w:caps/>
              </w:rPr>
            </w:pPr>
            <w:r>
              <w:rPr>
                <w:caps/>
              </w:rPr>
              <w:t>Name</w:t>
            </w:r>
          </w:p>
        </w:tc>
        <w:tc>
          <w:tcPr>
            <w:tcW w:w="1350" w:type="dxa"/>
            <w:tcBorders>
              <w:top w:val="single" w:sz="18" w:space="0" w:color="000000"/>
              <w:bottom w:val="single" w:sz="4" w:space="0" w:color="000000"/>
            </w:tcBorders>
            <w:vAlign w:val="bottom"/>
          </w:tcPr>
          <w:p>
            <w:pPr>
              <w:pStyle w:val="T0"/>
              <w:keepNext w:val="true"/>
              <w:keepLines/>
              <w:spacing w:before="36" w:after="36"/>
              <w:jc w:val="center"/>
              <w:rPr>
                <w:caps/>
              </w:rPr>
            </w:pPr>
            <w:r>
              <w:rPr>
                <w:caps/>
              </w:rPr>
              <w:t>cURRENT</w:t>
              <w:br/>
              <w:t>STATUS</w:t>
            </w:r>
          </w:p>
        </w:tc>
        <w:tc>
          <w:tcPr>
            <w:tcW w:w="2203" w:type="dxa"/>
            <w:tcBorders>
              <w:top w:val="single" w:sz="18" w:space="0" w:color="000000"/>
              <w:bottom w:val="single" w:sz="4" w:space="0" w:color="000000"/>
            </w:tcBorders>
            <w:vAlign w:val="bottom"/>
          </w:tcPr>
          <w:p>
            <w:pPr>
              <w:pStyle w:val="TableHeadings"/>
              <w:keepNext w:val="true"/>
              <w:keepLines/>
              <w:spacing w:before="36" w:after="36"/>
              <w:rPr>
                <w:sz w:val="20"/>
              </w:rPr>
            </w:pPr>
            <w:r>
              <w:rPr>
                <w:sz w:val="20"/>
              </w:rPr>
              <w:t>technology</w:t>
            </w:r>
          </w:p>
        </w:tc>
        <w:tc>
          <w:tcPr>
            <w:tcW w:w="1313" w:type="dxa"/>
            <w:tcBorders>
              <w:top w:val="single" w:sz="18" w:space="0" w:color="000000"/>
              <w:bottom w:val="single" w:sz="4" w:space="0" w:color="000000"/>
            </w:tcBorders>
            <w:vAlign w:val="bottom"/>
          </w:tcPr>
          <w:p>
            <w:pPr>
              <w:pStyle w:val="Normal"/>
              <w:keepNext w:val="true"/>
              <w:keepLines/>
              <w:spacing w:before="36" w:after="36"/>
              <w:jc w:val="center"/>
              <w:rPr>
                <w:caps/>
              </w:rPr>
            </w:pPr>
            <w:r>
              <w:rPr>
                <w:caps/>
              </w:rPr>
              <w:t>NAMEPLATE</w:t>
              <w:br/>
              <w:t>Capacity</w:t>
              <w:br/>
              <w:t>(mw)</w:t>
            </w:r>
          </w:p>
        </w:tc>
        <w:tc>
          <w:tcPr>
            <w:tcW w:w="1111" w:type="dxa"/>
            <w:tcBorders>
              <w:top w:val="single" w:sz="18" w:space="0" w:color="000000"/>
              <w:bottom w:val="single" w:sz="4" w:space="0" w:color="000000"/>
            </w:tcBorders>
            <w:vAlign w:val="bottom"/>
          </w:tcPr>
          <w:p>
            <w:pPr>
              <w:pStyle w:val="Normal"/>
              <w:keepNext w:val="true"/>
              <w:keepLines/>
              <w:spacing w:before="36" w:after="36"/>
              <w:jc w:val="center"/>
              <w:rPr/>
            </w:pPr>
            <w:r>
              <w:rPr>
                <w:caps/>
              </w:rPr>
              <w:t>heat</w:t>
              <w:br/>
              <w:t>rate</w:t>
            </w:r>
            <w:r>
              <w:rPr>
                <w:vertAlign w:val="superscript"/>
              </w:rPr>
              <w:t>(1)</w:t>
            </w:r>
            <w:r>
              <w:rPr>
                <w:caps/>
              </w:rPr>
              <w:br/>
              <w:t>(</w:t>
            </w:r>
            <w:r>
              <w:rPr/>
              <w:t>Btu/kWh)</w:t>
            </w:r>
          </w:p>
        </w:tc>
        <w:tc>
          <w:tcPr>
            <w:tcW w:w="2303" w:type="dxa"/>
            <w:tcBorders>
              <w:top w:val="single" w:sz="18" w:space="0" w:color="000000"/>
              <w:bottom w:val="single" w:sz="4" w:space="0" w:color="000000"/>
            </w:tcBorders>
            <w:vAlign w:val="bottom"/>
          </w:tcPr>
          <w:p>
            <w:pPr>
              <w:pStyle w:val="Normal"/>
              <w:keepNext w:val="true"/>
              <w:keepLines/>
              <w:spacing w:before="36" w:after="36"/>
              <w:jc w:val="center"/>
              <w:rPr>
                <w:caps/>
              </w:rPr>
            </w:pPr>
            <w:r>
              <w:rPr>
                <w:caps/>
              </w:rPr>
              <w:t>Electrical</w:t>
              <w:br/>
              <w:t>Interconnect</w:t>
            </w:r>
          </w:p>
        </w:tc>
      </w:tr>
      <w:tr>
        <w:trPr>
          <w:trHeight w:val="693" w:hRule="atLeast"/>
        </w:trPr>
        <w:tc>
          <w:tcPr>
            <w:tcW w:w="1800" w:type="dxa"/>
            <w:tcBorders/>
          </w:tcPr>
          <w:p>
            <w:pPr>
              <w:pStyle w:val="Normal"/>
              <w:spacing w:before="60" w:after="36"/>
              <w:rPr>
                <w:b/>
              </w:rPr>
            </w:pPr>
            <w:r>
              <w:rPr>
                <w:b/>
              </w:rPr>
              <w:t>Midway</w:t>
            </w:r>
          </w:p>
        </w:tc>
        <w:tc>
          <w:tcPr>
            <w:tcW w:w="1350" w:type="dxa"/>
            <w:tcBorders/>
          </w:tcPr>
          <w:p>
            <w:pPr>
              <w:pStyle w:val="Normal"/>
              <w:keepNext w:val="true"/>
              <w:snapToGrid w:val="false"/>
              <w:spacing w:before="60" w:after="36"/>
              <w:ind w:start="18" w:end="0"/>
              <w:rPr>
                <w:b/>
              </w:rPr>
            </w:pPr>
            <w:r>
              <w:rPr>
                <w:b/>
              </w:rPr>
            </w:r>
          </w:p>
        </w:tc>
        <w:tc>
          <w:tcPr>
            <w:tcW w:w="2203" w:type="dxa"/>
            <w:tcBorders/>
          </w:tcPr>
          <w:p>
            <w:pPr>
              <w:pStyle w:val="Normal"/>
              <w:keepNext w:val="true"/>
              <w:keepLines/>
              <w:spacing w:before="60" w:after="36"/>
              <w:ind w:start="50" w:end="0"/>
              <w:rPr/>
            </w:pPr>
            <w:r>
              <w:rPr/>
              <w:t>3 GE 7FA combustion turbines</w:t>
            </w:r>
          </w:p>
        </w:tc>
        <w:tc>
          <w:tcPr>
            <w:tcW w:w="1313" w:type="dxa"/>
            <w:tcBorders/>
          </w:tcPr>
          <w:p>
            <w:pPr>
              <w:pStyle w:val="Footer"/>
              <w:keepNext w:val="true"/>
              <w:tabs>
                <w:tab w:val="clear" w:pos="4320"/>
                <w:tab w:val="clear" w:pos="8640"/>
                <w:tab w:val="decimal" w:pos="510" w:leader="none"/>
              </w:tabs>
              <w:spacing w:before="60" w:after="36"/>
              <w:rPr/>
            </w:pPr>
            <w:r>
              <w:rPr>
                <w:rFonts w:eastAsia="Arial"/>
              </w:rPr>
              <w:t xml:space="preserve">        </w:t>
            </w:r>
            <w:r>
              <w:rPr/>
              <w:t>510</w:t>
            </w:r>
          </w:p>
        </w:tc>
        <w:tc>
          <w:tcPr>
            <w:tcW w:w="1111" w:type="dxa"/>
            <w:tcBorders/>
          </w:tcPr>
          <w:p>
            <w:pPr>
              <w:pStyle w:val="Footer"/>
              <w:keepNext w:val="true"/>
              <w:tabs>
                <w:tab w:val="clear" w:pos="4320"/>
                <w:tab w:val="clear" w:pos="8640"/>
                <w:tab w:val="decimal" w:pos="720" w:leader="none"/>
              </w:tabs>
              <w:snapToGrid w:val="false"/>
              <w:spacing w:before="60" w:after="36"/>
              <w:rPr/>
            </w:pPr>
            <w:r>
              <w:rPr/>
            </w:r>
          </w:p>
        </w:tc>
        <w:tc>
          <w:tcPr>
            <w:tcW w:w="2303" w:type="dxa"/>
            <w:tcBorders/>
          </w:tcPr>
          <w:p>
            <w:pPr>
              <w:pStyle w:val="FootnoteText"/>
              <w:keepNext w:val="true"/>
              <w:snapToGrid w:val="false"/>
              <w:spacing w:lineRule="auto" w:line="240" w:before="60" w:after="36"/>
              <w:rPr>
                <w:rFonts w:ascii="Arial" w:hAnsi="Arial" w:cs="Arial"/>
                <w:kern w:val="0"/>
                <w:sz w:val="20"/>
              </w:rPr>
            </w:pPr>
            <w:r>
              <w:rPr>
                <w:rFonts w:cs="Arial" w:ascii="Arial" w:hAnsi="Arial"/>
                <w:kern w:val="0"/>
                <w:sz w:val="20"/>
              </w:rPr>
            </w:r>
          </w:p>
        </w:tc>
      </w:tr>
      <w:tr>
        <w:trPr>
          <w:trHeight w:val="852" w:hRule="atLeast"/>
        </w:trPr>
        <w:tc>
          <w:tcPr>
            <w:tcW w:w="1800" w:type="dxa"/>
            <w:tcBorders>
              <w:bottom w:val="single" w:sz="4" w:space="0" w:color="000000"/>
            </w:tcBorders>
          </w:tcPr>
          <w:p>
            <w:pPr>
              <w:pStyle w:val="Normal"/>
              <w:spacing w:before="60" w:after="36"/>
              <w:rPr>
                <w:b/>
              </w:rPr>
            </w:pPr>
            <w:r>
              <w:rPr>
                <w:b/>
              </w:rPr>
              <w:t>Fort Pierce</w:t>
            </w:r>
          </w:p>
        </w:tc>
        <w:tc>
          <w:tcPr>
            <w:tcW w:w="1350" w:type="dxa"/>
            <w:tcBorders>
              <w:bottom w:val="single" w:sz="4" w:space="0" w:color="000000"/>
            </w:tcBorders>
          </w:tcPr>
          <w:p>
            <w:pPr>
              <w:pStyle w:val="FootnoteText"/>
              <w:keepNext w:val="true"/>
              <w:snapToGrid w:val="false"/>
              <w:spacing w:lineRule="auto" w:line="240" w:before="60" w:after="36"/>
              <w:rPr>
                <w:rFonts w:ascii="Arial" w:hAnsi="Arial" w:cs="Arial"/>
                <w:b/>
                <w:kern w:val="0"/>
                <w:sz w:val="20"/>
              </w:rPr>
            </w:pPr>
            <w:r>
              <w:rPr>
                <w:rFonts w:cs="Arial" w:ascii="Arial" w:hAnsi="Arial"/>
                <w:b/>
                <w:kern w:val="0"/>
                <w:sz w:val="20"/>
              </w:rPr>
            </w:r>
          </w:p>
        </w:tc>
        <w:tc>
          <w:tcPr>
            <w:tcW w:w="2203" w:type="dxa"/>
            <w:tcBorders>
              <w:bottom w:val="single" w:sz="4" w:space="0" w:color="000000"/>
            </w:tcBorders>
          </w:tcPr>
          <w:p>
            <w:pPr>
              <w:pStyle w:val="Normal"/>
              <w:keepNext w:val="true"/>
              <w:keepLines/>
              <w:spacing w:before="60" w:after="36"/>
              <w:ind w:start="50" w:end="0"/>
              <w:rPr/>
            </w:pPr>
            <w:r>
              <w:rPr/>
              <w:t>1 MHI 501F combustion turbine</w:t>
            </w:r>
          </w:p>
          <w:p>
            <w:pPr>
              <w:pStyle w:val="Normal"/>
              <w:keepNext w:val="true"/>
              <w:keepLines/>
              <w:spacing w:before="60" w:after="36"/>
              <w:ind w:start="50" w:end="0"/>
              <w:rPr/>
            </w:pPr>
            <w:r>
              <w:rPr/>
              <w:t xml:space="preserve">1 </w:t>
            </w:r>
            <w:r>
              <w:rPr>
                <w:color w:val="000000"/>
              </w:rPr>
              <w:t>CMI</w:t>
            </w:r>
            <w:r>
              <w:rPr/>
              <w:t xml:space="preserve"> HRSG</w:t>
            </w:r>
          </w:p>
        </w:tc>
        <w:tc>
          <w:tcPr>
            <w:tcW w:w="1313" w:type="dxa"/>
            <w:tcBorders>
              <w:bottom w:val="single" w:sz="4" w:space="0" w:color="000000"/>
            </w:tcBorders>
          </w:tcPr>
          <w:p>
            <w:pPr>
              <w:pStyle w:val="Footer"/>
              <w:keepNext w:val="true"/>
              <w:tabs>
                <w:tab w:val="clear" w:pos="4320"/>
                <w:tab w:val="clear" w:pos="8640"/>
                <w:tab w:val="decimal" w:pos="510" w:leader="none"/>
              </w:tabs>
              <w:spacing w:before="60" w:after="36"/>
              <w:jc w:val="both"/>
              <w:rPr/>
            </w:pPr>
            <w:r>
              <w:rPr>
                <w:rFonts w:eastAsia="Arial"/>
              </w:rPr>
              <w:t xml:space="preserve">        </w:t>
            </w:r>
            <w:r>
              <w:rPr/>
              <w:t>196</w:t>
            </w:r>
          </w:p>
        </w:tc>
        <w:tc>
          <w:tcPr>
            <w:tcW w:w="1111" w:type="dxa"/>
            <w:tcBorders>
              <w:bottom w:val="single" w:sz="4" w:space="0" w:color="000000"/>
            </w:tcBorders>
          </w:tcPr>
          <w:p>
            <w:pPr>
              <w:pStyle w:val="Footer"/>
              <w:keepNext w:val="true"/>
              <w:tabs>
                <w:tab w:val="clear" w:pos="4320"/>
                <w:tab w:val="clear" w:pos="8640"/>
                <w:tab w:val="decimal" w:pos="720" w:leader="none"/>
              </w:tabs>
              <w:snapToGrid w:val="false"/>
              <w:spacing w:before="60" w:after="36"/>
              <w:rPr/>
            </w:pPr>
            <w:r>
              <w:rPr/>
            </w:r>
          </w:p>
        </w:tc>
        <w:tc>
          <w:tcPr>
            <w:tcW w:w="2303" w:type="dxa"/>
            <w:tcBorders>
              <w:bottom w:val="single" w:sz="4" w:space="0" w:color="000000"/>
            </w:tcBorders>
          </w:tcPr>
          <w:p>
            <w:pPr>
              <w:pStyle w:val="FootnoteText"/>
              <w:keepNext w:val="true"/>
              <w:snapToGrid w:val="false"/>
              <w:spacing w:lineRule="auto" w:line="240" w:before="60" w:after="36"/>
              <w:rPr>
                <w:rFonts w:ascii="Arial" w:hAnsi="Arial" w:cs="Arial"/>
                <w:kern w:val="0"/>
                <w:sz w:val="20"/>
              </w:rPr>
            </w:pPr>
            <w:r>
              <w:rPr>
                <w:rFonts w:cs="Arial" w:ascii="Arial" w:hAnsi="Arial"/>
                <w:kern w:val="0"/>
                <w:sz w:val="20"/>
              </w:rPr>
            </w:r>
          </w:p>
        </w:tc>
      </w:tr>
    </w:tbl>
    <w:p>
      <w:pPr>
        <w:pStyle w:val="Normal"/>
        <w:tabs>
          <w:tab w:val="clear" w:pos="720"/>
          <w:tab w:val="left" w:pos="300" w:leader="none"/>
        </w:tabs>
        <w:rPr/>
      </w:pPr>
      <w:r>
        <w:rPr/>
        <w:t>(1)</w:t>
        <w:tab/>
        <w:t>Anticipated heat rate @ 90</w:t>
      </w:r>
      <w:r>
        <w:rPr>
          <w:rFonts w:eastAsia="Symbol" w:cs="Symbol" w:ascii="Symbol" w:hAnsi="Symbol"/>
        </w:rPr>
        <w:sym w:font="Symbol" w:char="f0b0"/>
      </w:r>
      <w:r>
        <w:rPr/>
        <w:t>F, HHV.</w:t>
      </w:r>
    </w:p>
    <w:p>
      <w:pPr>
        <w:pStyle w:val="Sec0"/>
        <w:spacing w:before="0" w:after="0"/>
        <w:ind w:hanging="706" w:start="706" w:end="0"/>
        <w:rPr/>
      </w:pPr>
      <w:r>
        <w:rPr/>
        <w:t>Transaction Process</w:t>
      </w:r>
    </w:p>
    <w:p>
      <w:pPr>
        <w:pStyle w:val="HdLet0"/>
        <w:spacing w:before="240" w:after="120"/>
        <w:rPr/>
      </w:pPr>
      <w:r>
        <w:rPr/>
        <w:t>A.</w:t>
        <w:tab/>
        <w:t>Overview</w:t>
      </w:r>
    </w:p>
    <w:p>
      <w:pPr>
        <w:pStyle w:val="A0"/>
        <w:rPr/>
      </w:pPr>
      <w:r>
        <w:rPr/>
        <w:t>ENA is soliciting proposals from a select group of prospective purchasers.  This Memorandum has been prepared for the sole use of Prospective Purchasers who have executed the Confidentiality Agreement.</w:t>
      </w:r>
    </w:p>
    <w:p>
      <w:pPr>
        <w:pStyle w:val="A0"/>
        <w:spacing w:before="100" w:after="0"/>
        <w:rPr/>
      </w:pPr>
      <w:r>
        <w:rPr/>
        <w:t>The proposed transaction structure assumes a sale of 100% of the ownership interests in both MDC and FPRP (collectively the “Project LLC’s) owning Facilities for cash payable at closing.  ENA’s main objectives in considering proposals for the purchase of the Facilities are to arrange for a transaction (or series of transactions) upon acceptable terms which reflect the highest possible value and to consummate such transaction(s) in a timely manner.  To the extent consistent with these objectives, ENA will consider alternative structures and forms of consideration.</w:t>
      </w:r>
    </w:p>
    <w:p>
      <w:pPr>
        <w:pStyle w:val="HdLet0"/>
        <w:spacing w:before="120" w:after="120"/>
        <w:rPr/>
      </w:pPr>
      <w:r>
        <w:rPr/>
        <w:t>B.</w:t>
        <w:tab/>
        <w:t>Summary of Process</w:t>
      </w:r>
    </w:p>
    <w:p>
      <w:pPr>
        <w:pStyle w:val="A0"/>
        <w:spacing w:before="120" w:after="0"/>
        <w:rPr>
          <w:i/>
          <w:i/>
        </w:rPr>
      </w:pPr>
      <w:r>
        <w:rPr>
          <w:i/>
        </w:rPr>
        <w:t>Round I Proposals</w:t>
      </w:r>
    </w:p>
    <w:p>
      <w:pPr>
        <w:pStyle w:val="A0"/>
        <w:rPr/>
      </w:pPr>
      <w:r>
        <w:rPr/>
        <w:t>Interested Prospective Purchasers will be required to submit written indications of interest in the form of preliminary proposals (“Round I Proposals”) to express interest in acquiring either or both of the Project LLC’s.</w:t>
      </w:r>
    </w:p>
    <w:p>
      <w:pPr>
        <w:pStyle w:val="A0"/>
        <w:spacing w:before="120" w:after="0"/>
        <w:rPr>
          <w:i/>
          <w:i/>
        </w:rPr>
      </w:pPr>
      <w:r>
        <w:rPr>
          <w:i/>
        </w:rPr>
        <w:t>Detailed Due Diligence</w:t>
      </w:r>
    </w:p>
    <w:p>
      <w:pPr>
        <w:pStyle w:val="A0"/>
        <w:rPr/>
      </w:pPr>
      <w:r>
        <w:rPr/>
        <w:t xml:space="preserve">On the basis of Round I Proposals, ENA expects to select a limited number of Prospective Purchasers to conduct further due diligence.  Such Prospective Purchasers will have the opportunity to arrange for independent site tours, to have access to the virtual data provided by ENA and to direct questions to ENA in relation to the Facilities, prior to submitting final binding proposals (“Round II Proposals”).  The representations and warranties in the key transaction documents will reflect that comprehensive due diligence has been performed, so Prospective Purchasers are encouraged to plan for and utilize the due diligence opportunity to the fullest.  Round I Proposals should identify the due diligence team members, including outside consultants and advisors, and their function(s). </w:t>
      </w:r>
    </w:p>
    <w:p>
      <w:pPr>
        <w:pStyle w:val="A0"/>
        <w:spacing w:before="100" w:after="0"/>
        <w:rPr>
          <w:i/>
          <w:i/>
        </w:rPr>
      </w:pPr>
      <w:r>
        <w:rPr>
          <w:i/>
        </w:rPr>
        <w:t>Round II Proposals</w:t>
      </w:r>
    </w:p>
    <w:p>
      <w:pPr>
        <w:pStyle w:val="A0"/>
        <w:rPr/>
      </w:pPr>
      <w:r>
        <w:rPr/>
        <w:t>A short list of Prospective Purchasers who submitted Round I proposals will be notified in writing under separate cover of their selection to submit a second round proposal and the procedures for the Round II Proposal.  Round II Proposals must be accompanied by a markup of key transaction documents and a binding confirmation that the Prospective Purchaser is prepared to promptly execute such transaction documents in the forms submitted.  To be considered, Round II Proposals must (i) not be subject to any additional due diligence, (ii) not be subject to any financing contingencies or other material conditions (other than receipt of the regulatory approvals required for closing), and (iii) have all necessary board and other corporate or similar approvals prior to submission.</w:t>
      </w:r>
    </w:p>
    <w:p>
      <w:pPr>
        <w:pStyle w:val="A0"/>
        <w:rPr/>
      </w:pPr>
      <w:r>
        <w:rPr/>
        <w:t>Each Prospective Purchaser is responsible for all of its costs incurred in connection with its due diligence, bid preparation and proposal, including fees and disbursements of its own counsel and advisors.</w:t>
      </w:r>
    </w:p>
    <w:p>
      <w:pPr>
        <w:pStyle w:val="A0"/>
        <w:spacing w:before="100" w:after="0"/>
        <w:rPr/>
      </w:pPr>
      <w:r>
        <w:rPr/>
        <w:t xml:space="preserve">ENA reserves the right, in its sole discretion, to discontinue, modify, delay or accelerate the process with respect to any Prospective Purchaser at any time for any reason or no reason and without any liability on its part.  The sale of </w:t>
      </w:r>
      <w:r>
        <w:rPr>
          <w:rFonts w:cs="Arial"/>
        </w:rPr>
        <w:t>MDC and FPRP</w:t>
      </w:r>
      <w:r>
        <w:rPr/>
        <w:t xml:space="preserve"> is expected to close as soon as possible after receipt of all required regulatory approvals </w:t>
      </w:r>
      <w:r>
        <w:rPr>
          <w:i/>
          <w:iCs/>
        </w:rPr>
        <w:t>[are they any?]</w:t>
      </w:r>
      <w:r>
        <w:rPr/>
        <w:t xml:space="preserve"> (fourth quarter 2001 or earlier).  Prospective Purchasers must indicate their ability to meet the deadlines outlined within the transaction schedule below as part of their Round I Proposal due September 14, 2001.</w:t>
      </w:r>
    </w:p>
    <w:p>
      <w:pPr>
        <w:pStyle w:val="HdLet0"/>
        <w:spacing w:before="240" w:after="120"/>
        <w:rPr>
          <w:i/>
          <w:i/>
          <w:u w:val="single"/>
        </w:rPr>
      </w:pPr>
      <w:r>
        <w:rPr/>
        <w:t>C.</w:t>
        <w:tab/>
        <w:t>Purchase Mechanics</w:t>
      </w:r>
    </w:p>
    <w:p>
      <w:pPr>
        <w:pStyle w:val="A0"/>
        <w:rPr/>
      </w:pPr>
      <w:r>
        <w:rPr>
          <w:rFonts w:cs="Arial"/>
        </w:rPr>
        <w:t>Neither MDC or FPRP</w:t>
      </w:r>
      <w:r>
        <w:rPr/>
        <w:t xml:space="preserve"> have any debt and each is owned 100% by ENA North America.</w:t>
      </w:r>
    </w:p>
    <w:p>
      <w:pPr>
        <w:pStyle w:val="A0"/>
        <w:rPr/>
      </w:pPr>
      <w:r>
        <w:rPr/>
        <w:t>The preferred sales method is a transfer of 100% of the member interests in each of the Project LLCs, in order to minimize the number of required consents and approvals.  It is expected that the financial close of the sales process for the Project LLC’s will occur as soon as possible following receipt of all required regulatory approvals.</w:t>
      </w:r>
    </w:p>
    <w:p>
      <w:pPr>
        <w:pStyle w:val="A0"/>
        <w:spacing w:before="100" w:after="240"/>
        <w:ind w:hanging="720" w:end="720"/>
        <w:rPr/>
      </w:pPr>
      <w:r>
        <w:rPr/>
        <w:t>D.</w:t>
        <w:tab/>
        <w:t>Transaction Schedule</w:t>
      </w:r>
    </w:p>
    <w:tbl>
      <w:tblPr>
        <w:tblW w:w="8368" w:type="dxa"/>
        <w:jc w:val="start"/>
        <w:tblInd w:w="1432" w:type="dxa"/>
        <w:tblLayout w:type="fixed"/>
        <w:tblCellMar>
          <w:top w:w="0" w:type="dxa"/>
          <w:start w:w="0" w:type="dxa"/>
          <w:bottom w:w="0" w:type="dxa"/>
          <w:end w:w="0" w:type="dxa"/>
        </w:tblCellMar>
      </w:tblPr>
      <w:tblGrid>
        <w:gridCol w:w="6068"/>
        <w:gridCol w:w="2300"/>
      </w:tblGrid>
      <w:tr>
        <w:trPr/>
        <w:tc>
          <w:tcPr>
            <w:tcW w:w="6068" w:type="dxa"/>
            <w:tcBorders>
              <w:top w:val="single" w:sz="18" w:space="0" w:color="000000"/>
              <w:bottom w:val="single" w:sz="6" w:space="0" w:color="000000"/>
            </w:tcBorders>
            <w:vAlign w:val="bottom"/>
          </w:tcPr>
          <w:p>
            <w:pPr>
              <w:pStyle w:val="Normal"/>
              <w:spacing w:before="36" w:after="36"/>
              <w:rPr>
                <w:caps/>
                <w:sz w:val="14"/>
              </w:rPr>
            </w:pPr>
            <w:r>
              <w:rPr>
                <w:caps/>
                <w:sz w:val="14"/>
              </w:rPr>
              <w:t>Action Item</w:t>
            </w:r>
          </w:p>
        </w:tc>
        <w:tc>
          <w:tcPr>
            <w:tcW w:w="2300" w:type="dxa"/>
            <w:tcBorders>
              <w:top w:val="single" w:sz="18" w:space="0" w:color="000000"/>
              <w:bottom w:val="single" w:sz="6" w:space="0" w:color="000000"/>
            </w:tcBorders>
            <w:vAlign w:val="bottom"/>
          </w:tcPr>
          <w:p>
            <w:pPr>
              <w:pStyle w:val="Normal"/>
              <w:spacing w:before="36" w:after="36"/>
              <w:jc w:val="center"/>
              <w:rPr>
                <w:caps/>
                <w:sz w:val="14"/>
              </w:rPr>
            </w:pPr>
            <w:r>
              <w:rPr>
                <w:caps/>
                <w:sz w:val="14"/>
              </w:rPr>
              <w:t>timing</w:t>
            </w:r>
          </w:p>
        </w:tc>
      </w:tr>
      <w:tr>
        <w:trPr/>
        <w:tc>
          <w:tcPr>
            <w:tcW w:w="6068" w:type="dxa"/>
            <w:tcBorders/>
          </w:tcPr>
          <w:p>
            <w:pPr>
              <w:pStyle w:val="T0"/>
              <w:spacing w:before="216" w:after="40"/>
              <w:rPr>
                <w:sz w:val="16"/>
              </w:rPr>
            </w:pPr>
            <w:r>
              <w:rPr>
                <w:sz w:val="16"/>
              </w:rPr>
              <w:t>Execute Confidentiality Agreement</w:t>
            </w:r>
          </w:p>
        </w:tc>
        <w:tc>
          <w:tcPr>
            <w:tcW w:w="2300" w:type="dxa"/>
            <w:tcBorders/>
          </w:tcPr>
          <w:p>
            <w:pPr>
              <w:pStyle w:val="Normal"/>
              <w:spacing w:before="216" w:after="40"/>
              <w:jc w:val="center"/>
              <w:rPr>
                <w:sz w:val="16"/>
              </w:rPr>
            </w:pPr>
            <w:r>
              <w:rPr>
                <w:sz w:val="16"/>
              </w:rPr>
              <w:t>Week of August 13</w:t>
            </w:r>
          </w:p>
        </w:tc>
      </w:tr>
      <w:tr>
        <w:trPr/>
        <w:tc>
          <w:tcPr>
            <w:tcW w:w="6068" w:type="dxa"/>
            <w:tcBorders/>
          </w:tcPr>
          <w:p>
            <w:pPr>
              <w:pStyle w:val="T0"/>
              <w:spacing w:before="40" w:after="40"/>
              <w:rPr>
                <w:sz w:val="16"/>
              </w:rPr>
            </w:pPr>
            <w:r>
              <w:rPr>
                <w:sz w:val="16"/>
              </w:rPr>
              <w:t>Memorandum Delivered to Prospective Purchasers</w:t>
            </w:r>
          </w:p>
        </w:tc>
        <w:tc>
          <w:tcPr>
            <w:tcW w:w="2300" w:type="dxa"/>
            <w:tcBorders/>
          </w:tcPr>
          <w:p>
            <w:pPr>
              <w:pStyle w:val="Normal"/>
              <w:spacing w:before="40" w:after="40"/>
              <w:jc w:val="center"/>
              <w:rPr>
                <w:sz w:val="16"/>
              </w:rPr>
            </w:pPr>
            <w:r>
              <w:rPr>
                <w:sz w:val="16"/>
              </w:rPr>
              <w:t>Week of August 20</w:t>
            </w:r>
          </w:p>
        </w:tc>
      </w:tr>
      <w:tr>
        <w:trPr/>
        <w:tc>
          <w:tcPr>
            <w:tcW w:w="6068" w:type="dxa"/>
            <w:tcBorders/>
          </w:tcPr>
          <w:p>
            <w:pPr>
              <w:pStyle w:val="T0"/>
              <w:spacing w:before="40" w:after="40"/>
              <w:rPr>
                <w:sz w:val="16"/>
              </w:rPr>
            </w:pPr>
            <w:r>
              <w:rPr>
                <w:sz w:val="16"/>
              </w:rPr>
              <w:t>Initial Evaluation</w:t>
            </w:r>
          </w:p>
        </w:tc>
        <w:tc>
          <w:tcPr>
            <w:tcW w:w="2300" w:type="dxa"/>
            <w:tcBorders/>
          </w:tcPr>
          <w:p>
            <w:pPr>
              <w:pStyle w:val="Normal"/>
              <w:spacing w:before="40" w:after="40"/>
              <w:jc w:val="center"/>
              <w:rPr>
                <w:sz w:val="16"/>
              </w:rPr>
            </w:pPr>
            <w:r>
              <w:rPr>
                <w:sz w:val="16"/>
              </w:rPr>
              <w:t>August 20 – September 14</w:t>
            </w:r>
          </w:p>
        </w:tc>
      </w:tr>
      <w:tr>
        <w:trPr/>
        <w:tc>
          <w:tcPr>
            <w:tcW w:w="6068" w:type="dxa"/>
            <w:tcBorders/>
          </w:tcPr>
          <w:p>
            <w:pPr>
              <w:pStyle w:val="T0"/>
              <w:spacing w:before="40" w:after="40"/>
              <w:rPr>
                <w:sz w:val="16"/>
              </w:rPr>
            </w:pPr>
            <w:r>
              <w:rPr>
                <w:sz w:val="16"/>
              </w:rPr>
              <w:t>Submission of Round I Bids</w:t>
            </w:r>
          </w:p>
        </w:tc>
        <w:tc>
          <w:tcPr>
            <w:tcW w:w="2300" w:type="dxa"/>
            <w:tcBorders/>
          </w:tcPr>
          <w:p>
            <w:pPr>
              <w:pStyle w:val="Normal"/>
              <w:spacing w:before="40" w:after="40"/>
              <w:jc w:val="center"/>
              <w:rPr>
                <w:sz w:val="16"/>
              </w:rPr>
            </w:pPr>
            <w:r>
              <w:rPr>
                <w:sz w:val="16"/>
              </w:rPr>
              <w:t>September 14</w:t>
            </w:r>
          </w:p>
        </w:tc>
      </w:tr>
      <w:tr>
        <w:trPr/>
        <w:tc>
          <w:tcPr>
            <w:tcW w:w="6068" w:type="dxa"/>
            <w:tcBorders/>
          </w:tcPr>
          <w:p>
            <w:pPr>
              <w:pStyle w:val="Normal"/>
              <w:spacing w:before="40" w:after="40"/>
              <w:rPr>
                <w:sz w:val="16"/>
              </w:rPr>
            </w:pPr>
            <w:r>
              <w:rPr>
                <w:sz w:val="16"/>
              </w:rPr>
              <w:t>Determination and Notification of Short-Listed Prospective Purchasers</w:t>
            </w:r>
          </w:p>
        </w:tc>
        <w:tc>
          <w:tcPr>
            <w:tcW w:w="2300" w:type="dxa"/>
            <w:tcBorders/>
          </w:tcPr>
          <w:p>
            <w:pPr>
              <w:pStyle w:val="Normal"/>
              <w:spacing w:before="40" w:after="40"/>
              <w:jc w:val="center"/>
              <w:rPr>
                <w:sz w:val="16"/>
              </w:rPr>
            </w:pPr>
            <w:r>
              <w:rPr>
                <w:sz w:val="16"/>
              </w:rPr>
              <w:t>Week of September 17</w:t>
            </w:r>
          </w:p>
        </w:tc>
      </w:tr>
      <w:tr>
        <w:trPr/>
        <w:tc>
          <w:tcPr>
            <w:tcW w:w="6068" w:type="dxa"/>
            <w:tcBorders/>
          </w:tcPr>
          <w:p>
            <w:pPr>
              <w:pStyle w:val="Normal"/>
              <w:spacing w:before="40" w:after="40"/>
              <w:rPr>
                <w:sz w:val="16"/>
              </w:rPr>
            </w:pPr>
            <w:r>
              <w:rPr>
                <w:sz w:val="16"/>
              </w:rPr>
              <w:t>Access to Virtual Data Room / Key Transaction Documents Delivered</w:t>
            </w:r>
          </w:p>
        </w:tc>
        <w:tc>
          <w:tcPr>
            <w:tcW w:w="2300" w:type="dxa"/>
            <w:tcBorders/>
          </w:tcPr>
          <w:p>
            <w:pPr>
              <w:pStyle w:val="Normal"/>
              <w:spacing w:before="40" w:after="40"/>
              <w:jc w:val="center"/>
              <w:rPr>
                <w:sz w:val="16"/>
              </w:rPr>
            </w:pPr>
            <w:r>
              <w:rPr>
                <w:sz w:val="16"/>
              </w:rPr>
              <w:t>Week of September 17</w:t>
            </w:r>
          </w:p>
        </w:tc>
      </w:tr>
      <w:tr>
        <w:trPr/>
        <w:tc>
          <w:tcPr>
            <w:tcW w:w="6068" w:type="dxa"/>
            <w:tcBorders/>
          </w:tcPr>
          <w:p>
            <w:pPr>
              <w:pStyle w:val="Normal"/>
              <w:spacing w:before="40" w:after="40"/>
              <w:rPr>
                <w:sz w:val="16"/>
              </w:rPr>
            </w:pPr>
            <w:r>
              <w:rPr>
                <w:sz w:val="16"/>
              </w:rPr>
              <w:t>Site Visits/Management Meetings</w:t>
            </w:r>
          </w:p>
        </w:tc>
        <w:tc>
          <w:tcPr>
            <w:tcW w:w="2300" w:type="dxa"/>
            <w:tcBorders/>
          </w:tcPr>
          <w:p>
            <w:pPr>
              <w:pStyle w:val="Normal"/>
              <w:spacing w:before="40" w:after="40"/>
              <w:jc w:val="center"/>
              <w:rPr>
                <w:sz w:val="16"/>
              </w:rPr>
            </w:pPr>
            <w:r>
              <w:rPr>
                <w:sz w:val="16"/>
              </w:rPr>
              <w:t>Week of September 24</w:t>
            </w:r>
          </w:p>
        </w:tc>
      </w:tr>
      <w:tr>
        <w:trPr/>
        <w:tc>
          <w:tcPr>
            <w:tcW w:w="6068" w:type="dxa"/>
            <w:tcBorders/>
          </w:tcPr>
          <w:p>
            <w:pPr>
              <w:pStyle w:val="Normal"/>
              <w:spacing w:before="40" w:after="40"/>
              <w:rPr>
                <w:sz w:val="16"/>
              </w:rPr>
            </w:pPr>
            <w:r>
              <w:rPr>
                <w:sz w:val="16"/>
              </w:rPr>
              <w:t>Round II Bids Submitted</w:t>
            </w:r>
          </w:p>
        </w:tc>
        <w:tc>
          <w:tcPr>
            <w:tcW w:w="2300" w:type="dxa"/>
            <w:tcBorders/>
          </w:tcPr>
          <w:p>
            <w:pPr>
              <w:pStyle w:val="Normal"/>
              <w:spacing w:before="40" w:after="40"/>
              <w:jc w:val="center"/>
              <w:rPr>
                <w:sz w:val="16"/>
              </w:rPr>
            </w:pPr>
            <w:r>
              <w:rPr>
                <w:sz w:val="16"/>
              </w:rPr>
              <w:t>October 19</w:t>
            </w:r>
          </w:p>
        </w:tc>
      </w:tr>
      <w:tr>
        <w:trPr/>
        <w:tc>
          <w:tcPr>
            <w:tcW w:w="6068" w:type="dxa"/>
            <w:tcBorders/>
          </w:tcPr>
          <w:p>
            <w:pPr>
              <w:pStyle w:val="Normal"/>
              <w:spacing w:before="40" w:after="40"/>
              <w:ind w:hanging="180" w:start="183" w:end="0"/>
              <w:rPr>
                <w:sz w:val="16"/>
              </w:rPr>
            </w:pPr>
            <w:r>
              <w:rPr>
                <w:sz w:val="16"/>
              </w:rPr>
              <w:t>Selection of Preferred Purchaser</w:t>
            </w:r>
          </w:p>
        </w:tc>
        <w:tc>
          <w:tcPr>
            <w:tcW w:w="2300" w:type="dxa"/>
            <w:tcBorders/>
          </w:tcPr>
          <w:p>
            <w:pPr>
              <w:pStyle w:val="Normal"/>
              <w:spacing w:before="40" w:after="40"/>
              <w:jc w:val="center"/>
              <w:rPr>
                <w:sz w:val="16"/>
              </w:rPr>
            </w:pPr>
            <w:r>
              <w:rPr>
                <w:sz w:val="16"/>
              </w:rPr>
              <w:t>Week of October 22</w:t>
            </w:r>
          </w:p>
        </w:tc>
      </w:tr>
      <w:tr>
        <w:trPr/>
        <w:tc>
          <w:tcPr>
            <w:tcW w:w="6068" w:type="dxa"/>
            <w:tcBorders/>
          </w:tcPr>
          <w:p>
            <w:pPr>
              <w:pStyle w:val="Normal"/>
              <w:spacing w:before="40" w:after="40"/>
              <w:ind w:hanging="180" w:start="183" w:end="0"/>
              <w:rPr>
                <w:sz w:val="16"/>
              </w:rPr>
            </w:pPr>
            <w:r>
              <w:rPr>
                <w:sz w:val="16"/>
              </w:rPr>
              <w:t>Signing of Final Binding Purchase Agreements</w:t>
            </w:r>
          </w:p>
        </w:tc>
        <w:tc>
          <w:tcPr>
            <w:tcW w:w="2300" w:type="dxa"/>
            <w:tcBorders/>
          </w:tcPr>
          <w:p>
            <w:pPr>
              <w:pStyle w:val="Normal"/>
              <w:spacing w:before="40" w:after="40"/>
              <w:jc w:val="center"/>
              <w:rPr>
                <w:sz w:val="16"/>
              </w:rPr>
            </w:pPr>
            <w:r>
              <w:rPr>
                <w:sz w:val="16"/>
              </w:rPr>
              <w:t>Week of October 29</w:t>
            </w:r>
          </w:p>
        </w:tc>
      </w:tr>
      <w:tr>
        <w:trPr>
          <w:trHeight w:val="204" w:hRule="atLeast"/>
        </w:trPr>
        <w:tc>
          <w:tcPr>
            <w:tcW w:w="6068" w:type="dxa"/>
            <w:tcBorders>
              <w:bottom w:val="single" w:sz="6" w:space="0" w:color="000000"/>
            </w:tcBorders>
          </w:tcPr>
          <w:p>
            <w:pPr>
              <w:pStyle w:val="Normal"/>
              <w:spacing w:before="40" w:after="216"/>
              <w:rPr>
                <w:sz w:val="16"/>
              </w:rPr>
            </w:pPr>
            <w:r>
              <w:rPr>
                <w:sz w:val="16"/>
              </w:rPr>
              <w:t>Closing following receipt of all regulatory approvals</w:t>
            </w:r>
          </w:p>
        </w:tc>
        <w:tc>
          <w:tcPr>
            <w:tcW w:w="2300" w:type="dxa"/>
            <w:tcBorders>
              <w:bottom w:val="single" w:sz="6" w:space="0" w:color="000000"/>
            </w:tcBorders>
          </w:tcPr>
          <w:p>
            <w:pPr>
              <w:pStyle w:val="Normal"/>
              <w:spacing w:before="40" w:after="216"/>
              <w:jc w:val="center"/>
              <w:rPr>
                <w:sz w:val="16"/>
              </w:rPr>
            </w:pPr>
            <w:r>
              <w:rPr>
                <w:sz w:val="16"/>
              </w:rPr>
              <w:t>By Q4, 2001</w:t>
            </w:r>
          </w:p>
        </w:tc>
      </w:tr>
    </w:tbl>
    <w:p>
      <w:pPr>
        <w:pStyle w:val="T0"/>
        <w:spacing w:before="0" w:after="0"/>
        <w:rPr>
          <w:b/>
        </w:rPr>
      </w:pPr>
      <w:r>
        <w:rPr>
          <w:b/>
        </w:rPr>
      </w:r>
    </w:p>
    <w:tbl>
      <w:tblPr>
        <w:tblW w:w="7320" w:type="dxa"/>
        <w:jc w:val="start"/>
        <w:tblInd w:w="1429" w:type="dxa"/>
        <w:tblLayout w:type="fixed"/>
        <w:tblCellMar>
          <w:top w:w="15" w:type="dxa"/>
          <w:start w:w="15" w:type="dxa"/>
          <w:bottom w:w="0" w:type="dxa"/>
          <w:end w:w="15" w:type="dxa"/>
        </w:tblCellMar>
      </w:tblPr>
      <w:tblGrid>
        <w:gridCol w:w="320"/>
        <w:gridCol w:w="320"/>
        <w:gridCol w:w="320"/>
        <w:gridCol w:w="320"/>
        <w:gridCol w:w="320"/>
        <w:gridCol w:w="320"/>
        <w:gridCol w:w="320"/>
        <w:gridCol w:w="300"/>
        <w:gridCol w:w="320"/>
        <w:gridCol w:w="320"/>
        <w:gridCol w:w="320"/>
        <w:gridCol w:w="320"/>
        <w:gridCol w:w="320"/>
        <w:gridCol w:w="320"/>
        <w:gridCol w:w="320"/>
        <w:gridCol w:w="300"/>
        <w:gridCol w:w="320"/>
        <w:gridCol w:w="320"/>
        <w:gridCol w:w="320"/>
        <w:gridCol w:w="320"/>
        <w:gridCol w:w="320"/>
        <w:gridCol w:w="320"/>
        <w:gridCol w:w="320"/>
      </w:tblGrid>
      <w:tr>
        <w:trPr>
          <w:trHeight w:val="255" w:hRule="atLeast"/>
        </w:trPr>
        <w:tc>
          <w:tcPr>
            <w:tcW w:w="2240" w:type="dxa"/>
            <w:gridSpan w:val="7"/>
            <w:tcBorders>
              <w:top w:val="single" w:sz="4" w:space="0" w:color="000000"/>
              <w:start w:val="single" w:sz="4" w:space="0" w:color="000000"/>
              <w:end w:val="single" w:sz="4" w:space="0" w:color="000000"/>
            </w:tcBorders>
            <w:shd w:fill="000000" w:val="clear"/>
            <w:vAlign w:val="bottom"/>
          </w:tcPr>
          <w:p>
            <w:pPr>
              <w:pStyle w:val="Normal"/>
              <w:jc w:val="center"/>
              <w:rPr>
                <w:rFonts w:eastAsia="Arial Unicode MS" w:cs="Arial"/>
                <w:b/>
                <w:bCs/>
                <w:color w:val="FFFFFF"/>
              </w:rPr>
            </w:pPr>
            <w:r>
              <w:rPr>
                <w:rFonts w:cs="Arial"/>
                <w:b/>
                <w:bCs/>
                <w:color w:val="FFFFFF"/>
              </w:rPr>
              <w:t>August 2001</w:t>
            </w:r>
          </w:p>
        </w:tc>
        <w:tc>
          <w:tcPr>
            <w:tcW w:w="300" w:type="dxa"/>
            <w:tcBorders/>
            <w:vAlign w:val="bottom"/>
          </w:tcPr>
          <w:p>
            <w:pPr>
              <w:pStyle w:val="Normal"/>
              <w:snapToGrid w:val="false"/>
              <w:rPr>
                <w:rFonts w:eastAsia="Arial Unicode MS" w:cs="Arial"/>
                <w:b/>
                <w:bCs/>
                <w:color w:val="FFFFFF"/>
              </w:rPr>
            </w:pPr>
            <w:r>
              <w:rPr>
                <w:rFonts w:eastAsia="Arial Unicode MS" w:cs="Arial"/>
                <w:b/>
                <w:bCs/>
                <w:color w:val="FFFFFF"/>
              </w:rPr>
            </w:r>
          </w:p>
        </w:tc>
        <w:tc>
          <w:tcPr>
            <w:tcW w:w="2240" w:type="dxa"/>
            <w:gridSpan w:val="7"/>
            <w:tcBorders>
              <w:top w:val="single" w:sz="4" w:space="0" w:color="000000"/>
              <w:start w:val="single" w:sz="4" w:space="0" w:color="000000"/>
              <w:end w:val="single" w:sz="4" w:space="0" w:color="000000"/>
            </w:tcBorders>
            <w:shd w:fill="000000" w:val="clear"/>
            <w:vAlign w:val="bottom"/>
          </w:tcPr>
          <w:p>
            <w:pPr>
              <w:pStyle w:val="Normal"/>
              <w:jc w:val="center"/>
              <w:rPr>
                <w:rFonts w:eastAsia="Arial Unicode MS" w:cs="Arial"/>
                <w:b/>
                <w:bCs/>
                <w:color w:val="FFFFFF"/>
              </w:rPr>
            </w:pPr>
            <w:r>
              <w:rPr>
                <w:rFonts w:cs="Arial"/>
                <w:b/>
                <w:bCs/>
                <w:color w:val="FFFFFF"/>
              </w:rPr>
              <w:t>September 2001</w:t>
            </w:r>
          </w:p>
        </w:tc>
        <w:tc>
          <w:tcPr>
            <w:tcW w:w="300" w:type="dxa"/>
            <w:tcBorders/>
            <w:vAlign w:val="bottom"/>
          </w:tcPr>
          <w:p>
            <w:pPr>
              <w:pStyle w:val="Normal"/>
              <w:snapToGrid w:val="false"/>
              <w:rPr>
                <w:rFonts w:eastAsia="Arial Unicode MS" w:cs="Arial"/>
                <w:b/>
                <w:bCs/>
                <w:color w:val="FFFFFF"/>
              </w:rPr>
            </w:pPr>
            <w:r>
              <w:rPr>
                <w:rFonts w:eastAsia="Arial Unicode MS" w:cs="Arial"/>
                <w:b/>
                <w:bCs/>
                <w:color w:val="FFFFFF"/>
              </w:rPr>
            </w:r>
          </w:p>
        </w:tc>
        <w:tc>
          <w:tcPr>
            <w:tcW w:w="2240" w:type="dxa"/>
            <w:gridSpan w:val="7"/>
            <w:tcBorders>
              <w:top w:val="single" w:sz="4" w:space="0" w:color="000000"/>
              <w:start w:val="single" w:sz="4" w:space="0" w:color="000000"/>
              <w:end w:val="single" w:sz="4" w:space="0" w:color="000000"/>
            </w:tcBorders>
            <w:shd w:fill="000000" w:val="clear"/>
            <w:vAlign w:val="bottom"/>
          </w:tcPr>
          <w:p>
            <w:pPr>
              <w:pStyle w:val="Normal"/>
              <w:jc w:val="center"/>
              <w:rPr>
                <w:rFonts w:eastAsia="Arial Unicode MS" w:cs="Arial"/>
                <w:b/>
                <w:bCs/>
                <w:color w:val="FFFFFF"/>
              </w:rPr>
            </w:pPr>
            <w:r>
              <w:rPr>
                <w:rFonts w:cs="Arial"/>
                <w:b/>
                <w:bCs/>
                <w:color w:val="FFFFFF"/>
              </w:rPr>
              <w:t>October 2001</w:t>
            </w:r>
          </w:p>
        </w:tc>
      </w:tr>
      <w:tr>
        <w:trPr>
          <w:trHeight w:val="255" w:hRule="atLeast"/>
        </w:trPr>
        <w:tc>
          <w:tcPr>
            <w:tcW w:w="320" w:type="dxa"/>
            <w:tcBorders>
              <w:top w:val="single" w:sz="4" w:space="0" w:color="000000"/>
              <w:start w:val="single" w:sz="4" w:space="0" w:color="000000"/>
              <w:bottom w:val="single" w:sz="4" w:space="0" w:color="000000"/>
            </w:tcBorders>
            <w:vAlign w:val="bottom"/>
          </w:tcPr>
          <w:p>
            <w:pPr>
              <w:pStyle w:val="Normal"/>
              <w:jc w:val="center"/>
              <w:rPr>
                <w:rFonts w:eastAsia="Arial Unicode MS" w:cs="Arial"/>
              </w:rPr>
            </w:pPr>
            <w:r>
              <w:rPr>
                <w:rFonts w:cs="Arial"/>
              </w:rPr>
              <w:t>S</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M</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T</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W</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T</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F</w:t>
            </w:r>
          </w:p>
        </w:tc>
        <w:tc>
          <w:tcPr>
            <w:tcW w:w="320" w:type="dxa"/>
            <w:tcBorders>
              <w:top w:val="single" w:sz="4" w:space="0" w:color="000000"/>
              <w:bottom w:val="single" w:sz="4" w:space="0" w:color="000000"/>
              <w:end w:val="single" w:sz="4" w:space="0" w:color="000000"/>
            </w:tcBorders>
            <w:vAlign w:val="bottom"/>
          </w:tcPr>
          <w:p>
            <w:pPr>
              <w:pStyle w:val="Normal"/>
              <w:jc w:val="center"/>
              <w:rPr>
                <w:rFonts w:eastAsia="Arial Unicode MS" w:cs="Arial"/>
              </w:rPr>
            </w:pPr>
            <w:r>
              <w:rPr>
                <w:rFonts w:cs="Arial"/>
              </w:rPr>
              <w:t>S</w:t>
            </w:r>
          </w:p>
        </w:tc>
        <w:tc>
          <w:tcPr>
            <w:tcW w:w="300" w:type="dxa"/>
            <w:tcBorders/>
            <w:vAlign w:val="bottom"/>
          </w:tcPr>
          <w:p>
            <w:pPr>
              <w:pStyle w:val="Normal"/>
              <w:snapToGrid w:val="false"/>
              <w:rPr>
                <w:rFonts w:eastAsia="Arial Unicode MS" w:cs="Arial"/>
              </w:rPr>
            </w:pPr>
            <w:r>
              <w:rPr>
                <w:rFonts w:eastAsia="Arial Unicode MS" w:cs="Arial"/>
              </w:rPr>
            </w:r>
          </w:p>
        </w:tc>
        <w:tc>
          <w:tcPr>
            <w:tcW w:w="320" w:type="dxa"/>
            <w:tcBorders>
              <w:top w:val="single" w:sz="4" w:space="0" w:color="000000"/>
              <w:start w:val="single" w:sz="4" w:space="0" w:color="000000"/>
              <w:bottom w:val="single" w:sz="4" w:space="0" w:color="000000"/>
            </w:tcBorders>
            <w:vAlign w:val="bottom"/>
          </w:tcPr>
          <w:p>
            <w:pPr>
              <w:pStyle w:val="Normal"/>
              <w:jc w:val="center"/>
              <w:rPr>
                <w:rFonts w:eastAsia="Arial Unicode MS" w:cs="Arial"/>
              </w:rPr>
            </w:pPr>
            <w:r>
              <w:rPr>
                <w:rFonts w:cs="Arial"/>
              </w:rPr>
              <w:t>S</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M</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T</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W</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T</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F</w:t>
            </w:r>
          </w:p>
        </w:tc>
        <w:tc>
          <w:tcPr>
            <w:tcW w:w="320" w:type="dxa"/>
            <w:tcBorders>
              <w:top w:val="single" w:sz="4" w:space="0" w:color="000000"/>
              <w:bottom w:val="single" w:sz="4" w:space="0" w:color="000000"/>
              <w:end w:val="single" w:sz="4" w:space="0" w:color="000000"/>
            </w:tcBorders>
            <w:vAlign w:val="bottom"/>
          </w:tcPr>
          <w:p>
            <w:pPr>
              <w:pStyle w:val="Normal"/>
              <w:jc w:val="center"/>
              <w:rPr>
                <w:rFonts w:eastAsia="Arial Unicode MS" w:cs="Arial"/>
              </w:rPr>
            </w:pPr>
            <w:r>
              <w:rPr>
                <w:rFonts w:cs="Arial"/>
              </w:rPr>
              <w:t>S</w:t>
            </w:r>
          </w:p>
        </w:tc>
        <w:tc>
          <w:tcPr>
            <w:tcW w:w="300" w:type="dxa"/>
            <w:tcBorders/>
            <w:vAlign w:val="bottom"/>
          </w:tcPr>
          <w:p>
            <w:pPr>
              <w:pStyle w:val="Normal"/>
              <w:snapToGrid w:val="false"/>
              <w:rPr>
                <w:rFonts w:eastAsia="Arial Unicode MS" w:cs="Arial"/>
              </w:rPr>
            </w:pPr>
            <w:r>
              <w:rPr>
                <w:rFonts w:eastAsia="Arial Unicode MS" w:cs="Arial"/>
              </w:rPr>
            </w:r>
          </w:p>
        </w:tc>
        <w:tc>
          <w:tcPr>
            <w:tcW w:w="320" w:type="dxa"/>
            <w:tcBorders>
              <w:top w:val="single" w:sz="4" w:space="0" w:color="000000"/>
              <w:start w:val="single" w:sz="4" w:space="0" w:color="000000"/>
              <w:bottom w:val="single" w:sz="4" w:space="0" w:color="000000"/>
            </w:tcBorders>
            <w:vAlign w:val="bottom"/>
          </w:tcPr>
          <w:p>
            <w:pPr>
              <w:pStyle w:val="Normal"/>
              <w:jc w:val="center"/>
              <w:rPr>
                <w:rFonts w:eastAsia="Arial Unicode MS" w:cs="Arial"/>
              </w:rPr>
            </w:pPr>
            <w:r>
              <w:rPr>
                <w:rFonts w:cs="Arial"/>
              </w:rPr>
              <w:t>S</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M</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T</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W</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T</w:t>
            </w:r>
          </w:p>
        </w:tc>
        <w:tc>
          <w:tcPr>
            <w:tcW w:w="320" w:type="dxa"/>
            <w:tcBorders>
              <w:top w:val="single" w:sz="4" w:space="0" w:color="000000"/>
              <w:bottom w:val="single" w:sz="4" w:space="0" w:color="000000"/>
            </w:tcBorders>
            <w:vAlign w:val="bottom"/>
          </w:tcPr>
          <w:p>
            <w:pPr>
              <w:pStyle w:val="Normal"/>
              <w:jc w:val="center"/>
              <w:rPr>
                <w:rFonts w:eastAsia="Arial Unicode MS" w:cs="Arial"/>
              </w:rPr>
            </w:pPr>
            <w:r>
              <w:rPr>
                <w:rFonts w:cs="Arial"/>
              </w:rPr>
              <w:t>F</w:t>
            </w:r>
          </w:p>
        </w:tc>
        <w:tc>
          <w:tcPr>
            <w:tcW w:w="320" w:type="dxa"/>
            <w:tcBorders>
              <w:top w:val="single" w:sz="4" w:space="0" w:color="000000"/>
              <w:bottom w:val="single" w:sz="4" w:space="0" w:color="000000"/>
              <w:end w:val="single" w:sz="4" w:space="0" w:color="000000"/>
            </w:tcBorders>
            <w:vAlign w:val="bottom"/>
          </w:tcPr>
          <w:p>
            <w:pPr>
              <w:pStyle w:val="Normal"/>
              <w:jc w:val="center"/>
              <w:rPr>
                <w:rFonts w:eastAsia="Arial Unicode MS" w:cs="Arial"/>
              </w:rPr>
            </w:pPr>
            <w:r>
              <w:rPr>
                <w:rFonts w:cs="Arial"/>
              </w:rPr>
              <w:t>S</w:t>
            </w:r>
          </w:p>
        </w:tc>
      </w:tr>
      <w:tr>
        <w:trPr>
          <w:trHeight w:val="255" w:hRule="atLeast"/>
        </w:trPr>
        <w:tc>
          <w:tcPr>
            <w:tcW w:w="320" w:type="dxa"/>
            <w:tcBorders>
              <w:start w:val="single" w:sz="4" w:space="0" w:color="000000"/>
            </w:tcBorders>
            <w:vAlign w:val="bottom"/>
          </w:tcPr>
          <w:p>
            <w:pPr>
              <w:pStyle w:val="Normal"/>
              <w:jc w:val="center"/>
              <w:rPr>
                <w:rFonts w:eastAsia="Arial Unicode MS" w:cs="Arial"/>
              </w:rPr>
            </w:pPr>
            <w:r>
              <w:rPr>
                <w:rFonts w:cs="Arial"/>
              </w:rPr>
              <w:t> </w:t>
            </w:r>
          </w:p>
        </w:tc>
        <w:tc>
          <w:tcPr>
            <w:tcW w:w="320" w:type="dxa"/>
            <w:tcBorders/>
            <w:vAlign w:val="bottom"/>
          </w:tcPr>
          <w:p>
            <w:pPr>
              <w:pStyle w:val="Normal"/>
              <w:snapToGrid w:val="false"/>
              <w:jc w:val="center"/>
              <w:rPr>
                <w:rFonts w:eastAsia="Arial Unicode MS" w:cs="Arial"/>
              </w:rPr>
            </w:pPr>
            <w:r>
              <w:rPr>
                <w:rFonts w:eastAsia="Arial Unicode MS" w:cs="Arial"/>
              </w:rPr>
            </w:r>
          </w:p>
        </w:tc>
        <w:tc>
          <w:tcPr>
            <w:tcW w:w="320" w:type="dxa"/>
            <w:tcBorders/>
            <w:vAlign w:val="bottom"/>
          </w:tcPr>
          <w:p>
            <w:pPr>
              <w:pStyle w:val="Normal"/>
              <w:snapToGrid w:val="false"/>
              <w:jc w:val="center"/>
              <w:rPr>
                <w:rFonts w:eastAsia="Arial Unicode MS" w:cs="Arial"/>
              </w:rPr>
            </w:pPr>
            <w:r>
              <w:rPr>
                <w:rFonts w:eastAsia="Arial Unicode MS" w:cs="Arial"/>
              </w:rPr>
            </w:r>
          </w:p>
        </w:tc>
        <w:tc>
          <w:tcPr>
            <w:tcW w:w="320" w:type="dxa"/>
            <w:tcBorders/>
            <w:vAlign w:val="bottom"/>
          </w:tcPr>
          <w:p>
            <w:pPr>
              <w:pStyle w:val="Normal"/>
              <w:jc w:val="center"/>
              <w:rPr>
                <w:rFonts w:eastAsia="Arial Unicode MS" w:cs="Arial"/>
              </w:rPr>
            </w:pPr>
            <w:r>
              <w:rPr>
                <w:rFonts w:cs="Arial"/>
              </w:rPr>
              <w:t>1</w:t>
            </w:r>
          </w:p>
        </w:tc>
        <w:tc>
          <w:tcPr>
            <w:tcW w:w="320" w:type="dxa"/>
            <w:tcBorders/>
            <w:vAlign w:val="bottom"/>
          </w:tcPr>
          <w:p>
            <w:pPr>
              <w:pStyle w:val="Normal"/>
              <w:jc w:val="center"/>
              <w:rPr>
                <w:rFonts w:eastAsia="Arial Unicode MS" w:cs="Arial"/>
              </w:rPr>
            </w:pPr>
            <w:r>
              <w:rPr>
                <w:rFonts w:cs="Arial"/>
              </w:rPr>
              <w:t>2</w:t>
            </w:r>
          </w:p>
        </w:tc>
        <w:tc>
          <w:tcPr>
            <w:tcW w:w="320" w:type="dxa"/>
            <w:tcBorders/>
            <w:vAlign w:val="bottom"/>
          </w:tcPr>
          <w:p>
            <w:pPr>
              <w:pStyle w:val="Normal"/>
              <w:jc w:val="center"/>
              <w:rPr>
                <w:rFonts w:eastAsia="Arial Unicode MS" w:cs="Arial"/>
              </w:rPr>
            </w:pPr>
            <w:r>
              <w:rPr>
                <w:rFonts w:cs="Arial"/>
              </w:rPr>
              <w:t>3</w:t>
            </w:r>
          </w:p>
        </w:tc>
        <w:tc>
          <w:tcPr>
            <w:tcW w:w="320" w:type="dxa"/>
            <w:tcBorders>
              <w:end w:val="single" w:sz="4" w:space="0" w:color="000000"/>
            </w:tcBorders>
            <w:vAlign w:val="bottom"/>
          </w:tcPr>
          <w:p>
            <w:pPr>
              <w:pStyle w:val="Normal"/>
              <w:jc w:val="center"/>
              <w:rPr>
                <w:rFonts w:eastAsia="Arial Unicode MS" w:cs="Arial"/>
              </w:rPr>
            </w:pPr>
            <w:r>
              <w:rPr>
                <w:rFonts w:cs="Arial"/>
              </w:rPr>
              <w:t>4</w:t>
            </w:r>
          </w:p>
        </w:tc>
        <w:tc>
          <w:tcPr>
            <w:tcW w:w="300" w:type="dxa"/>
            <w:tcBorders>
              <w:end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top w:val="single" w:sz="4" w:space="0" w:color="000000"/>
              <w:start w:val="single" w:sz="4" w:space="0" w:color="000000"/>
            </w:tcBorders>
            <w:vAlign w:val="bottom"/>
          </w:tcPr>
          <w:p>
            <w:pPr>
              <w:pStyle w:val="Normal"/>
              <w:jc w:val="center"/>
              <w:rPr>
                <w:rFonts w:eastAsia="Arial Unicode MS" w:cs="Arial"/>
              </w:rPr>
            </w:pPr>
            <w:r>
              <w:rPr>
                <w:rFonts w:cs="Arial"/>
              </w:rPr>
              <w:t> </w:t>
            </w:r>
          </w:p>
        </w:tc>
        <w:tc>
          <w:tcPr>
            <w:tcW w:w="320" w:type="dxa"/>
            <w:tcBorders>
              <w:top w:val="single" w:sz="4" w:space="0" w:color="000000"/>
            </w:tcBorders>
            <w:vAlign w:val="bottom"/>
          </w:tcPr>
          <w:p>
            <w:pPr>
              <w:pStyle w:val="Normal"/>
              <w:jc w:val="center"/>
              <w:rPr>
                <w:rFonts w:eastAsia="Arial Unicode MS" w:cs="Arial"/>
              </w:rPr>
            </w:pPr>
            <w:r>
              <w:rPr>
                <w:rFonts w:cs="Arial"/>
              </w:rPr>
              <w:t> </w:t>
            </w:r>
          </w:p>
        </w:tc>
        <w:tc>
          <w:tcPr>
            <w:tcW w:w="320" w:type="dxa"/>
            <w:tcBorders>
              <w:top w:val="single" w:sz="4" w:space="0" w:color="000000"/>
            </w:tcBorders>
            <w:vAlign w:val="bottom"/>
          </w:tcPr>
          <w:p>
            <w:pPr>
              <w:pStyle w:val="Normal"/>
              <w:jc w:val="center"/>
              <w:rPr>
                <w:rFonts w:eastAsia="Arial Unicode MS" w:cs="Arial"/>
              </w:rPr>
            </w:pPr>
            <w:r>
              <w:rPr>
                <w:rFonts w:cs="Arial"/>
              </w:rPr>
              <w:t> </w:t>
            </w:r>
          </w:p>
        </w:tc>
        <w:tc>
          <w:tcPr>
            <w:tcW w:w="320" w:type="dxa"/>
            <w:tcBorders>
              <w:top w:val="single" w:sz="4" w:space="0" w:color="000000"/>
            </w:tcBorders>
            <w:vAlign w:val="bottom"/>
          </w:tcPr>
          <w:p>
            <w:pPr>
              <w:pStyle w:val="Normal"/>
              <w:jc w:val="center"/>
              <w:rPr>
                <w:rFonts w:eastAsia="Arial Unicode MS" w:cs="Arial"/>
              </w:rPr>
            </w:pPr>
            <w:r>
              <w:rPr>
                <w:rFonts w:cs="Arial"/>
              </w:rPr>
              <w:t> </w:t>
            </w:r>
          </w:p>
        </w:tc>
        <w:tc>
          <w:tcPr>
            <w:tcW w:w="320" w:type="dxa"/>
            <w:tcBorders>
              <w:top w:val="single" w:sz="4" w:space="0" w:color="000000"/>
            </w:tcBorders>
            <w:vAlign w:val="bottom"/>
          </w:tcPr>
          <w:p>
            <w:pPr>
              <w:pStyle w:val="Normal"/>
              <w:jc w:val="center"/>
              <w:rPr>
                <w:rFonts w:eastAsia="Arial Unicode MS" w:cs="Arial"/>
              </w:rPr>
            </w:pPr>
            <w:r>
              <w:rPr>
                <w:rFonts w:cs="Arial"/>
              </w:rPr>
              <w:t> </w:t>
            </w:r>
          </w:p>
        </w:tc>
        <w:tc>
          <w:tcPr>
            <w:tcW w:w="320" w:type="dxa"/>
            <w:tcBorders>
              <w:top w:val="single" w:sz="4" w:space="0" w:color="000000"/>
            </w:tcBorders>
            <w:vAlign w:val="bottom"/>
          </w:tcPr>
          <w:p>
            <w:pPr>
              <w:pStyle w:val="Normal"/>
              <w:jc w:val="center"/>
              <w:rPr>
                <w:rFonts w:eastAsia="Arial Unicode MS" w:cs="Arial"/>
              </w:rPr>
            </w:pPr>
            <w:r>
              <w:rPr>
                <w:rFonts w:cs="Arial"/>
              </w:rPr>
              <w:t> </w:t>
            </w:r>
          </w:p>
        </w:tc>
        <w:tc>
          <w:tcPr>
            <w:tcW w:w="320" w:type="dxa"/>
            <w:tcBorders>
              <w:top w:val="single" w:sz="4" w:space="0" w:color="000000"/>
              <w:end w:val="single" w:sz="4" w:space="0" w:color="000000"/>
            </w:tcBorders>
            <w:vAlign w:val="bottom"/>
          </w:tcPr>
          <w:p>
            <w:pPr>
              <w:pStyle w:val="Normal"/>
              <w:jc w:val="center"/>
              <w:rPr>
                <w:rFonts w:eastAsia="Arial Unicode MS" w:cs="Arial"/>
              </w:rPr>
            </w:pPr>
            <w:r>
              <w:rPr>
                <w:rFonts w:cs="Arial"/>
              </w:rPr>
              <w:t>1</w:t>
            </w:r>
          </w:p>
        </w:tc>
        <w:tc>
          <w:tcPr>
            <w:tcW w:w="300" w:type="dxa"/>
            <w:tcBorders>
              <w:start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top w:val="single" w:sz="4" w:space="0" w:color="000000"/>
              <w:start w:val="single" w:sz="4" w:space="0" w:color="000000"/>
            </w:tcBorders>
            <w:vAlign w:val="bottom"/>
          </w:tcPr>
          <w:p>
            <w:pPr>
              <w:pStyle w:val="Normal"/>
              <w:jc w:val="center"/>
              <w:rPr>
                <w:rFonts w:eastAsia="Arial Unicode MS" w:cs="Arial"/>
              </w:rPr>
            </w:pPr>
            <w:r>
              <w:rPr>
                <w:rFonts w:cs="Arial"/>
              </w:rPr>
              <w:t> </w:t>
            </w:r>
          </w:p>
        </w:tc>
        <w:tc>
          <w:tcPr>
            <w:tcW w:w="320" w:type="dxa"/>
            <w:tcBorders>
              <w:top w:val="single" w:sz="4" w:space="0" w:color="000000"/>
            </w:tcBorders>
            <w:vAlign w:val="bottom"/>
          </w:tcPr>
          <w:p>
            <w:pPr>
              <w:pStyle w:val="Normal"/>
              <w:jc w:val="center"/>
              <w:rPr>
                <w:rFonts w:eastAsia="Arial Unicode MS" w:cs="Arial"/>
              </w:rPr>
            </w:pPr>
            <w:r>
              <w:rPr>
                <w:rFonts w:cs="Arial"/>
              </w:rPr>
              <w:t> </w:t>
            </w:r>
            <w:r>
              <w:rPr>
                <w:rFonts w:cs="Arial"/>
              </w:rPr>
              <w:t>1</w:t>
            </w:r>
          </w:p>
        </w:tc>
        <w:tc>
          <w:tcPr>
            <w:tcW w:w="320" w:type="dxa"/>
            <w:tcBorders>
              <w:top w:val="single" w:sz="4" w:space="0" w:color="000000"/>
            </w:tcBorders>
            <w:vAlign w:val="bottom"/>
          </w:tcPr>
          <w:p>
            <w:pPr>
              <w:pStyle w:val="Normal"/>
              <w:jc w:val="center"/>
              <w:rPr>
                <w:rFonts w:eastAsia="Arial Unicode MS" w:cs="Arial"/>
              </w:rPr>
            </w:pPr>
            <w:r>
              <w:rPr>
                <w:rFonts w:cs="Arial"/>
              </w:rPr>
              <w:t>2 </w:t>
            </w:r>
          </w:p>
        </w:tc>
        <w:tc>
          <w:tcPr>
            <w:tcW w:w="320" w:type="dxa"/>
            <w:tcBorders>
              <w:top w:val="single" w:sz="4" w:space="0" w:color="000000"/>
            </w:tcBorders>
            <w:vAlign w:val="bottom"/>
          </w:tcPr>
          <w:p>
            <w:pPr>
              <w:pStyle w:val="Normal"/>
              <w:jc w:val="center"/>
              <w:rPr>
                <w:rFonts w:eastAsia="Arial Unicode MS" w:cs="Arial"/>
              </w:rPr>
            </w:pPr>
            <w:r>
              <w:rPr>
                <w:rFonts w:cs="Arial"/>
              </w:rPr>
              <w:t>3 </w:t>
            </w:r>
          </w:p>
        </w:tc>
        <w:tc>
          <w:tcPr>
            <w:tcW w:w="320" w:type="dxa"/>
            <w:tcBorders>
              <w:top w:val="single" w:sz="4" w:space="0" w:color="000000"/>
            </w:tcBorders>
            <w:vAlign w:val="bottom"/>
          </w:tcPr>
          <w:p>
            <w:pPr>
              <w:pStyle w:val="Normal"/>
              <w:jc w:val="center"/>
              <w:rPr>
                <w:rFonts w:eastAsia="Arial Unicode MS" w:cs="Arial"/>
              </w:rPr>
            </w:pPr>
            <w:r>
              <w:rPr>
                <w:rFonts w:cs="Arial"/>
              </w:rPr>
              <w:t>4 </w:t>
            </w:r>
          </w:p>
        </w:tc>
        <w:tc>
          <w:tcPr>
            <w:tcW w:w="320" w:type="dxa"/>
            <w:tcBorders>
              <w:top w:val="single" w:sz="4" w:space="0" w:color="000000"/>
            </w:tcBorders>
            <w:vAlign w:val="bottom"/>
          </w:tcPr>
          <w:p>
            <w:pPr>
              <w:pStyle w:val="Normal"/>
              <w:jc w:val="center"/>
              <w:rPr>
                <w:rFonts w:eastAsia="Arial Unicode MS" w:cs="Arial"/>
              </w:rPr>
            </w:pPr>
            <w:r>
              <w:rPr>
                <w:rFonts w:cs="Arial"/>
              </w:rPr>
              <w:t>5 </w:t>
            </w:r>
          </w:p>
        </w:tc>
        <w:tc>
          <w:tcPr>
            <w:tcW w:w="320" w:type="dxa"/>
            <w:tcBorders>
              <w:top w:val="single" w:sz="4" w:space="0" w:color="000000"/>
              <w:end w:val="single" w:sz="4" w:space="0" w:color="000000"/>
            </w:tcBorders>
            <w:vAlign w:val="bottom"/>
          </w:tcPr>
          <w:p>
            <w:pPr>
              <w:pStyle w:val="Normal"/>
              <w:jc w:val="center"/>
              <w:rPr>
                <w:rFonts w:eastAsia="Arial Unicode MS" w:cs="Arial"/>
              </w:rPr>
            </w:pPr>
            <w:r>
              <w:rPr>
                <w:rFonts w:eastAsia="Arial Unicode MS" w:cs="Arial"/>
              </w:rPr>
              <w:t>6</w:t>
            </w:r>
          </w:p>
        </w:tc>
      </w:tr>
      <w:tr>
        <w:trPr>
          <w:trHeight w:val="255" w:hRule="atLeast"/>
        </w:trPr>
        <w:tc>
          <w:tcPr>
            <w:tcW w:w="320" w:type="dxa"/>
            <w:tcBorders>
              <w:start w:val="single" w:sz="4" w:space="0" w:color="000000"/>
            </w:tcBorders>
            <w:vAlign w:val="bottom"/>
          </w:tcPr>
          <w:p>
            <w:pPr>
              <w:pStyle w:val="Normal"/>
              <w:jc w:val="center"/>
              <w:rPr>
                <w:rFonts w:eastAsia="Arial Unicode MS" w:cs="Arial"/>
              </w:rPr>
            </w:pPr>
            <w:r>
              <w:rPr>
                <w:rFonts w:cs="Arial"/>
              </w:rPr>
              <w:t>5</w:t>
            </w:r>
          </w:p>
        </w:tc>
        <w:tc>
          <w:tcPr>
            <w:tcW w:w="320" w:type="dxa"/>
            <w:tcBorders/>
            <w:vAlign w:val="bottom"/>
          </w:tcPr>
          <w:p>
            <w:pPr>
              <w:pStyle w:val="Normal"/>
              <w:jc w:val="center"/>
              <w:rPr>
                <w:rFonts w:eastAsia="Arial Unicode MS" w:cs="Arial"/>
              </w:rPr>
            </w:pPr>
            <w:r>
              <w:rPr>
                <w:rFonts w:cs="Arial"/>
              </w:rPr>
              <w:t>6</w:t>
            </w:r>
          </w:p>
        </w:tc>
        <w:tc>
          <w:tcPr>
            <w:tcW w:w="320" w:type="dxa"/>
            <w:tcBorders/>
            <w:vAlign w:val="bottom"/>
          </w:tcPr>
          <w:p>
            <w:pPr>
              <w:pStyle w:val="Normal"/>
              <w:jc w:val="center"/>
              <w:rPr>
                <w:rFonts w:eastAsia="Arial Unicode MS" w:cs="Arial"/>
              </w:rPr>
            </w:pPr>
            <w:r>
              <w:rPr>
                <w:rFonts w:cs="Arial"/>
              </w:rPr>
              <w:t>7</w:t>
            </w:r>
          </w:p>
        </w:tc>
        <w:tc>
          <w:tcPr>
            <w:tcW w:w="320" w:type="dxa"/>
            <w:tcBorders/>
            <w:vAlign w:val="bottom"/>
          </w:tcPr>
          <w:p>
            <w:pPr>
              <w:pStyle w:val="Normal"/>
              <w:jc w:val="center"/>
              <w:rPr>
                <w:rFonts w:eastAsia="Arial Unicode MS" w:cs="Arial"/>
              </w:rPr>
            </w:pPr>
            <w:r>
              <w:rPr>
                <w:rFonts w:cs="Arial"/>
              </w:rPr>
              <w:t>8</w:t>
            </w:r>
          </w:p>
        </w:tc>
        <w:tc>
          <w:tcPr>
            <w:tcW w:w="320" w:type="dxa"/>
            <w:tcBorders/>
            <w:vAlign w:val="bottom"/>
          </w:tcPr>
          <w:p>
            <w:pPr>
              <w:pStyle w:val="Normal"/>
              <w:jc w:val="center"/>
              <w:rPr>
                <w:rFonts w:eastAsia="Arial Unicode MS" w:cs="Arial"/>
              </w:rPr>
            </w:pPr>
            <w:r>
              <w:rPr>
                <w:rFonts w:cs="Arial"/>
              </w:rPr>
              <w:t>9</w:t>
            </w:r>
          </w:p>
        </w:tc>
        <w:tc>
          <w:tcPr>
            <w:tcW w:w="320" w:type="dxa"/>
            <w:tcBorders/>
            <w:vAlign w:val="bottom"/>
          </w:tcPr>
          <w:p>
            <w:pPr>
              <w:pStyle w:val="Normal"/>
              <w:jc w:val="center"/>
              <w:rPr>
                <w:rFonts w:eastAsia="Arial Unicode MS" w:cs="Arial"/>
              </w:rPr>
            </w:pPr>
            <w:r>
              <w:rPr>
                <w:rFonts w:cs="Arial"/>
              </w:rPr>
              <w:t>10</w:t>
            </w:r>
          </w:p>
        </w:tc>
        <w:tc>
          <w:tcPr>
            <w:tcW w:w="320" w:type="dxa"/>
            <w:tcBorders>
              <w:end w:val="single" w:sz="4" w:space="0" w:color="000000"/>
            </w:tcBorders>
            <w:vAlign w:val="bottom"/>
          </w:tcPr>
          <w:p>
            <w:pPr>
              <w:pStyle w:val="Normal"/>
              <w:jc w:val="center"/>
              <w:rPr>
                <w:rFonts w:eastAsia="Arial Unicode MS" w:cs="Arial"/>
              </w:rPr>
            </w:pPr>
            <w:r>
              <w:rPr>
                <w:rFonts w:cs="Arial"/>
              </w:rPr>
              <w:t>11</w:t>
            </w:r>
          </w:p>
        </w:tc>
        <w:tc>
          <w:tcPr>
            <w:tcW w:w="300" w:type="dxa"/>
            <w:tcBorders>
              <w:end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start w:val="single" w:sz="4" w:space="0" w:color="000000"/>
            </w:tcBorders>
            <w:vAlign w:val="bottom"/>
          </w:tcPr>
          <w:p>
            <w:pPr>
              <w:pStyle w:val="Normal"/>
              <w:jc w:val="center"/>
              <w:rPr>
                <w:rFonts w:eastAsia="Arial Unicode MS" w:cs="Arial"/>
              </w:rPr>
            </w:pPr>
            <w:r>
              <w:rPr>
                <w:rFonts w:cs="Arial"/>
              </w:rPr>
              <w:t>2</w:t>
            </w:r>
          </w:p>
        </w:tc>
        <w:tc>
          <w:tcPr>
            <w:tcW w:w="320" w:type="dxa"/>
            <w:tcBorders/>
            <w:vAlign w:val="bottom"/>
          </w:tcPr>
          <w:p>
            <w:pPr>
              <w:pStyle w:val="Normal"/>
              <w:jc w:val="center"/>
              <w:rPr>
                <w:rFonts w:eastAsia="Arial Unicode MS" w:cs="Arial"/>
              </w:rPr>
            </w:pPr>
            <w:r>
              <w:rPr>
                <w:rFonts w:cs="Arial"/>
              </w:rPr>
              <w:t>3</w:t>
            </w:r>
          </w:p>
        </w:tc>
        <w:tc>
          <w:tcPr>
            <w:tcW w:w="320" w:type="dxa"/>
            <w:tcBorders/>
            <w:vAlign w:val="bottom"/>
          </w:tcPr>
          <w:p>
            <w:pPr>
              <w:pStyle w:val="Normal"/>
              <w:jc w:val="center"/>
              <w:rPr>
                <w:rFonts w:eastAsia="Arial Unicode MS" w:cs="Arial"/>
              </w:rPr>
            </w:pPr>
            <w:r>
              <w:rPr>
                <w:rFonts w:cs="Arial"/>
              </w:rPr>
              <w:t>4</w:t>
            </w:r>
          </w:p>
        </w:tc>
        <w:tc>
          <w:tcPr>
            <w:tcW w:w="320" w:type="dxa"/>
            <w:tcBorders/>
            <w:vAlign w:val="bottom"/>
          </w:tcPr>
          <w:p>
            <w:pPr>
              <w:pStyle w:val="Normal"/>
              <w:jc w:val="center"/>
              <w:rPr>
                <w:rFonts w:eastAsia="Arial Unicode MS" w:cs="Arial"/>
              </w:rPr>
            </w:pPr>
            <w:r>
              <w:rPr>
                <w:rFonts w:cs="Arial"/>
              </w:rPr>
              <w:t>5</w:t>
            </w:r>
          </w:p>
        </w:tc>
        <w:tc>
          <w:tcPr>
            <w:tcW w:w="320" w:type="dxa"/>
            <w:tcBorders/>
            <w:vAlign w:val="bottom"/>
          </w:tcPr>
          <w:p>
            <w:pPr>
              <w:pStyle w:val="Normal"/>
              <w:jc w:val="center"/>
              <w:rPr>
                <w:rFonts w:eastAsia="Arial Unicode MS" w:cs="Arial"/>
              </w:rPr>
            </w:pPr>
            <w:r>
              <w:rPr>
                <w:rFonts w:cs="Arial"/>
              </w:rPr>
              <w:t>6</w:t>
            </w:r>
          </w:p>
        </w:tc>
        <w:tc>
          <w:tcPr>
            <w:tcW w:w="320" w:type="dxa"/>
            <w:tcBorders/>
            <w:vAlign w:val="bottom"/>
          </w:tcPr>
          <w:p>
            <w:pPr>
              <w:pStyle w:val="Normal"/>
              <w:jc w:val="center"/>
              <w:rPr>
                <w:rFonts w:eastAsia="Arial Unicode MS" w:cs="Arial"/>
              </w:rPr>
            </w:pPr>
            <w:r>
              <w:rPr>
                <w:rFonts w:cs="Arial"/>
              </w:rPr>
              <w:t>7</w:t>
            </w:r>
          </w:p>
        </w:tc>
        <w:tc>
          <w:tcPr>
            <w:tcW w:w="320" w:type="dxa"/>
            <w:tcBorders>
              <w:end w:val="single" w:sz="4" w:space="0" w:color="000000"/>
            </w:tcBorders>
            <w:vAlign w:val="bottom"/>
          </w:tcPr>
          <w:p>
            <w:pPr>
              <w:pStyle w:val="Normal"/>
              <w:jc w:val="center"/>
              <w:rPr>
                <w:rFonts w:eastAsia="Arial Unicode MS" w:cs="Arial"/>
              </w:rPr>
            </w:pPr>
            <w:r>
              <w:rPr>
                <w:rFonts w:cs="Arial"/>
              </w:rPr>
              <w:t>8</w:t>
            </w:r>
          </w:p>
        </w:tc>
        <w:tc>
          <w:tcPr>
            <w:tcW w:w="300" w:type="dxa"/>
            <w:tcBorders>
              <w:start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start w:val="single" w:sz="4" w:space="0" w:color="000000"/>
            </w:tcBorders>
            <w:vAlign w:val="bottom"/>
          </w:tcPr>
          <w:p>
            <w:pPr>
              <w:pStyle w:val="Normal"/>
              <w:jc w:val="center"/>
              <w:rPr>
                <w:rFonts w:eastAsia="Arial Unicode MS" w:cs="Arial"/>
              </w:rPr>
            </w:pPr>
            <w:r>
              <w:rPr>
                <w:rFonts w:cs="Arial"/>
              </w:rPr>
              <w:t>7</w:t>
            </w:r>
          </w:p>
        </w:tc>
        <w:tc>
          <w:tcPr>
            <w:tcW w:w="320" w:type="dxa"/>
            <w:tcBorders/>
            <w:vAlign w:val="bottom"/>
          </w:tcPr>
          <w:p>
            <w:pPr>
              <w:pStyle w:val="Normal"/>
              <w:jc w:val="center"/>
              <w:rPr>
                <w:rFonts w:eastAsia="Arial Unicode MS" w:cs="Arial"/>
              </w:rPr>
            </w:pPr>
            <w:r>
              <w:rPr>
                <w:rFonts w:cs="Arial"/>
              </w:rPr>
              <w:t>8</w:t>
            </w:r>
          </w:p>
        </w:tc>
        <w:tc>
          <w:tcPr>
            <w:tcW w:w="320" w:type="dxa"/>
            <w:tcBorders/>
            <w:vAlign w:val="bottom"/>
          </w:tcPr>
          <w:p>
            <w:pPr>
              <w:pStyle w:val="Normal"/>
              <w:jc w:val="center"/>
              <w:rPr>
                <w:rFonts w:eastAsia="Arial Unicode MS" w:cs="Arial"/>
              </w:rPr>
            </w:pPr>
            <w:r>
              <w:rPr>
                <w:rFonts w:cs="Arial"/>
              </w:rPr>
              <w:t>9</w:t>
            </w:r>
          </w:p>
        </w:tc>
        <w:tc>
          <w:tcPr>
            <w:tcW w:w="320" w:type="dxa"/>
            <w:tcBorders/>
            <w:vAlign w:val="bottom"/>
          </w:tcPr>
          <w:p>
            <w:pPr>
              <w:pStyle w:val="Normal"/>
              <w:jc w:val="center"/>
              <w:rPr>
                <w:rFonts w:eastAsia="Arial Unicode MS" w:cs="Arial"/>
              </w:rPr>
            </w:pPr>
            <w:r>
              <w:rPr>
                <w:rFonts w:cs="Arial"/>
              </w:rPr>
              <w:t>10</w:t>
            </w:r>
          </w:p>
        </w:tc>
        <w:tc>
          <w:tcPr>
            <w:tcW w:w="320" w:type="dxa"/>
            <w:tcBorders/>
            <w:vAlign w:val="bottom"/>
          </w:tcPr>
          <w:p>
            <w:pPr>
              <w:pStyle w:val="Normal"/>
              <w:jc w:val="center"/>
              <w:rPr>
                <w:rFonts w:eastAsia="Arial Unicode MS" w:cs="Arial"/>
              </w:rPr>
            </w:pPr>
            <w:r>
              <w:rPr>
                <w:rFonts w:cs="Arial"/>
              </w:rPr>
              <w:t>11</w:t>
            </w:r>
          </w:p>
        </w:tc>
        <w:tc>
          <w:tcPr>
            <w:tcW w:w="320" w:type="dxa"/>
            <w:tcBorders/>
            <w:vAlign w:val="bottom"/>
          </w:tcPr>
          <w:p>
            <w:pPr>
              <w:pStyle w:val="Normal"/>
              <w:jc w:val="center"/>
              <w:rPr>
                <w:rFonts w:eastAsia="Arial Unicode MS" w:cs="Arial"/>
              </w:rPr>
            </w:pPr>
            <w:r>
              <w:rPr>
                <w:rFonts w:eastAsia="Arial Unicode MS" w:cs="Arial"/>
              </w:rPr>
              <w:t>12</w:t>
            </w:r>
          </w:p>
        </w:tc>
        <w:tc>
          <w:tcPr>
            <w:tcW w:w="320" w:type="dxa"/>
            <w:tcBorders>
              <w:end w:val="single" w:sz="4" w:space="0" w:color="000000"/>
            </w:tcBorders>
            <w:vAlign w:val="bottom"/>
          </w:tcPr>
          <w:p>
            <w:pPr>
              <w:pStyle w:val="Normal"/>
              <w:jc w:val="center"/>
              <w:rPr>
                <w:rFonts w:eastAsia="Arial Unicode MS" w:cs="Arial"/>
              </w:rPr>
            </w:pPr>
            <w:r>
              <w:rPr>
                <w:rFonts w:eastAsia="Arial Unicode MS" w:cs="Arial"/>
              </w:rPr>
              <w:t>13</w:t>
            </w:r>
          </w:p>
        </w:tc>
      </w:tr>
      <w:tr>
        <w:trPr>
          <w:trHeight w:val="255" w:hRule="atLeast"/>
        </w:trPr>
        <w:tc>
          <w:tcPr>
            <w:tcW w:w="320" w:type="dxa"/>
            <w:tcBorders>
              <w:start w:val="single" w:sz="4" w:space="0" w:color="000000"/>
            </w:tcBorders>
            <w:vAlign w:val="bottom"/>
          </w:tcPr>
          <w:p>
            <w:pPr>
              <w:pStyle w:val="Normal"/>
              <w:jc w:val="center"/>
              <w:rPr>
                <w:rFonts w:eastAsia="Arial Unicode MS" w:cs="Arial"/>
              </w:rPr>
            </w:pPr>
            <w:r>
              <w:rPr>
                <w:rFonts w:cs="Arial"/>
              </w:rPr>
              <w:t>12</w:t>
            </w:r>
          </w:p>
        </w:tc>
        <w:tc>
          <w:tcPr>
            <w:tcW w:w="320" w:type="dxa"/>
            <w:tcBorders/>
            <w:vAlign w:val="bottom"/>
          </w:tcPr>
          <w:p>
            <w:pPr>
              <w:pStyle w:val="Normal"/>
              <w:jc w:val="center"/>
              <w:rPr>
                <w:rFonts w:eastAsia="Arial Unicode MS" w:cs="Arial"/>
              </w:rPr>
            </w:pPr>
            <w:r>
              <w:rPr>
                <w:rFonts w:cs="Arial"/>
              </w:rPr>
              <w:t>13</w:t>
            </w:r>
          </w:p>
        </w:tc>
        <w:tc>
          <w:tcPr>
            <w:tcW w:w="320" w:type="dxa"/>
            <w:tcBorders/>
            <w:vAlign w:val="bottom"/>
          </w:tcPr>
          <w:p>
            <w:pPr>
              <w:pStyle w:val="Normal"/>
              <w:jc w:val="center"/>
              <w:rPr>
                <w:rFonts w:eastAsia="Arial Unicode MS" w:cs="Arial"/>
              </w:rPr>
            </w:pPr>
            <w:r>
              <w:rPr>
                <w:rFonts w:cs="Arial"/>
              </w:rPr>
              <w:t>14</w:t>
            </w:r>
          </w:p>
        </w:tc>
        <w:tc>
          <w:tcPr>
            <w:tcW w:w="320" w:type="dxa"/>
            <w:tcBorders/>
            <w:vAlign w:val="bottom"/>
          </w:tcPr>
          <w:p>
            <w:pPr>
              <w:pStyle w:val="Normal"/>
              <w:jc w:val="center"/>
              <w:rPr>
                <w:rFonts w:eastAsia="Arial Unicode MS" w:cs="Arial"/>
              </w:rPr>
            </w:pPr>
            <w:r>
              <w:rPr>
                <w:rFonts w:cs="Arial"/>
              </w:rPr>
              <w:t>15</w:t>
            </w:r>
          </w:p>
        </w:tc>
        <w:tc>
          <w:tcPr>
            <w:tcW w:w="320" w:type="dxa"/>
            <w:tcBorders/>
            <w:vAlign w:val="bottom"/>
          </w:tcPr>
          <w:p>
            <w:pPr>
              <w:pStyle w:val="Normal"/>
              <w:jc w:val="center"/>
              <w:rPr>
                <w:rFonts w:eastAsia="Arial Unicode MS" w:cs="Arial"/>
              </w:rPr>
            </w:pPr>
            <w:r>
              <w:rPr>
                <w:rFonts w:cs="Arial"/>
              </w:rPr>
              <w:t>16</w:t>
            </w:r>
          </w:p>
        </w:tc>
        <w:tc>
          <w:tcPr>
            <w:tcW w:w="320" w:type="dxa"/>
            <w:tcBorders/>
            <w:vAlign w:val="bottom"/>
          </w:tcPr>
          <w:p>
            <w:pPr>
              <w:pStyle w:val="Normal"/>
              <w:jc w:val="center"/>
              <w:rPr>
                <w:rFonts w:eastAsia="Arial Unicode MS" w:cs="Arial"/>
              </w:rPr>
            </w:pPr>
            <w:r>
              <w:rPr>
                <w:rFonts w:cs="Arial"/>
              </w:rPr>
              <w:t>17</w:t>
            </w:r>
          </w:p>
        </w:tc>
        <w:tc>
          <w:tcPr>
            <w:tcW w:w="320" w:type="dxa"/>
            <w:tcBorders>
              <w:end w:val="single" w:sz="4" w:space="0" w:color="000000"/>
            </w:tcBorders>
            <w:vAlign w:val="bottom"/>
          </w:tcPr>
          <w:p>
            <w:pPr>
              <w:pStyle w:val="Normal"/>
              <w:jc w:val="center"/>
              <w:rPr>
                <w:rFonts w:eastAsia="Arial Unicode MS" w:cs="Arial"/>
              </w:rPr>
            </w:pPr>
            <w:r>
              <w:rPr>
                <w:rFonts w:cs="Arial"/>
              </w:rPr>
              <w:t>18</w:t>
            </w:r>
          </w:p>
        </w:tc>
        <w:tc>
          <w:tcPr>
            <w:tcW w:w="300" w:type="dxa"/>
            <w:tcBorders>
              <w:end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start w:val="single" w:sz="4" w:space="0" w:color="000000"/>
            </w:tcBorders>
            <w:vAlign w:val="bottom"/>
          </w:tcPr>
          <w:p>
            <w:pPr>
              <w:pStyle w:val="Normal"/>
              <w:jc w:val="center"/>
              <w:rPr>
                <w:rFonts w:eastAsia="Arial Unicode MS" w:cs="Arial"/>
              </w:rPr>
            </w:pPr>
            <w:r>
              <w:rPr>
                <w:rFonts w:cs="Arial"/>
              </w:rPr>
              <w:t>9</w:t>
            </w:r>
          </w:p>
        </w:tc>
        <w:tc>
          <w:tcPr>
            <w:tcW w:w="320" w:type="dxa"/>
            <w:tcBorders/>
            <w:vAlign w:val="bottom"/>
          </w:tcPr>
          <w:p>
            <w:pPr>
              <w:pStyle w:val="Normal"/>
              <w:jc w:val="center"/>
              <w:rPr>
                <w:rFonts w:eastAsia="Arial Unicode MS" w:cs="Arial"/>
              </w:rPr>
            </w:pPr>
            <w:r>
              <w:rPr>
                <w:rFonts w:cs="Arial"/>
              </w:rPr>
              <w:t>10</w:t>
            </w:r>
          </w:p>
        </w:tc>
        <w:tc>
          <w:tcPr>
            <w:tcW w:w="320" w:type="dxa"/>
            <w:tcBorders/>
            <w:vAlign w:val="bottom"/>
          </w:tcPr>
          <w:p>
            <w:pPr>
              <w:pStyle w:val="Normal"/>
              <w:jc w:val="center"/>
              <w:rPr>
                <w:rFonts w:eastAsia="Arial Unicode MS" w:cs="Arial"/>
              </w:rPr>
            </w:pPr>
            <w:r>
              <w:rPr>
                <w:rFonts w:cs="Arial"/>
              </w:rPr>
              <w:t>11</w:t>
            </w:r>
          </w:p>
        </w:tc>
        <w:tc>
          <w:tcPr>
            <w:tcW w:w="320" w:type="dxa"/>
            <w:tcBorders/>
            <w:vAlign w:val="bottom"/>
          </w:tcPr>
          <w:p>
            <w:pPr>
              <w:pStyle w:val="Normal"/>
              <w:jc w:val="center"/>
              <w:rPr>
                <w:rFonts w:eastAsia="Arial Unicode MS" w:cs="Arial"/>
              </w:rPr>
            </w:pPr>
            <w:r>
              <w:rPr>
                <w:rFonts w:cs="Arial"/>
              </w:rPr>
              <w:t>12</w:t>
            </w:r>
          </w:p>
        </w:tc>
        <w:tc>
          <w:tcPr>
            <w:tcW w:w="320" w:type="dxa"/>
            <w:tcBorders/>
            <w:vAlign w:val="bottom"/>
          </w:tcPr>
          <w:p>
            <w:pPr>
              <w:pStyle w:val="Normal"/>
              <w:jc w:val="center"/>
              <w:rPr>
                <w:rFonts w:eastAsia="Arial Unicode MS" w:cs="Arial"/>
              </w:rPr>
            </w:pPr>
            <w:r>
              <w:rPr>
                <w:rFonts w:cs="Arial"/>
              </w:rPr>
              <w:t>13</w:t>
            </w:r>
          </w:p>
        </w:tc>
        <w:tc>
          <w:tcPr>
            <w:tcW w:w="320" w:type="dxa"/>
            <w:tcBorders/>
            <w:vAlign w:val="bottom"/>
          </w:tcPr>
          <w:p>
            <w:pPr>
              <w:pStyle w:val="Normal"/>
              <w:jc w:val="center"/>
              <w:rPr>
                <w:rFonts w:eastAsia="Arial Unicode MS" w:cs="Arial"/>
              </w:rPr>
            </w:pPr>
            <w:r>
              <w:rPr>
                <w:rFonts w:cs="Arial"/>
              </w:rPr>
              <w:t>14</w:t>
            </w:r>
          </w:p>
        </w:tc>
        <w:tc>
          <w:tcPr>
            <w:tcW w:w="320" w:type="dxa"/>
            <w:tcBorders>
              <w:end w:val="single" w:sz="4" w:space="0" w:color="000000"/>
            </w:tcBorders>
            <w:vAlign w:val="bottom"/>
          </w:tcPr>
          <w:p>
            <w:pPr>
              <w:pStyle w:val="Normal"/>
              <w:jc w:val="center"/>
              <w:rPr>
                <w:rFonts w:eastAsia="Arial Unicode MS" w:cs="Arial"/>
              </w:rPr>
            </w:pPr>
            <w:r>
              <w:rPr>
                <w:rFonts w:cs="Arial"/>
              </w:rPr>
              <w:t>15</w:t>
            </w:r>
          </w:p>
        </w:tc>
        <w:tc>
          <w:tcPr>
            <w:tcW w:w="300" w:type="dxa"/>
            <w:tcBorders>
              <w:start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start w:val="single" w:sz="4" w:space="0" w:color="000000"/>
            </w:tcBorders>
            <w:vAlign w:val="bottom"/>
          </w:tcPr>
          <w:p>
            <w:pPr>
              <w:pStyle w:val="Normal"/>
              <w:jc w:val="center"/>
              <w:rPr>
                <w:rFonts w:eastAsia="Arial Unicode MS" w:cs="Arial"/>
              </w:rPr>
            </w:pPr>
            <w:r>
              <w:rPr>
                <w:rFonts w:cs="Arial"/>
              </w:rPr>
              <w:t>14</w:t>
            </w:r>
          </w:p>
        </w:tc>
        <w:tc>
          <w:tcPr>
            <w:tcW w:w="320" w:type="dxa"/>
            <w:tcBorders/>
            <w:vAlign w:val="bottom"/>
          </w:tcPr>
          <w:p>
            <w:pPr>
              <w:pStyle w:val="Normal"/>
              <w:jc w:val="center"/>
              <w:rPr>
                <w:rFonts w:eastAsia="Arial Unicode MS" w:cs="Arial"/>
              </w:rPr>
            </w:pPr>
            <w:r>
              <w:rPr>
                <w:rFonts w:cs="Arial"/>
              </w:rPr>
              <w:t>15</w:t>
            </w:r>
          </w:p>
        </w:tc>
        <w:tc>
          <w:tcPr>
            <w:tcW w:w="320" w:type="dxa"/>
            <w:tcBorders/>
            <w:vAlign w:val="bottom"/>
          </w:tcPr>
          <w:p>
            <w:pPr>
              <w:pStyle w:val="Normal"/>
              <w:jc w:val="center"/>
              <w:rPr>
                <w:rFonts w:eastAsia="Arial Unicode MS" w:cs="Arial"/>
              </w:rPr>
            </w:pPr>
            <w:r>
              <w:rPr>
                <w:rFonts w:cs="Arial"/>
              </w:rPr>
              <w:t>16</w:t>
            </w:r>
          </w:p>
        </w:tc>
        <w:tc>
          <w:tcPr>
            <w:tcW w:w="320" w:type="dxa"/>
            <w:tcBorders/>
            <w:vAlign w:val="bottom"/>
          </w:tcPr>
          <w:p>
            <w:pPr>
              <w:pStyle w:val="Normal"/>
              <w:jc w:val="center"/>
              <w:rPr>
                <w:rFonts w:eastAsia="Arial Unicode MS" w:cs="Arial"/>
              </w:rPr>
            </w:pPr>
            <w:r>
              <w:rPr>
                <w:rFonts w:cs="Arial"/>
              </w:rPr>
              <w:t>17</w:t>
            </w:r>
          </w:p>
        </w:tc>
        <w:tc>
          <w:tcPr>
            <w:tcW w:w="320" w:type="dxa"/>
            <w:tcBorders/>
            <w:vAlign w:val="bottom"/>
          </w:tcPr>
          <w:p>
            <w:pPr>
              <w:pStyle w:val="Normal"/>
              <w:jc w:val="center"/>
              <w:rPr>
                <w:rFonts w:eastAsia="Arial Unicode MS" w:cs="Arial"/>
              </w:rPr>
            </w:pPr>
            <w:r>
              <w:rPr>
                <w:rFonts w:cs="Arial"/>
              </w:rPr>
              <w:t>18</w:t>
            </w:r>
          </w:p>
        </w:tc>
        <w:tc>
          <w:tcPr>
            <w:tcW w:w="320" w:type="dxa"/>
            <w:tcBorders/>
            <w:vAlign w:val="bottom"/>
          </w:tcPr>
          <w:p>
            <w:pPr>
              <w:pStyle w:val="Normal"/>
              <w:jc w:val="center"/>
              <w:rPr>
                <w:rFonts w:eastAsia="Arial Unicode MS" w:cs="Arial"/>
              </w:rPr>
            </w:pPr>
            <w:r>
              <w:rPr>
                <w:rFonts w:cs="Arial"/>
              </w:rPr>
              <w:t>19</w:t>
            </w:r>
          </w:p>
        </w:tc>
        <w:tc>
          <w:tcPr>
            <w:tcW w:w="320" w:type="dxa"/>
            <w:tcBorders>
              <w:end w:val="single" w:sz="4" w:space="0" w:color="000000"/>
            </w:tcBorders>
            <w:vAlign w:val="bottom"/>
          </w:tcPr>
          <w:p>
            <w:pPr>
              <w:pStyle w:val="Normal"/>
              <w:jc w:val="center"/>
              <w:rPr>
                <w:rFonts w:eastAsia="Arial Unicode MS" w:cs="Arial"/>
              </w:rPr>
            </w:pPr>
            <w:r>
              <w:rPr>
                <w:rFonts w:eastAsia="Arial Unicode MS" w:cs="Arial"/>
              </w:rPr>
              <w:t>20</w:t>
            </w:r>
          </w:p>
        </w:tc>
      </w:tr>
      <w:tr>
        <w:trPr>
          <w:trHeight w:val="255" w:hRule="atLeast"/>
        </w:trPr>
        <w:tc>
          <w:tcPr>
            <w:tcW w:w="320" w:type="dxa"/>
            <w:tcBorders>
              <w:start w:val="single" w:sz="4" w:space="0" w:color="000000"/>
            </w:tcBorders>
            <w:vAlign w:val="bottom"/>
          </w:tcPr>
          <w:p>
            <w:pPr>
              <w:pStyle w:val="Normal"/>
              <w:jc w:val="center"/>
              <w:rPr>
                <w:rFonts w:eastAsia="Arial Unicode MS" w:cs="Arial"/>
              </w:rPr>
            </w:pPr>
            <w:r>
              <w:rPr>
                <w:rFonts w:cs="Arial"/>
              </w:rPr>
              <w:t>19</w:t>
            </w:r>
          </w:p>
        </w:tc>
        <w:tc>
          <w:tcPr>
            <w:tcW w:w="320" w:type="dxa"/>
            <w:tcBorders/>
            <w:vAlign w:val="bottom"/>
          </w:tcPr>
          <w:p>
            <w:pPr>
              <w:pStyle w:val="Normal"/>
              <w:jc w:val="center"/>
              <w:rPr>
                <w:rFonts w:eastAsia="Arial Unicode MS" w:cs="Arial"/>
              </w:rPr>
            </w:pPr>
            <w:r>
              <w:rPr>
                <w:rFonts w:cs="Arial"/>
              </w:rPr>
              <w:t>20</w:t>
            </w:r>
          </w:p>
        </w:tc>
        <w:tc>
          <w:tcPr>
            <w:tcW w:w="320" w:type="dxa"/>
            <w:tcBorders/>
            <w:vAlign w:val="bottom"/>
          </w:tcPr>
          <w:p>
            <w:pPr>
              <w:pStyle w:val="Normal"/>
              <w:jc w:val="center"/>
              <w:rPr>
                <w:rFonts w:eastAsia="Arial Unicode MS" w:cs="Arial"/>
              </w:rPr>
            </w:pPr>
            <w:r>
              <w:rPr>
                <w:rFonts w:cs="Arial"/>
              </w:rPr>
              <w:t>21</w:t>
            </w:r>
          </w:p>
        </w:tc>
        <w:tc>
          <w:tcPr>
            <w:tcW w:w="320" w:type="dxa"/>
            <w:tcBorders/>
            <w:vAlign w:val="bottom"/>
          </w:tcPr>
          <w:p>
            <w:pPr>
              <w:pStyle w:val="Normal"/>
              <w:jc w:val="center"/>
              <w:rPr>
                <w:rFonts w:eastAsia="Arial Unicode MS" w:cs="Arial"/>
              </w:rPr>
            </w:pPr>
            <w:r>
              <w:rPr>
                <w:rFonts w:cs="Arial"/>
              </w:rPr>
              <w:t>22</w:t>
            </w:r>
          </w:p>
        </w:tc>
        <w:tc>
          <w:tcPr>
            <w:tcW w:w="320" w:type="dxa"/>
            <w:tcBorders/>
            <w:vAlign w:val="bottom"/>
          </w:tcPr>
          <w:p>
            <w:pPr>
              <w:pStyle w:val="Normal"/>
              <w:jc w:val="center"/>
              <w:rPr>
                <w:rFonts w:eastAsia="Arial Unicode MS" w:cs="Arial"/>
              </w:rPr>
            </w:pPr>
            <w:r>
              <w:rPr>
                <w:rFonts w:cs="Arial"/>
              </w:rPr>
              <w:t>23</w:t>
            </w:r>
          </w:p>
        </w:tc>
        <w:tc>
          <w:tcPr>
            <w:tcW w:w="320" w:type="dxa"/>
            <w:tcBorders/>
            <w:vAlign w:val="bottom"/>
          </w:tcPr>
          <w:p>
            <w:pPr>
              <w:pStyle w:val="Normal"/>
              <w:jc w:val="center"/>
              <w:rPr>
                <w:rFonts w:eastAsia="Arial Unicode MS" w:cs="Arial"/>
              </w:rPr>
            </w:pPr>
            <w:r>
              <w:rPr>
                <w:rFonts w:cs="Arial"/>
              </w:rPr>
              <w:t>24</w:t>
            </w:r>
          </w:p>
        </w:tc>
        <w:tc>
          <w:tcPr>
            <w:tcW w:w="320" w:type="dxa"/>
            <w:tcBorders>
              <w:end w:val="single" w:sz="4" w:space="0" w:color="000000"/>
            </w:tcBorders>
            <w:vAlign w:val="bottom"/>
          </w:tcPr>
          <w:p>
            <w:pPr>
              <w:pStyle w:val="Normal"/>
              <w:jc w:val="center"/>
              <w:rPr>
                <w:rFonts w:eastAsia="Arial Unicode MS" w:cs="Arial"/>
              </w:rPr>
            </w:pPr>
            <w:r>
              <w:rPr>
                <w:rFonts w:cs="Arial"/>
              </w:rPr>
              <w:t>25</w:t>
            </w:r>
          </w:p>
        </w:tc>
        <w:tc>
          <w:tcPr>
            <w:tcW w:w="300" w:type="dxa"/>
            <w:tcBorders>
              <w:end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start w:val="single" w:sz="4" w:space="0" w:color="000000"/>
            </w:tcBorders>
            <w:vAlign w:val="bottom"/>
          </w:tcPr>
          <w:p>
            <w:pPr>
              <w:pStyle w:val="Normal"/>
              <w:jc w:val="center"/>
              <w:rPr>
                <w:rFonts w:eastAsia="Arial Unicode MS" w:cs="Arial"/>
              </w:rPr>
            </w:pPr>
            <w:r>
              <w:rPr>
                <w:rFonts w:cs="Arial"/>
              </w:rPr>
              <w:t>16</w:t>
            </w:r>
          </w:p>
        </w:tc>
        <w:tc>
          <w:tcPr>
            <w:tcW w:w="320" w:type="dxa"/>
            <w:tcBorders/>
            <w:vAlign w:val="bottom"/>
          </w:tcPr>
          <w:p>
            <w:pPr>
              <w:pStyle w:val="Normal"/>
              <w:jc w:val="center"/>
              <w:rPr>
                <w:rFonts w:eastAsia="Arial Unicode MS" w:cs="Arial"/>
              </w:rPr>
            </w:pPr>
            <w:r>
              <w:rPr>
                <w:rFonts w:cs="Arial"/>
              </w:rPr>
              <w:t>17</w:t>
            </w:r>
          </w:p>
        </w:tc>
        <w:tc>
          <w:tcPr>
            <w:tcW w:w="320" w:type="dxa"/>
            <w:tcBorders/>
            <w:vAlign w:val="bottom"/>
          </w:tcPr>
          <w:p>
            <w:pPr>
              <w:pStyle w:val="Normal"/>
              <w:jc w:val="center"/>
              <w:rPr>
                <w:rFonts w:eastAsia="Arial Unicode MS" w:cs="Arial"/>
              </w:rPr>
            </w:pPr>
            <w:r>
              <w:rPr>
                <w:rFonts w:cs="Arial"/>
              </w:rPr>
              <w:t>18</w:t>
            </w:r>
          </w:p>
        </w:tc>
        <w:tc>
          <w:tcPr>
            <w:tcW w:w="320" w:type="dxa"/>
            <w:tcBorders/>
            <w:vAlign w:val="bottom"/>
          </w:tcPr>
          <w:p>
            <w:pPr>
              <w:pStyle w:val="Normal"/>
              <w:jc w:val="center"/>
              <w:rPr>
                <w:rFonts w:eastAsia="Arial Unicode MS" w:cs="Arial"/>
              </w:rPr>
            </w:pPr>
            <w:r>
              <w:rPr>
                <w:rFonts w:cs="Arial"/>
              </w:rPr>
              <w:t>19</w:t>
            </w:r>
          </w:p>
        </w:tc>
        <w:tc>
          <w:tcPr>
            <w:tcW w:w="320" w:type="dxa"/>
            <w:tcBorders/>
            <w:vAlign w:val="bottom"/>
          </w:tcPr>
          <w:p>
            <w:pPr>
              <w:pStyle w:val="Normal"/>
              <w:jc w:val="center"/>
              <w:rPr>
                <w:rFonts w:eastAsia="Arial Unicode MS" w:cs="Arial"/>
              </w:rPr>
            </w:pPr>
            <w:r>
              <w:rPr>
                <w:rFonts w:cs="Arial"/>
              </w:rPr>
              <w:t>20</w:t>
            </w:r>
          </w:p>
        </w:tc>
        <w:tc>
          <w:tcPr>
            <w:tcW w:w="320" w:type="dxa"/>
            <w:tcBorders/>
            <w:vAlign w:val="bottom"/>
          </w:tcPr>
          <w:p>
            <w:pPr>
              <w:pStyle w:val="Normal"/>
              <w:jc w:val="center"/>
              <w:rPr>
                <w:rFonts w:eastAsia="Arial Unicode MS" w:cs="Arial"/>
              </w:rPr>
            </w:pPr>
            <w:r>
              <w:rPr>
                <w:rFonts w:cs="Arial"/>
              </w:rPr>
              <w:t>21</w:t>
            </w:r>
          </w:p>
        </w:tc>
        <w:tc>
          <w:tcPr>
            <w:tcW w:w="320" w:type="dxa"/>
            <w:tcBorders>
              <w:end w:val="single" w:sz="4" w:space="0" w:color="000000"/>
            </w:tcBorders>
            <w:vAlign w:val="bottom"/>
          </w:tcPr>
          <w:p>
            <w:pPr>
              <w:pStyle w:val="Normal"/>
              <w:jc w:val="center"/>
              <w:rPr>
                <w:rFonts w:eastAsia="Arial Unicode MS" w:cs="Arial"/>
              </w:rPr>
            </w:pPr>
            <w:r>
              <w:rPr>
                <w:rFonts w:cs="Arial"/>
              </w:rPr>
              <w:t>22</w:t>
            </w:r>
          </w:p>
        </w:tc>
        <w:tc>
          <w:tcPr>
            <w:tcW w:w="300" w:type="dxa"/>
            <w:tcBorders>
              <w:start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start w:val="single" w:sz="4" w:space="0" w:color="000000"/>
            </w:tcBorders>
            <w:vAlign w:val="bottom"/>
          </w:tcPr>
          <w:p>
            <w:pPr>
              <w:pStyle w:val="Normal"/>
              <w:jc w:val="center"/>
              <w:rPr>
                <w:rFonts w:eastAsia="Arial Unicode MS" w:cs="Arial"/>
              </w:rPr>
            </w:pPr>
            <w:r>
              <w:rPr>
                <w:rFonts w:cs="Arial"/>
              </w:rPr>
              <w:t>21</w:t>
            </w:r>
          </w:p>
        </w:tc>
        <w:tc>
          <w:tcPr>
            <w:tcW w:w="320" w:type="dxa"/>
            <w:tcBorders/>
            <w:vAlign w:val="bottom"/>
          </w:tcPr>
          <w:p>
            <w:pPr>
              <w:pStyle w:val="Normal"/>
              <w:jc w:val="center"/>
              <w:rPr>
                <w:rFonts w:eastAsia="Arial Unicode MS" w:cs="Arial"/>
              </w:rPr>
            </w:pPr>
            <w:r>
              <w:rPr>
                <w:rFonts w:cs="Arial"/>
              </w:rPr>
              <w:t>22</w:t>
            </w:r>
          </w:p>
        </w:tc>
        <w:tc>
          <w:tcPr>
            <w:tcW w:w="320" w:type="dxa"/>
            <w:tcBorders/>
            <w:vAlign w:val="bottom"/>
          </w:tcPr>
          <w:p>
            <w:pPr>
              <w:pStyle w:val="Normal"/>
              <w:jc w:val="center"/>
              <w:rPr>
                <w:rFonts w:eastAsia="Arial Unicode MS" w:cs="Arial"/>
              </w:rPr>
            </w:pPr>
            <w:r>
              <w:rPr>
                <w:rFonts w:cs="Arial"/>
              </w:rPr>
              <w:t>23</w:t>
            </w:r>
          </w:p>
        </w:tc>
        <w:tc>
          <w:tcPr>
            <w:tcW w:w="320" w:type="dxa"/>
            <w:tcBorders/>
            <w:vAlign w:val="bottom"/>
          </w:tcPr>
          <w:p>
            <w:pPr>
              <w:pStyle w:val="Normal"/>
              <w:jc w:val="center"/>
              <w:rPr>
                <w:rFonts w:eastAsia="Arial Unicode MS" w:cs="Arial"/>
              </w:rPr>
            </w:pPr>
            <w:r>
              <w:rPr>
                <w:rFonts w:cs="Arial"/>
              </w:rPr>
              <w:t>24</w:t>
            </w:r>
          </w:p>
        </w:tc>
        <w:tc>
          <w:tcPr>
            <w:tcW w:w="320" w:type="dxa"/>
            <w:tcBorders/>
            <w:vAlign w:val="bottom"/>
          </w:tcPr>
          <w:p>
            <w:pPr>
              <w:pStyle w:val="Normal"/>
              <w:jc w:val="center"/>
              <w:rPr>
                <w:rFonts w:eastAsia="Arial Unicode MS" w:cs="Arial"/>
              </w:rPr>
            </w:pPr>
            <w:r>
              <w:rPr>
                <w:rFonts w:cs="Arial"/>
              </w:rPr>
              <w:t>25</w:t>
            </w:r>
          </w:p>
        </w:tc>
        <w:tc>
          <w:tcPr>
            <w:tcW w:w="320" w:type="dxa"/>
            <w:tcBorders/>
            <w:vAlign w:val="bottom"/>
          </w:tcPr>
          <w:p>
            <w:pPr>
              <w:pStyle w:val="Normal"/>
              <w:jc w:val="center"/>
              <w:rPr>
                <w:rFonts w:eastAsia="Arial Unicode MS" w:cs="Arial"/>
              </w:rPr>
            </w:pPr>
            <w:r>
              <w:rPr>
                <w:rFonts w:cs="Arial"/>
              </w:rPr>
              <w:t>26</w:t>
            </w:r>
          </w:p>
        </w:tc>
        <w:tc>
          <w:tcPr>
            <w:tcW w:w="320" w:type="dxa"/>
            <w:tcBorders>
              <w:end w:val="single" w:sz="4" w:space="0" w:color="000000"/>
            </w:tcBorders>
            <w:vAlign w:val="bottom"/>
          </w:tcPr>
          <w:p>
            <w:pPr>
              <w:pStyle w:val="Normal"/>
              <w:jc w:val="center"/>
              <w:rPr>
                <w:rFonts w:eastAsia="Arial Unicode MS" w:cs="Arial"/>
              </w:rPr>
            </w:pPr>
            <w:r>
              <w:rPr>
                <w:rFonts w:cs="Arial"/>
              </w:rPr>
              <w:t>27</w:t>
            </w:r>
          </w:p>
        </w:tc>
      </w:tr>
      <w:tr>
        <w:trPr>
          <w:trHeight w:val="255" w:hRule="atLeast"/>
        </w:trPr>
        <w:tc>
          <w:tcPr>
            <w:tcW w:w="320" w:type="dxa"/>
            <w:tcBorders>
              <w:start w:val="single" w:sz="4" w:space="0" w:color="000000"/>
              <w:bottom w:val="single" w:sz="4" w:space="0" w:color="000000"/>
            </w:tcBorders>
            <w:vAlign w:val="bottom"/>
          </w:tcPr>
          <w:p>
            <w:pPr>
              <w:pStyle w:val="Normal"/>
              <w:jc w:val="center"/>
              <w:rPr>
                <w:rFonts w:eastAsia="Arial Unicode MS" w:cs="Arial"/>
              </w:rPr>
            </w:pPr>
            <w:r>
              <w:rPr>
                <w:rFonts w:cs="Arial"/>
              </w:rPr>
              <w:t>26</w:t>
            </w:r>
          </w:p>
        </w:tc>
        <w:tc>
          <w:tcPr>
            <w:tcW w:w="320" w:type="dxa"/>
            <w:tcBorders>
              <w:bottom w:val="single" w:sz="4" w:space="0" w:color="000000"/>
            </w:tcBorders>
            <w:vAlign w:val="bottom"/>
          </w:tcPr>
          <w:p>
            <w:pPr>
              <w:pStyle w:val="Normal"/>
              <w:jc w:val="center"/>
              <w:rPr>
                <w:rFonts w:eastAsia="Arial Unicode MS" w:cs="Arial"/>
              </w:rPr>
            </w:pPr>
            <w:r>
              <w:rPr>
                <w:rFonts w:cs="Arial"/>
              </w:rPr>
              <w:t>27</w:t>
            </w:r>
          </w:p>
        </w:tc>
        <w:tc>
          <w:tcPr>
            <w:tcW w:w="320" w:type="dxa"/>
            <w:tcBorders>
              <w:bottom w:val="single" w:sz="4" w:space="0" w:color="000000"/>
            </w:tcBorders>
            <w:vAlign w:val="bottom"/>
          </w:tcPr>
          <w:p>
            <w:pPr>
              <w:pStyle w:val="Normal"/>
              <w:jc w:val="center"/>
              <w:rPr>
                <w:rFonts w:eastAsia="Arial Unicode MS" w:cs="Arial"/>
              </w:rPr>
            </w:pPr>
            <w:r>
              <w:rPr>
                <w:rFonts w:cs="Arial"/>
              </w:rPr>
              <w:t>28</w:t>
            </w:r>
          </w:p>
        </w:tc>
        <w:tc>
          <w:tcPr>
            <w:tcW w:w="320" w:type="dxa"/>
            <w:tcBorders>
              <w:bottom w:val="single" w:sz="4" w:space="0" w:color="000000"/>
            </w:tcBorders>
            <w:vAlign w:val="bottom"/>
          </w:tcPr>
          <w:p>
            <w:pPr>
              <w:pStyle w:val="Normal"/>
              <w:jc w:val="center"/>
              <w:rPr>
                <w:rFonts w:eastAsia="Arial Unicode MS" w:cs="Arial"/>
              </w:rPr>
            </w:pPr>
            <w:r>
              <w:rPr>
                <w:rFonts w:cs="Arial"/>
              </w:rPr>
              <w:t>29</w:t>
            </w:r>
          </w:p>
        </w:tc>
        <w:tc>
          <w:tcPr>
            <w:tcW w:w="320" w:type="dxa"/>
            <w:tcBorders>
              <w:bottom w:val="single" w:sz="4" w:space="0" w:color="000000"/>
            </w:tcBorders>
            <w:vAlign w:val="bottom"/>
          </w:tcPr>
          <w:p>
            <w:pPr>
              <w:pStyle w:val="Normal"/>
              <w:jc w:val="center"/>
              <w:rPr>
                <w:rFonts w:eastAsia="Arial Unicode MS" w:cs="Arial"/>
              </w:rPr>
            </w:pPr>
            <w:r>
              <w:rPr>
                <w:rFonts w:cs="Arial"/>
              </w:rPr>
              <w:t>30</w:t>
            </w:r>
          </w:p>
        </w:tc>
        <w:tc>
          <w:tcPr>
            <w:tcW w:w="320" w:type="dxa"/>
            <w:tcBorders>
              <w:bottom w:val="single" w:sz="4" w:space="0" w:color="000000"/>
            </w:tcBorders>
            <w:vAlign w:val="bottom"/>
          </w:tcPr>
          <w:p>
            <w:pPr>
              <w:pStyle w:val="Normal"/>
              <w:jc w:val="center"/>
              <w:rPr>
                <w:rFonts w:eastAsia="Arial Unicode MS" w:cs="Arial"/>
              </w:rPr>
            </w:pPr>
            <w:r>
              <w:rPr>
                <w:rFonts w:cs="Arial"/>
              </w:rPr>
              <w:t>31</w:t>
            </w:r>
          </w:p>
        </w:tc>
        <w:tc>
          <w:tcPr>
            <w:tcW w:w="320" w:type="dxa"/>
            <w:tcBorders>
              <w:bottom w:val="single" w:sz="4" w:space="0" w:color="000000"/>
              <w:end w:val="single" w:sz="4" w:space="0" w:color="000000"/>
            </w:tcBorders>
            <w:vAlign w:val="bottom"/>
          </w:tcPr>
          <w:p>
            <w:pPr>
              <w:pStyle w:val="Normal"/>
              <w:jc w:val="center"/>
              <w:rPr>
                <w:rFonts w:eastAsia="Arial Unicode MS" w:cs="Arial"/>
              </w:rPr>
            </w:pPr>
            <w:r>
              <w:rPr>
                <w:rFonts w:cs="Arial"/>
              </w:rPr>
              <w:t> </w:t>
            </w:r>
          </w:p>
        </w:tc>
        <w:tc>
          <w:tcPr>
            <w:tcW w:w="300" w:type="dxa"/>
            <w:tcBorders>
              <w:end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start w:val="single" w:sz="4" w:space="0" w:color="000000"/>
            </w:tcBorders>
            <w:vAlign w:val="bottom"/>
          </w:tcPr>
          <w:p>
            <w:pPr>
              <w:pStyle w:val="Normal"/>
              <w:jc w:val="center"/>
              <w:rPr>
                <w:rFonts w:eastAsia="Arial Unicode MS" w:cs="Arial"/>
              </w:rPr>
            </w:pPr>
            <w:r>
              <w:rPr>
                <w:rFonts w:cs="Arial"/>
              </w:rPr>
              <w:t>23</w:t>
            </w:r>
          </w:p>
        </w:tc>
        <w:tc>
          <w:tcPr>
            <w:tcW w:w="320" w:type="dxa"/>
            <w:tcBorders/>
            <w:vAlign w:val="bottom"/>
          </w:tcPr>
          <w:p>
            <w:pPr>
              <w:pStyle w:val="Normal"/>
              <w:jc w:val="center"/>
              <w:rPr>
                <w:rFonts w:eastAsia="Arial Unicode MS" w:cs="Arial"/>
              </w:rPr>
            </w:pPr>
            <w:r>
              <w:rPr>
                <w:rFonts w:cs="Arial"/>
              </w:rPr>
              <w:t>24</w:t>
            </w:r>
          </w:p>
        </w:tc>
        <w:tc>
          <w:tcPr>
            <w:tcW w:w="320" w:type="dxa"/>
            <w:tcBorders/>
            <w:vAlign w:val="bottom"/>
          </w:tcPr>
          <w:p>
            <w:pPr>
              <w:pStyle w:val="Normal"/>
              <w:jc w:val="center"/>
              <w:rPr>
                <w:rFonts w:eastAsia="Arial Unicode MS" w:cs="Arial"/>
              </w:rPr>
            </w:pPr>
            <w:r>
              <w:rPr>
                <w:rFonts w:cs="Arial"/>
              </w:rPr>
              <w:t>25</w:t>
            </w:r>
          </w:p>
        </w:tc>
        <w:tc>
          <w:tcPr>
            <w:tcW w:w="320" w:type="dxa"/>
            <w:tcBorders/>
            <w:vAlign w:val="bottom"/>
          </w:tcPr>
          <w:p>
            <w:pPr>
              <w:pStyle w:val="Normal"/>
              <w:jc w:val="center"/>
              <w:rPr>
                <w:rFonts w:eastAsia="Arial Unicode MS" w:cs="Arial"/>
              </w:rPr>
            </w:pPr>
            <w:r>
              <w:rPr>
                <w:rFonts w:cs="Arial"/>
              </w:rPr>
              <w:t>26</w:t>
            </w:r>
          </w:p>
        </w:tc>
        <w:tc>
          <w:tcPr>
            <w:tcW w:w="320" w:type="dxa"/>
            <w:tcBorders/>
            <w:vAlign w:val="bottom"/>
          </w:tcPr>
          <w:p>
            <w:pPr>
              <w:pStyle w:val="Normal"/>
              <w:jc w:val="center"/>
              <w:rPr>
                <w:rFonts w:eastAsia="Arial Unicode MS" w:cs="Arial"/>
              </w:rPr>
            </w:pPr>
            <w:r>
              <w:rPr>
                <w:rFonts w:cs="Arial"/>
              </w:rPr>
              <w:t>27</w:t>
            </w:r>
          </w:p>
        </w:tc>
        <w:tc>
          <w:tcPr>
            <w:tcW w:w="320" w:type="dxa"/>
            <w:tcBorders/>
            <w:vAlign w:val="bottom"/>
          </w:tcPr>
          <w:p>
            <w:pPr>
              <w:pStyle w:val="Normal"/>
              <w:jc w:val="center"/>
              <w:rPr>
                <w:rFonts w:eastAsia="Arial Unicode MS" w:cs="Arial"/>
              </w:rPr>
            </w:pPr>
            <w:r>
              <w:rPr>
                <w:rFonts w:cs="Arial"/>
              </w:rPr>
              <w:t>28</w:t>
            </w:r>
          </w:p>
        </w:tc>
        <w:tc>
          <w:tcPr>
            <w:tcW w:w="320" w:type="dxa"/>
            <w:tcBorders>
              <w:end w:val="single" w:sz="4" w:space="0" w:color="000000"/>
            </w:tcBorders>
            <w:vAlign w:val="bottom"/>
          </w:tcPr>
          <w:p>
            <w:pPr>
              <w:pStyle w:val="Normal"/>
              <w:jc w:val="center"/>
              <w:rPr>
                <w:rFonts w:eastAsia="Arial Unicode MS" w:cs="Arial"/>
              </w:rPr>
            </w:pPr>
            <w:r>
              <w:rPr>
                <w:rFonts w:cs="Arial"/>
              </w:rPr>
              <w:t>29</w:t>
            </w:r>
          </w:p>
        </w:tc>
        <w:tc>
          <w:tcPr>
            <w:tcW w:w="300" w:type="dxa"/>
            <w:tcBorders>
              <w:start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start w:val="single" w:sz="4" w:space="0" w:color="000000"/>
              <w:bottom w:val="single" w:sz="4" w:space="0" w:color="000000"/>
            </w:tcBorders>
            <w:vAlign w:val="bottom"/>
          </w:tcPr>
          <w:p>
            <w:pPr>
              <w:pStyle w:val="Normal"/>
              <w:jc w:val="center"/>
              <w:rPr>
                <w:rFonts w:eastAsia="Arial Unicode MS" w:cs="Arial"/>
              </w:rPr>
            </w:pPr>
            <w:r>
              <w:rPr>
                <w:rFonts w:cs="Arial"/>
              </w:rPr>
              <w:t>28</w:t>
            </w:r>
          </w:p>
        </w:tc>
        <w:tc>
          <w:tcPr>
            <w:tcW w:w="320" w:type="dxa"/>
            <w:tcBorders>
              <w:bottom w:val="single" w:sz="4" w:space="0" w:color="000000"/>
            </w:tcBorders>
            <w:vAlign w:val="bottom"/>
          </w:tcPr>
          <w:p>
            <w:pPr>
              <w:pStyle w:val="Normal"/>
              <w:jc w:val="center"/>
              <w:rPr>
                <w:rFonts w:eastAsia="Arial Unicode MS" w:cs="Arial"/>
              </w:rPr>
            </w:pPr>
            <w:r>
              <w:rPr>
                <w:rFonts w:cs="Arial"/>
              </w:rPr>
              <w:t>29</w:t>
            </w:r>
          </w:p>
        </w:tc>
        <w:tc>
          <w:tcPr>
            <w:tcW w:w="320" w:type="dxa"/>
            <w:tcBorders>
              <w:bottom w:val="single" w:sz="4" w:space="0" w:color="000000"/>
            </w:tcBorders>
            <w:vAlign w:val="bottom"/>
          </w:tcPr>
          <w:p>
            <w:pPr>
              <w:pStyle w:val="Normal"/>
              <w:jc w:val="center"/>
              <w:rPr>
                <w:rFonts w:eastAsia="Arial Unicode MS" w:cs="Arial"/>
              </w:rPr>
            </w:pPr>
            <w:r>
              <w:rPr>
                <w:rFonts w:cs="Arial"/>
              </w:rPr>
              <w:t>30</w:t>
            </w:r>
          </w:p>
        </w:tc>
        <w:tc>
          <w:tcPr>
            <w:tcW w:w="320" w:type="dxa"/>
            <w:tcBorders>
              <w:bottom w:val="single" w:sz="4" w:space="0" w:color="000000"/>
            </w:tcBorders>
            <w:vAlign w:val="bottom"/>
          </w:tcPr>
          <w:p>
            <w:pPr>
              <w:pStyle w:val="Normal"/>
              <w:jc w:val="center"/>
              <w:rPr>
                <w:rFonts w:eastAsia="Arial Unicode MS" w:cs="Arial"/>
              </w:rPr>
            </w:pPr>
            <w:r>
              <w:rPr>
                <w:rFonts w:cs="Arial"/>
              </w:rPr>
              <w:t>31</w:t>
            </w:r>
          </w:p>
        </w:tc>
        <w:tc>
          <w:tcPr>
            <w:tcW w:w="320" w:type="dxa"/>
            <w:tcBorders>
              <w:bottom w:val="single" w:sz="4" w:space="0" w:color="000000"/>
            </w:tcBorders>
            <w:vAlign w:val="bottom"/>
          </w:tcPr>
          <w:p>
            <w:pPr>
              <w:pStyle w:val="Normal"/>
              <w:snapToGrid w:val="false"/>
              <w:jc w:val="center"/>
              <w:rPr>
                <w:rFonts w:eastAsia="Arial Unicode MS" w:cs="Arial"/>
              </w:rPr>
            </w:pPr>
            <w:r>
              <w:rPr>
                <w:rFonts w:eastAsia="Arial Unicode MS" w:cs="Arial"/>
              </w:rPr>
            </w:r>
          </w:p>
        </w:tc>
        <w:tc>
          <w:tcPr>
            <w:tcW w:w="320" w:type="dxa"/>
            <w:tcBorders>
              <w:bottom w:val="single" w:sz="4" w:space="0" w:color="000000"/>
            </w:tcBorders>
            <w:vAlign w:val="bottom"/>
          </w:tcPr>
          <w:p>
            <w:pPr>
              <w:pStyle w:val="Normal"/>
              <w:snapToGrid w:val="false"/>
              <w:jc w:val="center"/>
              <w:rPr>
                <w:rFonts w:eastAsia="Arial Unicode MS" w:cs="Arial"/>
              </w:rPr>
            </w:pPr>
            <w:r>
              <w:rPr>
                <w:rFonts w:eastAsia="Arial Unicode MS" w:cs="Arial"/>
              </w:rPr>
            </w:r>
          </w:p>
        </w:tc>
        <w:tc>
          <w:tcPr>
            <w:tcW w:w="320" w:type="dxa"/>
            <w:tcBorders>
              <w:bottom w:val="single" w:sz="4" w:space="0" w:color="000000"/>
              <w:end w:val="single" w:sz="4" w:space="0" w:color="000000"/>
            </w:tcBorders>
            <w:vAlign w:val="bottom"/>
          </w:tcPr>
          <w:p>
            <w:pPr>
              <w:pStyle w:val="Normal"/>
              <w:snapToGrid w:val="false"/>
              <w:jc w:val="center"/>
              <w:rPr>
                <w:rFonts w:eastAsia="Arial Unicode MS" w:cs="Arial"/>
              </w:rPr>
            </w:pPr>
            <w:r>
              <w:rPr>
                <w:rFonts w:eastAsia="Arial Unicode MS" w:cs="Arial"/>
              </w:rPr>
            </w:r>
          </w:p>
        </w:tc>
      </w:tr>
      <w:tr>
        <w:trPr>
          <w:trHeight w:val="255" w:hRule="atLeast"/>
        </w:trPr>
        <w:tc>
          <w:tcPr>
            <w:tcW w:w="320" w:type="dxa"/>
            <w:tcBorders/>
            <w:vAlign w:val="bottom"/>
          </w:tcPr>
          <w:p>
            <w:pPr>
              <w:pStyle w:val="Normal"/>
              <w:snapToGrid w:val="false"/>
              <w:jc w:val="center"/>
              <w:rPr>
                <w:rFonts w:ascii="Times New Roman" w:hAnsi="Times New Roman" w:eastAsia="Arial Unicode MS" w:cs="Arial"/>
              </w:rPr>
            </w:pPr>
            <w:r>
              <w:rPr>
                <w:rFonts w:eastAsia="Arial Unicode MS" w:cs="Arial" w:ascii="Times New Roman" w:hAnsi="Times New Roman"/>
              </w:rPr>
            </w:r>
          </w:p>
        </w:tc>
        <w:tc>
          <w:tcPr>
            <w:tcW w:w="320" w:type="dxa"/>
            <w:tcBorders/>
            <w:vAlign w:val="bottom"/>
          </w:tcPr>
          <w:p>
            <w:pPr>
              <w:pStyle w:val="Normal"/>
              <w:snapToGrid w:val="false"/>
              <w:jc w:val="center"/>
              <w:rPr>
                <w:rFonts w:eastAsia="Arial Unicode MS" w:cs="Arial"/>
              </w:rPr>
            </w:pPr>
            <w:r>
              <w:rPr>
                <w:rFonts w:eastAsia="Arial Unicode MS" w:cs="Arial"/>
              </w:rPr>
            </w:r>
          </w:p>
        </w:tc>
        <w:tc>
          <w:tcPr>
            <w:tcW w:w="320" w:type="dxa"/>
            <w:tcBorders/>
            <w:vAlign w:val="bottom"/>
          </w:tcPr>
          <w:p>
            <w:pPr>
              <w:pStyle w:val="Normal"/>
              <w:snapToGrid w:val="false"/>
              <w:jc w:val="center"/>
              <w:rPr>
                <w:rFonts w:eastAsia="Arial Unicode MS" w:cs="Arial"/>
              </w:rPr>
            </w:pPr>
            <w:r>
              <w:rPr>
                <w:rFonts w:eastAsia="Arial Unicode MS" w:cs="Arial"/>
              </w:rPr>
            </w:r>
          </w:p>
        </w:tc>
        <w:tc>
          <w:tcPr>
            <w:tcW w:w="320" w:type="dxa"/>
            <w:tcBorders/>
            <w:vAlign w:val="bottom"/>
          </w:tcPr>
          <w:p>
            <w:pPr>
              <w:pStyle w:val="Normal"/>
              <w:snapToGrid w:val="false"/>
              <w:jc w:val="center"/>
              <w:rPr>
                <w:rFonts w:eastAsia="Arial Unicode MS" w:cs="Arial"/>
              </w:rPr>
            </w:pPr>
            <w:r>
              <w:rPr>
                <w:rFonts w:eastAsia="Arial Unicode MS" w:cs="Arial"/>
              </w:rPr>
            </w:r>
          </w:p>
        </w:tc>
        <w:tc>
          <w:tcPr>
            <w:tcW w:w="320" w:type="dxa"/>
            <w:tcBorders/>
            <w:vAlign w:val="bottom"/>
          </w:tcPr>
          <w:p>
            <w:pPr>
              <w:pStyle w:val="Normal"/>
              <w:snapToGrid w:val="false"/>
              <w:jc w:val="center"/>
              <w:rPr>
                <w:rFonts w:eastAsia="Arial Unicode MS" w:cs="Arial"/>
              </w:rPr>
            </w:pPr>
            <w:r>
              <w:rPr>
                <w:rFonts w:eastAsia="Arial Unicode MS" w:cs="Arial"/>
              </w:rPr>
            </w:r>
          </w:p>
        </w:tc>
        <w:tc>
          <w:tcPr>
            <w:tcW w:w="320" w:type="dxa"/>
            <w:tcBorders/>
            <w:vAlign w:val="bottom"/>
          </w:tcPr>
          <w:p>
            <w:pPr>
              <w:pStyle w:val="Normal"/>
              <w:snapToGrid w:val="false"/>
              <w:jc w:val="center"/>
              <w:rPr>
                <w:rFonts w:eastAsia="Arial Unicode MS" w:cs="Arial"/>
              </w:rPr>
            </w:pPr>
            <w:r>
              <w:rPr>
                <w:rFonts w:eastAsia="Arial Unicode MS" w:cs="Arial"/>
              </w:rPr>
            </w:r>
          </w:p>
        </w:tc>
        <w:tc>
          <w:tcPr>
            <w:tcW w:w="320" w:type="dxa"/>
            <w:tcBorders/>
            <w:vAlign w:val="bottom"/>
          </w:tcPr>
          <w:p>
            <w:pPr>
              <w:pStyle w:val="Normal"/>
              <w:snapToGrid w:val="false"/>
              <w:jc w:val="center"/>
              <w:rPr>
                <w:rFonts w:eastAsia="Arial Unicode MS" w:cs="Arial"/>
              </w:rPr>
            </w:pPr>
            <w:r>
              <w:rPr>
                <w:rFonts w:eastAsia="Arial Unicode MS" w:cs="Arial"/>
              </w:rPr>
            </w:r>
          </w:p>
        </w:tc>
        <w:tc>
          <w:tcPr>
            <w:tcW w:w="300" w:type="dxa"/>
            <w:tcBorders>
              <w:end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start w:val="single" w:sz="4" w:space="0" w:color="000000"/>
              <w:bottom w:val="single" w:sz="4" w:space="0" w:color="000000"/>
            </w:tcBorders>
            <w:vAlign w:val="bottom"/>
          </w:tcPr>
          <w:p>
            <w:pPr>
              <w:pStyle w:val="Normal"/>
              <w:rPr>
                <w:rFonts w:eastAsia="Arial Unicode MS" w:cs="Arial"/>
              </w:rPr>
            </w:pPr>
            <w:r>
              <w:rPr>
                <w:rFonts w:cs="Arial"/>
              </w:rPr>
              <w:t>30</w:t>
            </w:r>
          </w:p>
        </w:tc>
        <w:tc>
          <w:tcPr>
            <w:tcW w:w="320" w:type="dxa"/>
            <w:tcBorders>
              <w:bottom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bottom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bottom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bottom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bottom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bottom w:val="single" w:sz="4" w:space="0" w:color="000000"/>
              <w:end w:val="single" w:sz="4" w:space="0" w:color="000000"/>
            </w:tcBorders>
            <w:vAlign w:val="bottom"/>
          </w:tcPr>
          <w:p>
            <w:pPr>
              <w:pStyle w:val="Normal"/>
              <w:snapToGrid w:val="false"/>
              <w:rPr>
                <w:rFonts w:eastAsia="Arial Unicode MS" w:cs="Arial"/>
              </w:rPr>
            </w:pPr>
            <w:r>
              <w:rPr>
                <w:rFonts w:eastAsia="Arial Unicode MS" w:cs="Arial"/>
              </w:rPr>
            </w:r>
          </w:p>
        </w:tc>
        <w:tc>
          <w:tcPr>
            <w:tcW w:w="300" w:type="dxa"/>
            <w:tcBorders>
              <w:start w:val="single" w:sz="4" w:space="0" w:color="000000"/>
            </w:tcBorders>
            <w:vAlign w:val="bottom"/>
          </w:tcPr>
          <w:p>
            <w:pPr>
              <w:pStyle w:val="Normal"/>
              <w:snapToGrid w:val="false"/>
              <w:rPr>
                <w:rFonts w:eastAsia="Arial Unicode MS" w:cs="Arial"/>
              </w:rPr>
            </w:pPr>
            <w:r>
              <w:rPr>
                <w:rFonts w:eastAsia="Arial Unicode MS" w:cs="Arial"/>
              </w:rPr>
            </w:r>
          </w:p>
        </w:tc>
        <w:tc>
          <w:tcPr>
            <w:tcW w:w="320" w:type="dxa"/>
            <w:tcBorders>
              <w:top w:val="single" w:sz="4" w:space="0" w:color="000000"/>
            </w:tcBorders>
            <w:vAlign w:val="bottom"/>
          </w:tcPr>
          <w:p>
            <w:pPr>
              <w:pStyle w:val="Normal"/>
              <w:snapToGrid w:val="false"/>
              <w:jc w:val="center"/>
              <w:rPr>
                <w:rFonts w:eastAsia="Arial Unicode MS" w:cs="Arial"/>
              </w:rPr>
            </w:pPr>
            <w:r>
              <w:rPr>
                <w:rFonts w:eastAsia="Arial Unicode MS" w:cs="Arial"/>
              </w:rPr>
            </w:r>
          </w:p>
        </w:tc>
        <w:tc>
          <w:tcPr>
            <w:tcW w:w="320" w:type="dxa"/>
            <w:tcBorders>
              <w:top w:val="single" w:sz="4" w:space="0" w:color="000000"/>
            </w:tcBorders>
            <w:vAlign w:val="bottom"/>
          </w:tcPr>
          <w:p>
            <w:pPr>
              <w:pStyle w:val="Normal"/>
              <w:rPr>
                <w:rFonts w:eastAsia="Arial Unicode MS" w:cs="Arial"/>
              </w:rPr>
            </w:pPr>
            <w:r>
              <w:rPr>
                <w:rFonts w:cs="Arial"/>
              </w:rPr>
              <w:t> </w:t>
            </w:r>
          </w:p>
        </w:tc>
        <w:tc>
          <w:tcPr>
            <w:tcW w:w="320" w:type="dxa"/>
            <w:tcBorders>
              <w:top w:val="single" w:sz="4" w:space="0" w:color="000000"/>
            </w:tcBorders>
            <w:vAlign w:val="bottom"/>
          </w:tcPr>
          <w:p>
            <w:pPr>
              <w:pStyle w:val="Normal"/>
              <w:rPr>
                <w:rFonts w:eastAsia="Arial Unicode MS" w:cs="Arial"/>
              </w:rPr>
            </w:pPr>
            <w:r>
              <w:rPr>
                <w:rFonts w:cs="Arial"/>
              </w:rPr>
              <w:t> </w:t>
            </w:r>
          </w:p>
        </w:tc>
        <w:tc>
          <w:tcPr>
            <w:tcW w:w="320" w:type="dxa"/>
            <w:tcBorders>
              <w:top w:val="single" w:sz="4" w:space="0" w:color="000000"/>
            </w:tcBorders>
            <w:vAlign w:val="bottom"/>
          </w:tcPr>
          <w:p>
            <w:pPr>
              <w:pStyle w:val="Normal"/>
              <w:rPr>
                <w:rFonts w:eastAsia="Arial Unicode MS" w:cs="Arial"/>
              </w:rPr>
            </w:pPr>
            <w:r>
              <w:rPr>
                <w:rFonts w:cs="Arial"/>
              </w:rPr>
              <w:t> </w:t>
            </w:r>
          </w:p>
        </w:tc>
        <w:tc>
          <w:tcPr>
            <w:tcW w:w="320" w:type="dxa"/>
            <w:tcBorders>
              <w:top w:val="single" w:sz="4" w:space="0" w:color="000000"/>
            </w:tcBorders>
            <w:vAlign w:val="bottom"/>
          </w:tcPr>
          <w:p>
            <w:pPr>
              <w:pStyle w:val="Normal"/>
              <w:rPr>
                <w:rFonts w:eastAsia="Arial Unicode MS" w:cs="Arial"/>
              </w:rPr>
            </w:pPr>
            <w:r>
              <w:rPr>
                <w:rFonts w:cs="Arial"/>
              </w:rPr>
              <w:t> </w:t>
            </w:r>
          </w:p>
        </w:tc>
        <w:tc>
          <w:tcPr>
            <w:tcW w:w="320" w:type="dxa"/>
            <w:tcBorders>
              <w:top w:val="single" w:sz="4" w:space="0" w:color="000000"/>
            </w:tcBorders>
            <w:vAlign w:val="bottom"/>
          </w:tcPr>
          <w:p>
            <w:pPr>
              <w:pStyle w:val="Normal"/>
              <w:rPr>
                <w:rFonts w:eastAsia="Arial Unicode MS" w:cs="Arial"/>
              </w:rPr>
            </w:pPr>
            <w:r>
              <w:rPr>
                <w:rFonts w:cs="Arial"/>
              </w:rPr>
              <w:t> </w:t>
            </w:r>
          </w:p>
        </w:tc>
        <w:tc>
          <w:tcPr>
            <w:tcW w:w="320" w:type="dxa"/>
            <w:tcBorders>
              <w:top w:val="single" w:sz="4" w:space="0" w:color="000000"/>
            </w:tcBorders>
            <w:vAlign w:val="bottom"/>
          </w:tcPr>
          <w:p>
            <w:pPr>
              <w:pStyle w:val="Normal"/>
              <w:rPr>
                <w:rFonts w:eastAsia="Arial Unicode MS" w:cs="Arial"/>
              </w:rPr>
            </w:pPr>
            <w:r>
              <w:rPr>
                <w:rFonts w:cs="Arial"/>
              </w:rPr>
              <w:t> </w:t>
            </w:r>
          </w:p>
        </w:tc>
      </w:tr>
    </w:tbl>
    <w:p>
      <w:pPr>
        <w:pStyle w:val="T0"/>
        <w:spacing w:before="240" w:after="240"/>
        <w:ind w:hanging="706" w:start="1412" w:end="0"/>
        <w:rPr>
          <w:b/>
          <w:sz w:val="28"/>
        </w:rPr>
      </w:pPr>
      <w:r>
        <w:br w:type="page"/>
      </w:r>
      <w:r>
        <w:rPr>
          <w:b/>
          <w:sz w:val="28"/>
        </w:rPr>
        <w:t>E.</w:t>
        <w:tab/>
        <w:t>Round I Bidding Instructions</w:t>
      </w:r>
    </w:p>
    <w:p>
      <w:pPr>
        <w:pStyle w:val="A0"/>
        <w:rPr/>
      </w:pPr>
      <w:r>
        <w:rPr/>
        <w:t>Interested Prospective Purchasers should prepare Round I Proposals incorporating the following information:</w:t>
      </w:r>
    </w:p>
    <w:p>
      <w:pPr>
        <w:pStyle w:val="A0n"/>
        <w:numPr>
          <w:ilvl w:val="0"/>
          <w:numId w:val="44"/>
        </w:numPr>
        <w:rPr/>
      </w:pPr>
      <w:r>
        <w:rPr/>
        <w:t>The identity of the Prospective Purchaser, the purchase price, and the Facility(s) to be purchased.  If the Prospective Purchaser is a group, the identity of each group member, and the percentage of the amount to be paid for the Facility(s) committed to by each member of the group.</w:t>
      </w:r>
    </w:p>
    <w:p>
      <w:pPr>
        <w:pStyle w:val="A0n"/>
        <w:numPr>
          <w:ilvl w:val="0"/>
          <w:numId w:val="44"/>
        </w:numPr>
        <w:rPr/>
      </w:pPr>
      <w:r>
        <w:rPr/>
        <w:t>Explanation of key assumptions supporting valuation and discussion of value drivers (alternative forms of consideration may also be proposed in Round I).</w:t>
      </w:r>
    </w:p>
    <w:p>
      <w:pPr>
        <w:pStyle w:val="A0n"/>
        <w:numPr>
          <w:ilvl w:val="0"/>
          <w:numId w:val="44"/>
        </w:numPr>
        <w:rPr/>
      </w:pPr>
      <w:r>
        <w:rPr/>
        <w:t>The Prospective Purchaser’s source of funding for its proposed acquisition.</w:t>
      </w:r>
    </w:p>
    <w:p>
      <w:pPr>
        <w:pStyle w:val="A0n"/>
        <w:numPr>
          <w:ilvl w:val="0"/>
          <w:numId w:val="44"/>
        </w:numPr>
        <w:rPr/>
      </w:pPr>
      <w:r>
        <w:rPr/>
        <w:t>A description of the Prospective Purchaser’s internal approval process, and an acknowledgement that the approval process can accommodate the transaction schedule.</w:t>
      </w:r>
    </w:p>
    <w:p>
      <w:pPr>
        <w:pStyle w:val="A0n"/>
        <w:numPr>
          <w:ilvl w:val="0"/>
          <w:numId w:val="44"/>
        </w:numPr>
        <w:rPr/>
      </w:pPr>
      <w:r>
        <w:rPr/>
        <w:t>A description of specific due diligence activities required to consummate the transaction.</w:t>
      </w:r>
    </w:p>
    <w:p>
      <w:pPr>
        <w:pStyle w:val="A0n"/>
        <w:numPr>
          <w:ilvl w:val="0"/>
          <w:numId w:val="44"/>
        </w:numPr>
        <w:rPr/>
      </w:pPr>
      <w:r>
        <w:rPr/>
        <w:t>The identity of the Prospective Purchaser’s counsel, including the identity of the lead counsel, together with a confirmation that such individual is available for the scheduled transaction timetable, and if the Prospective Purchaser is a group, an acknowledgement that such counsel will be common counsel for the group.</w:t>
      </w:r>
    </w:p>
    <w:p>
      <w:pPr>
        <w:pStyle w:val="A0n"/>
        <w:numPr>
          <w:ilvl w:val="0"/>
          <w:numId w:val="44"/>
        </w:numPr>
        <w:rPr/>
      </w:pPr>
      <w:r>
        <w:rPr/>
        <w:t>The identity of the Prospective Purchaser’s financial advisor, if any, and if the Prospective Purchaser is a group, an acknowledgement that such financial advisor will be the only financial advisor for the group.</w:t>
      </w:r>
    </w:p>
    <w:p>
      <w:pPr>
        <w:pStyle w:val="A0n"/>
        <w:numPr>
          <w:ilvl w:val="0"/>
          <w:numId w:val="44"/>
        </w:numPr>
        <w:rPr/>
      </w:pPr>
      <w:r>
        <w:rPr/>
        <w:t>The identity of any other advisors or consultants that the Prospective Purchaser expects to retain and the scope of their activities.</w:t>
      </w:r>
    </w:p>
    <w:p>
      <w:pPr>
        <w:pStyle w:val="A0n"/>
        <w:numPr>
          <w:ilvl w:val="0"/>
          <w:numId w:val="0"/>
        </w:numPr>
        <w:spacing w:before="360" w:after="0"/>
        <w:ind w:hanging="0" w:start="1814" w:end="720"/>
        <w:rPr>
          <w:b/>
          <w:sz w:val="22"/>
        </w:rPr>
      </w:pPr>
      <w:r>
        <w:rPr>
          <w:b/>
          <w:sz w:val="22"/>
        </w:rPr>
        <w:t>Round I Proposals should be sent by facsimile or by letter to the following address and be received no later than 3:00 pm, Central Daylight Time, on Friday, September 14, 2001:</w:t>
      </w:r>
    </w:p>
    <w:p>
      <w:pPr>
        <w:pStyle w:val="A0n"/>
        <w:numPr>
          <w:ilvl w:val="0"/>
          <w:numId w:val="0"/>
        </w:numPr>
        <w:spacing w:before="0" w:after="0"/>
        <w:ind w:hanging="0" w:start="0"/>
        <w:rPr>
          <w:b/>
          <w:sz w:val="22"/>
        </w:rPr>
      </w:pPr>
      <w:r>
        <w:rPr>
          <w:b/>
          <w:sz w:val="22"/>
        </w:rPr>
      </w:r>
    </w:p>
    <w:p>
      <w:pPr>
        <w:pStyle w:val="A0n"/>
        <w:numPr>
          <w:ilvl w:val="0"/>
          <w:numId w:val="0"/>
        </w:numPr>
        <w:spacing w:before="0" w:after="0"/>
        <w:ind w:hanging="0" w:start="707" w:end="720"/>
        <w:jc w:val="center"/>
        <w:rPr/>
      </w:pPr>
      <w:r>
        <w:rPr/>
        <w:t>ENA North America Corp.</w:t>
      </w:r>
    </w:p>
    <w:p>
      <w:pPr>
        <w:pStyle w:val="A0n"/>
        <w:numPr>
          <w:ilvl w:val="0"/>
          <w:numId w:val="0"/>
        </w:numPr>
        <w:spacing w:before="0" w:after="0"/>
        <w:ind w:hanging="0" w:start="707" w:end="720"/>
        <w:jc w:val="center"/>
        <w:rPr/>
      </w:pPr>
      <w:r>
        <w:rPr/>
        <w:t>1400 Smith Street – EB 3144c</w:t>
      </w:r>
    </w:p>
    <w:p>
      <w:pPr>
        <w:pStyle w:val="A0n"/>
        <w:numPr>
          <w:ilvl w:val="0"/>
          <w:numId w:val="0"/>
        </w:numPr>
        <w:spacing w:before="0" w:after="0"/>
        <w:ind w:hanging="0" w:start="707" w:end="720"/>
        <w:jc w:val="center"/>
        <w:rPr/>
      </w:pPr>
      <w:r>
        <w:rPr/>
        <w:t>Houston, TX 77002</w:t>
      </w:r>
    </w:p>
    <w:p>
      <w:pPr>
        <w:pStyle w:val="A0n"/>
        <w:numPr>
          <w:ilvl w:val="0"/>
          <w:numId w:val="0"/>
        </w:numPr>
        <w:spacing w:before="0" w:after="0"/>
        <w:ind w:hanging="0" w:start="707" w:end="720"/>
        <w:jc w:val="center"/>
        <w:rPr/>
      </w:pPr>
      <w:r>
        <w:rPr/>
        <w:t>Attn: Stuart Zisman</w:t>
      </w:r>
    </w:p>
    <w:p>
      <w:pPr>
        <w:pStyle w:val="A0n"/>
        <w:numPr>
          <w:ilvl w:val="0"/>
          <w:numId w:val="0"/>
        </w:numPr>
        <w:spacing w:before="0" w:after="0"/>
        <w:ind w:hanging="0" w:start="707" w:end="720"/>
        <w:jc w:val="center"/>
        <w:rPr/>
      </w:pPr>
      <w:r>
        <w:rPr/>
        <w:t>Facsimile: (713) 646-3059</w:t>
      </w:r>
      <w:r>
        <w:br w:type="page"/>
      </w:r>
    </w:p>
    <w:p>
      <w:pPr>
        <w:pStyle w:val="HdLet0"/>
        <w:rPr/>
      </w:pPr>
      <w:r>
        <w:rPr/>
        <w:t>F.</w:t>
        <w:tab/>
        <w:t>Round II Bidding Instructions</w:t>
      </w:r>
    </w:p>
    <w:p>
      <w:pPr>
        <w:pStyle w:val="A0"/>
        <w:rPr/>
      </w:pPr>
      <w:r>
        <w:rPr/>
        <w:t>Selected Prospective Purchasers should prepare Round II Proposals incorporating the following information:</w:t>
      </w:r>
    </w:p>
    <w:p>
      <w:pPr>
        <w:pStyle w:val="A0n"/>
        <w:numPr>
          <w:ilvl w:val="0"/>
          <w:numId w:val="75"/>
        </w:numPr>
        <w:ind w:start="2160" w:end="720"/>
        <w:rPr/>
      </w:pPr>
      <w:r>
        <w:rPr/>
        <w:t>A binding purchase proposal including confirmation of the consideration to be paid.</w:t>
      </w:r>
    </w:p>
    <w:p>
      <w:pPr>
        <w:pStyle w:val="A0n"/>
        <w:numPr>
          <w:ilvl w:val="0"/>
          <w:numId w:val="73"/>
        </w:numPr>
        <w:ind w:hanging="360" w:start="2160" w:end="720"/>
        <w:rPr/>
      </w:pPr>
      <w:r>
        <w:rPr/>
        <w:t xml:space="preserve">A mark-up of the key transaction documents, drafts of which will be provided to Prospective Purchasers at the close of Round I. </w:t>
      </w:r>
    </w:p>
    <w:p>
      <w:pPr>
        <w:pStyle w:val="A0n"/>
        <w:numPr>
          <w:ilvl w:val="0"/>
          <w:numId w:val="44"/>
        </w:numPr>
        <w:ind w:start="2160" w:end="720"/>
        <w:rPr/>
      </w:pPr>
      <w:r>
        <w:rPr/>
        <w:t>Confirmation that all required due diligence activities have been completed.</w:t>
      </w:r>
    </w:p>
    <w:p>
      <w:pPr>
        <w:pStyle w:val="A0n"/>
        <w:numPr>
          <w:ilvl w:val="0"/>
          <w:numId w:val="44"/>
        </w:numPr>
        <w:ind w:start="2160" w:end="720"/>
        <w:rPr/>
      </w:pPr>
      <w:r>
        <w:rPr/>
        <w:t>Confirmation that the Prospective Purchaser’s internal approvals have been obtained.</w:t>
      </w:r>
    </w:p>
    <w:p>
      <w:pPr>
        <w:pStyle w:val="A0"/>
        <w:rPr/>
      </w:pPr>
      <w:r>
        <w:rPr/>
        <w:t>ENA’s final selection of purchaser(s) will be based, in part, on the economics, the extent to which changes to documents are requested, and various other matters. ENA reserves the right, in its sole discretion, to reject any proposal for any reason or no reason.</w:t>
      </w:r>
    </w:p>
    <w:p>
      <w:pPr>
        <w:pStyle w:val="HdLet0"/>
        <w:rPr/>
      </w:pPr>
      <w:r>
        <w:rPr/>
        <w:t>G.</w:t>
        <w:tab/>
        <w:t>Communication</w:t>
      </w:r>
    </w:p>
    <w:p>
      <w:pPr>
        <w:pStyle w:val="A0"/>
        <w:keepLines/>
        <w:rPr/>
      </w:pPr>
      <w:r>
        <w:rPr/>
        <w:t>Questions or requests for additional information should be directed, preferably in writing by fax, to one of the following representatives:</w:t>
      </w:r>
    </w:p>
    <w:p>
      <w:pPr>
        <w:pStyle w:val="A0"/>
        <w:keepLines/>
        <w:rPr/>
      </w:pPr>
      <w:r>
        <w:rPr/>
      </w:r>
    </w:p>
    <w:tbl>
      <w:tblPr>
        <w:tblW w:w="7380" w:type="dxa"/>
        <w:jc w:val="center"/>
        <w:tblInd w:w="0" w:type="dxa"/>
        <w:tblLayout w:type="fixed"/>
        <w:tblCellMar>
          <w:top w:w="0" w:type="dxa"/>
          <w:start w:w="108" w:type="dxa"/>
          <w:bottom w:w="0" w:type="dxa"/>
          <w:end w:w="108" w:type="dxa"/>
        </w:tblCellMar>
      </w:tblPr>
      <w:tblGrid>
        <w:gridCol w:w="3690"/>
        <w:gridCol w:w="3690"/>
      </w:tblGrid>
      <w:tr>
        <w:trPr/>
        <w:tc>
          <w:tcPr>
            <w:tcW w:w="3690" w:type="dxa"/>
            <w:tcBorders/>
          </w:tcPr>
          <w:p>
            <w:pPr>
              <w:pStyle w:val="Normal"/>
              <w:keepNext w:val="true"/>
              <w:keepLines/>
              <w:spacing w:before="120" w:after="20"/>
              <w:jc w:val="center"/>
              <w:rPr/>
            </w:pPr>
            <w:r>
              <w:rPr/>
              <w:t>Mr. L. Don Miller</w:t>
            </w:r>
          </w:p>
        </w:tc>
        <w:tc>
          <w:tcPr>
            <w:tcW w:w="3690" w:type="dxa"/>
            <w:tcBorders/>
          </w:tcPr>
          <w:p>
            <w:pPr>
              <w:pStyle w:val="Normal"/>
              <w:keepNext w:val="true"/>
              <w:keepLines/>
              <w:spacing w:before="120" w:after="20"/>
              <w:jc w:val="center"/>
              <w:rPr/>
            </w:pPr>
            <w:r>
              <w:rPr/>
              <w:t>Mr. Stuart R. Zisman</w:t>
            </w:r>
          </w:p>
        </w:tc>
      </w:tr>
      <w:tr>
        <w:trPr/>
        <w:tc>
          <w:tcPr>
            <w:tcW w:w="3690" w:type="dxa"/>
            <w:tcBorders/>
          </w:tcPr>
          <w:p>
            <w:pPr>
              <w:pStyle w:val="Normal"/>
              <w:keepNext w:val="true"/>
              <w:keepLines/>
              <w:spacing w:before="0" w:after="20"/>
              <w:jc w:val="center"/>
              <w:rPr/>
            </w:pPr>
            <w:r>
              <w:rPr/>
              <w:t>Tel:  713-853-0492</w:t>
            </w:r>
          </w:p>
        </w:tc>
        <w:tc>
          <w:tcPr>
            <w:tcW w:w="3690" w:type="dxa"/>
            <w:tcBorders/>
          </w:tcPr>
          <w:p>
            <w:pPr>
              <w:pStyle w:val="Normal"/>
              <w:keepNext w:val="true"/>
              <w:keepLines/>
              <w:spacing w:before="0" w:after="20"/>
              <w:jc w:val="center"/>
              <w:rPr/>
            </w:pPr>
            <w:r>
              <w:rPr/>
              <w:t>Tel:  713-853-7493</w:t>
            </w:r>
          </w:p>
        </w:tc>
      </w:tr>
      <w:tr>
        <w:trPr/>
        <w:tc>
          <w:tcPr>
            <w:tcW w:w="3690" w:type="dxa"/>
            <w:tcBorders/>
          </w:tcPr>
          <w:p>
            <w:pPr>
              <w:pStyle w:val="Normal"/>
              <w:keepNext w:val="true"/>
              <w:keepLines/>
              <w:spacing w:before="0" w:after="20"/>
              <w:jc w:val="center"/>
              <w:rPr/>
            </w:pPr>
            <w:r>
              <w:rPr/>
              <w:t>Fax:  713-646-3059</w:t>
            </w:r>
          </w:p>
        </w:tc>
        <w:tc>
          <w:tcPr>
            <w:tcW w:w="3690" w:type="dxa"/>
            <w:tcBorders/>
          </w:tcPr>
          <w:p>
            <w:pPr>
              <w:pStyle w:val="Normal"/>
              <w:keepNext w:val="true"/>
              <w:keepLines/>
              <w:spacing w:before="0" w:after="20"/>
              <w:jc w:val="center"/>
              <w:rPr/>
            </w:pPr>
            <w:r>
              <w:rPr/>
              <w:t>Fax:  713-646-3059</w:t>
            </w:r>
          </w:p>
        </w:tc>
      </w:tr>
    </w:tbl>
    <w:p>
      <w:pPr>
        <w:pStyle w:val="Normal"/>
        <w:rPr/>
      </w:pPr>
      <w:r>
        <w:rPr/>
      </w:r>
    </w:p>
    <w:p>
      <w:pPr>
        <w:pStyle w:val="Normal"/>
        <w:rPr/>
      </w:pPr>
      <w:r>
        <w:rPr/>
      </w:r>
    </w:p>
    <w:p>
      <w:pPr>
        <w:pStyle w:val="Sec0"/>
        <w:spacing w:before="240" w:after="240"/>
        <w:rPr>
          <w:b w:val="false"/>
          <w:sz w:val="24"/>
        </w:rPr>
      </w:pPr>
      <w:r>
        <w:rPr/>
        <w:t>Key Investment Merits</w:t>
      </w:r>
    </w:p>
    <w:p>
      <w:pPr>
        <w:pStyle w:val="HdLet0"/>
        <w:numPr>
          <w:ilvl w:val="0"/>
          <w:numId w:val="72"/>
        </w:numPr>
        <w:rPr>
          <w:b w:val="false"/>
        </w:rPr>
      </w:pPr>
      <w:r>
        <w:rPr>
          <w:b w:val="false"/>
        </w:rPr>
        <w:t>[Ben Jacoby to provide]</w:t>
      </w:r>
    </w:p>
    <w:p>
      <w:pPr>
        <w:pStyle w:val="HdLet0"/>
        <w:numPr>
          <w:ilvl w:val="0"/>
          <w:numId w:val="72"/>
        </w:numPr>
        <w:ind w:hanging="360"/>
        <w:rPr>
          <w:b w:val="false"/>
        </w:rPr>
      </w:pPr>
      <w:r>
        <w:rPr>
          <w:b w:val="false"/>
        </w:rPr>
      </w:r>
    </w:p>
    <w:p>
      <w:pPr>
        <w:pStyle w:val="HdLet0"/>
        <w:rPr>
          <w:b w:val="false"/>
        </w:rPr>
      </w:pPr>
      <w:r>
        <w:rPr>
          <w:b w:val="false"/>
        </w:rPr>
      </w:r>
    </w:p>
    <w:p>
      <w:pPr>
        <w:pStyle w:val="Sec0"/>
        <w:spacing w:before="240" w:after="120"/>
        <w:rPr/>
      </w:pPr>
      <w:r>
        <w:rPr/>
        <w:t>Project Overviews</w:t>
      </w:r>
    </w:p>
    <w:p>
      <w:pPr>
        <w:pStyle w:val="HdLet0"/>
        <w:keepNext w:val="false"/>
        <w:numPr>
          <w:ilvl w:val="0"/>
          <w:numId w:val="15"/>
        </w:numPr>
        <w:spacing w:before="240" w:after="120"/>
        <w:rPr/>
      </w:pPr>
      <w:r>
        <w:rPr/>
        <w:t>Location of the Plants</w:t>
      </w:r>
    </w:p>
    <w:p>
      <w:pPr>
        <w:pStyle w:val="Normal"/>
        <w:widowControl w:val="false"/>
        <w:ind w:start="1210" w:end="0"/>
        <w:rPr/>
      </w:pPr>
      <w:r>
        <w:rPr/>
        <w:drawing>
          <wp:inline distT="0" distB="0" distL="0" distR="0">
            <wp:extent cx="4955540" cy="6826885"/>
            <wp:effectExtent l="0" t="0" r="0" b="0"/>
            <wp:docPr id="17"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descr="" title=""/>
                    <pic:cNvPicPr>
                      <a:picLocks noChangeAspect="1" noChangeArrowheads="1"/>
                    </pic:cNvPicPr>
                  </pic:nvPicPr>
                  <pic:blipFill>
                    <a:blip r:embed="rId7"/>
                    <a:srcRect l="-4" t="-3" r="-4" b="-3"/>
                    <a:stretch>
                      <a:fillRect/>
                    </a:stretch>
                  </pic:blipFill>
                  <pic:spPr bwMode="auto">
                    <a:xfrm>
                      <a:off x="0" y="0"/>
                      <a:ext cx="4955540" cy="6826885"/>
                    </a:xfrm>
                    <a:prstGeom prst="rect">
                      <a:avLst/>
                    </a:prstGeom>
                    <a:noFill/>
                  </pic:spPr>
                </pic:pic>
              </a:graphicData>
            </a:graphic>
          </wp:inline>
        </w:drawing>
      </w:r>
      <w:r>
        <w:br w:type="page"/>
      </w:r>
    </w:p>
    <w:p>
      <w:pPr>
        <w:pStyle w:val="HdLet0"/>
        <w:spacing w:before="240" w:after="120"/>
        <w:rPr/>
      </w:pPr>
      <w:r>
        <w:rPr/>
        <w:t>B.</w:t>
        <w:tab/>
        <w:t>Operating Information</w:t>
      </w:r>
    </w:p>
    <w:p>
      <w:pPr>
        <w:pStyle w:val="Ttm0"/>
        <w:rPr/>
      </w:pPr>
      <w:r>
        <w:rPr/>
        <w:t>Summary of Key Data</w:t>
      </w:r>
    </w:p>
    <w:tbl>
      <w:tblPr>
        <w:tblW w:w="8365" w:type="dxa"/>
        <w:jc w:val="start"/>
        <w:tblInd w:w="1432" w:type="dxa"/>
        <w:tblLayout w:type="fixed"/>
        <w:tblCellMar>
          <w:top w:w="0" w:type="dxa"/>
          <w:start w:w="0" w:type="dxa"/>
          <w:bottom w:w="0" w:type="dxa"/>
          <w:end w:w="0" w:type="dxa"/>
        </w:tblCellMar>
      </w:tblPr>
      <w:tblGrid>
        <w:gridCol w:w="3012"/>
        <w:gridCol w:w="2626"/>
        <w:gridCol w:w="2727"/>
      </w:tblGrid>
      <w:tr>
        <w:trPr/>
        <w:tc>
          <w:tcPr>
            <w:tcW w:w="3012" w:type="dxa"/>
            <w:tcBorders>
              <w:top w:val="single" w:sz="18" w:space="0" w:color="000000"/>
              <w:bottom w:val="single" w:sz="6" w:space="0" w:color="000000"/>
            </w:tcBorders>
            <w:vAlign w:val="bottom"/>
          </w:tcPr>
          <w:p>
            <w:pPr>
              <w:pStyle w:val="TableHeadings"/>
              <w:keepNext w:val="true"/>
              <w:snapToGrid w:val="false"/>
              <w:spacing w:before="36" w:after="36"/>
              <w:rPr>
                <w:sz w:val="14"/>
              </w:rPr>
            </w:pPr>
            <w:r>
              <w:rPr>
                <w:sz w:val="14"/>
              </w:rPr>
            </w:r>
          </w:p>
        </w:tc>
        <w:tc>
          <w:tcPr>
            <w:tcW w:w="2626" w:type="dxa"/>
            <w:tcBorders>
              <w:top w:val="single" w:sz="18" w:space="0" w:color="000000"/>
              <w:bottom w:val="single" w:sz="6" w:space="0" w:color="000000"/>
            </w:tcBorders>
          </w:tcPr>
          <w:p>
            <w:pPr>
              <w:pStyle w:val="TableHeadings"/>
              <w:keepNext w:val="true"/>
              <w:spacing w:before="36" w:after="36"/>
              <w:rPr>
                <w:sz w:val="14"/>
              </w:rPr>
            </w:pPr>
            <w:r>
              <w:rPr>
                <w:sz w:val="14"/>
              </w:rPr>
              <w:t>Midway</w:t>
            </w:r>
          </w:p>
        </w:tc>
        <w:tc>
          <w:tcPr>
            <w:tcW w:w="2727" w:type="dxa"/>
            <w:tcBorders>
              <w:top w:val="single" w:sz="18" w:space="0" w:color="000000"/>
              <w:bottom w:val="single" w:sz="6" w:space="0" w:color="000000"/>
            </w:tcBorders>
            <w:vAlign w:val="bottom"/>
          </w:tcPr>
          <w:p>
            <w:pPr>
              <w:pStyle w:val="TableHeadings"/>
              <w:keepNext w:val="true"/>
              <w:spacing w:before="36" w:after="36"/>
              <w:rPr>
                <w:sz w:val="14"/>
              </w:rPr>
            </w:pPr>
            <w:r>
              <w:rPr>
                <w:sz w:val="14"/>
              </w:rPr>
              <w:t>fort pierce</w:t>
            </w:r>
          </w:p>
        </w:tc>
      </w:tr>
      <w:tr>
        <w:trPr/>
        <w:tc>
          <w:tcPr>
            <w:tcW w:w="3012" w:type="dxa"/>
            <w:tcBorders/>
          </w:tcPr>
          <w:p>
            <w:pPr>
              <w:pStyle w:val="Normal"/>
              <w:spacing w:before="216" w:after="36"/>
              <w:rPr>
                <w:sz w:val="16"/>
              </w:rPr>
            </w:pPr>
            <w:r>
              <w:rPr>
                <w:sz w:val="16"/>
              </w:rPr>
              <w:t>Region</w:t>
            </w:r>
          </w:p>
        </w:tc>
        <w:tc>
          <w:tcPr>
            <w:tcW w:w="2626" w:type="dxa"/>
            <w:tcBorders/>
          </w:tcPr>
          <w:p>
            <w:pPr>
              <w:pStyle w:val="Normal"/>
              <w:spacing w:before="216" w:after="36"/>
              <w:jc w:val="center"/>
              <w:rPr>
                <w:sz w:val="16"/>
              </w:rPr>
            </w:pPr>
            <w:r>
              <w:rPr>
                <w:sz w:val="16"/>
              </w:rPr>
              <w:t>FRCC</w:t>
            </w:r>
          </w:p>
        </w:tc>
        <w:tc>
          <w:tcPr>
            <w:tcW w:w="2727" w:type="dxa"/>
            <w:tcBorders/>
          </w:tcPr>
          <w:p>
            <w:pPr>
              <w:pStyle w:val="Normal"/>
              <w:spacing w:before="216" w:after="36"/>
              <w:jc w:val="center"/>
              <w:rPr>
                <w:sz w:val="16"/>
              </w:rPr>
            </w:pPr>
            <w:r>
              <w:rPr>
                <w:sz w:val="16"/>
              </w:rPr>
              <w:t>SERC</w:t>
            </w:r>
          </w:p>
        </w:tc>
      </w:tr>
      <w:tr>
        <w:trPr/>
        <w:tc>
          <w:tcPr>
            <w:tcW w:w="3012" w:type="dxa"/>
            <w:tcBorders/>
          </w:tcPr>
          <w:p>
            <w:pPr>
              <w:pStyle w:val="Normal"/>
              <w:spacing w:before="36" w:after="36"/>
              <w:rPr>
                <w:sz w:val="16"/>
              </w:rPr>
            </w:pPr>
            <w:r>
              <w:rPr>
                <w:sz w:val="16"/>
              </w:rPr>
              <w:t>Interconnected Area</w:t>
            </w:r>
          </w:p>
        </w:tc>
        <w:tc>
          <w:tcPr>
            <w:tcW w:w="2626" w:type="dxa"/>
            <w:tcBorders/>
          </w:tcPr>
          <w:p>
            <w:pPr>
              <w:pStyle w:val="Normal"/>
              <w:snapToGrid w:val="false"/>
              <w:spacing w:before="36" w:after="36"/>
              <w:jc w:val="center"/>
              <w:rPr>
                <w:sz w:val="16"/>
              </w:rPr>
            </w:pPr>
            <w:r>
              <w:rPr>
                <w:sz w:val="16"/>
              </w:rPr>
            </w:r>
          </w:p>
        </w:tc>
        <w:tc>
          <w:tcPr>
            <w:tcW w:w="2727" w:type="dxa"/>
            <w:tcBorders/>
          </w:tcPr>
          <w:p>
            <w:pPr>
              <w:pStyle w:val="Normal"/>
              <w:snapToGrid w:val="false"/>
              <w:spacing w:before="36" w:after="36"/>
              <w:jc w:val="center"/>
              <w:rPr>
                <w:sz w:val="16"/>
              </w:rPr>
            </w:pPr>
            <w:r>
              <w:rPr>
                <w:sz w:val="16"/>
              </w:rPr>
            </w:r>
          </w:p>
        </w:tc>
      </w:tr>
      <w:tr>
        <w:trPr/>
        <w:tc>
          <w:tcPr>
            <w:tcW w:w="3012" w:type="dxa"/>
            <w:tcBorders/>
          </w:tcPr>
          <w:p>
            <w:pPr>
              <w:pStyle w:val="FootnoteText"/>
              <w:spacing w:lineRule="auto" w:line="240" w:before="36" w:after="36"/>
              <w:rPr>
                <w:rFonts w:ascii="Arial" w:hAnsi="Arial" w:cs="Arial"/>
                <w:kern w:val="0"/>
              </w:rPr>
            </w:pPr>
            <w:r>
              <w:rPr>
                <w:rFonts w:cs="Arial" w:ascii="Arial" w:hAnsi="Arial"/>
                <w:kern w:val="0"/>
              </w:rPr>
              <w:t>Boiler No./Type</w:t>
            </w:r>
          </w:p>
        </w:tc>
        <w:tc>
          <w:tcPr>
            <w:tcW w:w="2626" w:type="dxa"/>
            <w:tcBorders/>
          </w:tcPr>
          <w:p>
            <w:pPr>
              <w:pStyle w:val="Normal"/>
              <w:keepNext w:val="true"/>
              <w:keepLines/>
              <w:snapToGrid w:val="false"/>
              <w:spacing w:before="120" w:after="36"/>
              <w:ind w:start="50" w:end="0"/>
              <w:rPr>
                <w:rFonts w:ascii="Arial" w:hAnsi="Arial" w:cs="Arial"/>
                <w:kern w:val="0"/>
                <w:sz w:val="16"/>
              </w:rPr>
            </w:pPr>
            <w:r>
              <w:rPr>
                <w:rFonts w:cs="Arial"/>
                <w:kern w:val="0"/>
                <w:sz w:val="16"/>
              </w:rPr>
            </w:r>
          </w:p>
        </w:tc>
        <w:tc>
          <w:tcPr>
            <w:tcW w:w="2727" w:type="dxa"/>
            <w:tcBorders/>
          </w:tcPr>
          <w:p>
            <w:pPr>
              <w:pStyle w:val="Normal"/>
              <w:keepNext w:val="true"/>
              <w:keepLines/>
              <w:snapToGrid w:val="false"/>
              <w:spacing w:before="120" w:after="36"/>
              <w:ind w:start="50" w:end="0"/>
              <w:rPr>
                <w:sz w:val="16"/>
              </w:rPr>
            </w:pPr>
            <w:r>
              <w:rPr>
                <w:sz w:val="16"/>
              </w:rPr>
            </w:r>
          </w:p>
        </w:tc>
      </w:tr>
      <w:tr>
        <w:trPr>
          <w:trHeight w:val="187" w:hRule="atLeast"/>
        </w:trPr>
        <w:tc>
          <w:tcPr>
            <w:tcW w:w="3012" w:type="dxa"/>
            <w:tcBorders/>
            <w:vAlign w:val="bottom"/>
          </w:tcPr>
          <w:p>
            <w:pPr>
              <w:pStyle w:val="FootnoteText"/>
              <w:spacing w:lineRule="auto" w:line="240" w:before="36" w:after="36"/>
              <w:rPr>
                <w:rFonts w:ascii="Arial" w:hAnsi="Arial" w:cs="Arial"/>
                <w:kern w:val="0"/>
              </w:rPr>
            </w:pPr>
            <w:r>
              <w:rPr>
                <w:rFonts w:cs="Arial" w:ascii="Arial" w:hAnsi="Arial"/>
                <w:kern w:val="0"/>
              </w:rPr>
              <w:t>Turbine No./Type</w:t>
            </w:r>
          </w:p>
        </w:tc>
        <w:tc>
          <w:tcPr>
            <w:tcW w:w="2626" w:type="dxa"/>
            <w:tcBorders/>
            <w:vAlign w:val="bottom"/>
          </w:tcPr>
          <w:p>
            <w:pPr>
              <w:pStyle w:val="Normal"/>
              <w:keepNext w:val="true"/>
              <w:keepLines/>
              <w:snapToGrid w:val="false"/>
              <w:spacing w:before="120" w:after="36"/>
              <w:ind w:start="50" w:end="0"/>
              <w:rPr>
                <w:rFonts w:ascii="Arial" w:hAnsi="Arial" w:cs="Arial"/>
                <w:kern w:val="0"/>
                <w:sz w:val="16"/>
              </w:rPr>
            </w:pPr>
            <w:r>
              <w:rPr>
                <w:rFonts w:cs="Arial"/>
                <w:kern w:val="0"/>
                <w:sz w:val="16"/>
              </w:rPr>
            </w:r>
          </w:p>
        </w:tc>
        <w:tc>
          <w:tcPr>
            <w:tcW w:w="2727" w:type="dxa"/>
            <w:tcBorders/>
            <w:vAlign w:val="bottom"/>
          </w:tcPr>
          <w:p>
            <w:pPr>
              <w:pStyle w:val="Normal"/>
              <w:keepNext w:val="true"/>
              <w:keepLines/>
              <w:snapToGrid w:val="false"/>
              <w:spacing w:before="120" w:after="36"/>
              <w:ind w:start="50" w:end="0"/>
              <w:rPr>
                <w:sz w:val="16"/>
              </w:rPr>
            </w:pPr>
            <w:r>
              <w:rPr>
                <w:sz w:val="16"/>
              </w:rPr>
            </w:r>
          </w:p>
        </w:tc>
      </w:tr>
      <w:tr>
        <w:trPr/>
        <w:tc>
          <w:tcPr>
            <w:tcW w:w="3012" w:type="dxa"/>
            <w:tcBorders/>
          </w:tcPr>
          <w:p>
            <w:pPr>
              <w:pStyle w:val="Normal"/>
              <w:spacing w:before="36" w:after="36"/>
              <w:rPr/>
            </w:pPr>
            <w:r>
              <w:rPr>
                <w:sz w:val="16"/>
              </w:rPr>
              <w:t>NO</w:t>
            </w:r>
            <w:r>
              <w:rPr>
                <w:rFonts w:cs="Helvetica" w:ascii="Helvetica" w:hAnsi="Helvetica"/>
                <w:sz w:val="16"/>
                <w:vertAlign w:val="subscript"/>
              </w:rPr>
              <w:t>x</w:t>
            </w:r>
            <w:r>
              <w:rPr>
                <w:sz w:val="16"/>
              </w:rPr>
              <w:t xml:space="preserve"> Level Allowed (lb/mmBtu, PSD Permit)</w:t>
            </w:r>
          </w:p>
        </w:tc>
        <w:tc>
          <w:tcPr>
            <w:tcW w:w="2626" w:type="dxa"/>
            <w:tcBorders/>
          </w:tcPr>
          <w:p>
            <w:pPr>
              <w:pStyle w:val="Normal"/>
              <w:snapToGrid w:val="false"/>
              <w:spacing w:before="36" w:after="36"/>
              <w:jc w:val="center"/>
              <w:rPr>
                <w:sz w:val="16"/>
              </w:rPr>
            </w:pPr>
            <w:r>
              <w:rPr>
                <w:sz w:val="16"/>
              </w:rPr>
            </w:r>
          </w:p>
        </w:tc>
        <w:tc>
          <w:tcPr>
            <w:tcW w:w="2727" w:type="dxa"/>
            <w:tcBorders/>
          </w:tcPr>
          <w:p>
            <w:pPr>
              <w:pStyle w:val="Normal"/>
              <w:snapToGrid w:val="false"/>
              <w:spacing w:before="36" w:after="36"/>
              <w:jc w:val="center"/>
              <w:rPr>
                <w:sz w:val="16"/>
              </w:rPr>
            </w:pPr>
            <w:r>
              <w:rPr>
                <w:sz w:val="16"/>
              </w:rPr>
            </w:r>
          </w:p>
        </w:tc>
      </w:tr>
      <w:tr>
        <w:trPr/>
        <w:tc>
          <w:tcPr>
            <w:tcW w:w="3012" w:type="dxa"/>
            <w:tcBorders/>
          </w:tcPr>
          <w:p>
            <w:pPr>
              <w:pStyle w:val="Normal"/>
              <w:spacing w:before="36" w:after="36"/>
              <w:rPr/>
            </w:pPr>
            <w:r>
              <w:rPr>
                <w:sz w:val="16"/>
              </w:rPr>
              <w:t>NO</w:t>
            </w:r>
            <w:r>
              <w:rPr>
                <w:rFonts w:cs="Helvetica" w:ascii="Helvetica" w:hAnsi="Helvetica"/>
                <w:sz w:val="16"/>
                <w:vertAlign w:val="subscript"/>
              </w:rPr>
              <w:t>x</w:t>
            </w:r>
            <w:r>
              <w:rPr>
                <w:sz w:val="16"/>
              </w:rPr>
              <w:t xml:space="preserve"> Level Produced (lb/mmBtu, Most recent stack test)</w:t>
            </w:r>
          </w:p>
        </w:tc>
        <w:tc>
          <w:tcPr>
            <w:tcW w:w="2626" w:type="dxa"/>
            <w:tcBorders/>
          </w:tcPr>
          <w:p>
            <w:pPr>
              <w:pStyle w:val="Normal"/>
              <w:snapToGrid w:val="false"/>
              <w:spacing w:before="36" w:after="36"/>
              <w:jc w:val="center"/>
              <w:rPr>
                <w:sz w:val="16"/>
              </w:rPr>
            </w:pPr>
            <w:r>
              <w:rPr>
                <w:sz w:val="16"/>
              </w:rPr>
            </w:r>
          </w:p>
        </w:tc>
        <w:tc>
          <w:tcPr>
            <w:tcW w:w="2727" w:type="dxa"/>
            <w:tcBorders/>
          </w:tcPr>
          <w:p>
            <w:pPr>
              <w:pStyle w:val="Normal"/>
              <w:snapToGrid w:val="false"/>
              <w:spacing w:before="36" w:after="36"/>
              <w:jc w:val="center"/>
              <w:rPr>
                <w:sz w:val="16"/>
              </w:rPr>
            </w:pPr>
            <w:r>
              <w:rPr>
                <w:sz w:val="16"/>
              </w:rPr>
            </w:r>
          </w:p>
        </w:tc>
      </w:tr>
      <w:tr>
        <w:trPr/>
        <w:tc>
          <w:tcPr>
            <w:tcW w:w="3012" w:type="dxa"/>
            <w:tcBorders/>
          </w:tcPr>
          <w:p>
            <w:pPr>
              <w:pStyle w:val="Normal"/>
              <w:spacing w:before="36" w:after="36"/>
              <w:rPr/>
            </w:pPr>
            <w:r>
              <w:rPr>
                <w:sz w:val="16"/>
              </w:rPr>
              <w:t>Capacity @ 90</w:t>
            </w:r>
            <w:r>
              <w:rPr>
                <w:sz w:val="16"/>
                <w:vertAlign w:val="superscript"/>
              </w:rPr>
              <w:t>0</w:t>
            </w:r>
            <w:r>
              <w:rPr>
                <w:sz w:val="16"/>
              </w:rPr>
              <w:t xml:space="preserve"> degrees (MW) </w:t>
            </w:r>
          </w:p>
        </w:tc>
        <w:tc>
          <w:tcPr>
            <w:tcW w:w="2626" w:type="dxa"/>
            <w:tcBorders/>
          </w:tcPr>
          <w:p>
            <w:pPr>
              <w:pStyle w:val="Normal"/>
              <w:snapToGrid w:val="false"/>
              <w:spacing w:before="36" w:after="36"/>
              <w:jc w:val="center"/>
              <w:rPr>
                <w:caps/>
                <w:sz w:val="16"/>
              </w:rPr>
            </w:pPr>
            <w:r>
              <w:rPr>
                <w:caps/>
                <w:sz w:val="16"/>
              </w:rPr>
            </w:r>
          </w:p>
        </w:tc>
        <w:tc>
          <w:tcPr>
            <w:tcW w:w="2727" w:type="dxa"/>
            <w:tcBorders/>
          </w:tcPr>
          <w:p>
            <w:pPr>
              <w:pStyle w:val="Normal"/>
              <w:snapToGrid w:val="false"/>
              <w:spacing w:before="36" w:after="36"/>
              <w:jc w:val="center"/>
              <w:rPr>
                <w:caps/>
                <w:sz w:val="16"/>
              </w:rPr>
            </w:pPr>
            <w:r>
              <w:rPr>
                <w:caps/>
                <w:sz w:val="16"/>
              </w:rPr>
            </w:r>
          </w:p>
        </w:tc>
      </w:tr>
      <w:tr>
        <w:trPr/>
        <w:tc>
          <w:tcPr>
            <w:tcW w:w="3012" w:type="dxa"/>
            <w:tcBorders/>
          </w:tcPr>
          <w:p>
            <w:pPr>
              <w:pStyle w:val="Normal"/>
              <w:spacing w:before="36" w:after="36"/>
              <w:rPr/>
            </w:pPr>
            <w:r>
              <w:rPr>
                <w:sz w:val="16"/>
              </w:rPr>
              <w:t>Heat Rate @ 90</w:t>
            </w:r>
            <w:r>
              <w:rPr>
                <w:sz w:val="16"/>
                <w:vertAlign w:val="superscript"/>
              </w:rPr>
              <w:t>0</w:t>
            </w:r>
            <w:r>
              <w:rPr>
                <w:sz w:val="16"/>
              </w:rPr>
              <w:t xml:space="preserve"> (HHV, Btu/kWh) </w:t>
            </w:r>
          </w:p>
        </w:tc>
        <w:tc>
          <w:tcPr>
            <w:tcW w:w="2626" w:type="dxa"/>
            <w:tcBorders/>
          </w:tcPr>
          <w:p>
            <w:pPr>
              <w:pStyle w:val="Tbhd1"/>
              <w:keepNext w:val="false"/>
              <w:snapToGrid w:val="false"/>
              <w:spacing w:lineRule="auto" w:line="240" w:before="36" w:after="36"/>
              <w:rPr>
                <w:sz w:val="16"/>
              </w:rPr>
            </w:pPr>
            <w:r>
              <w:rPr>
                <w:sz w:val="16"/>
              </w:rPr>
            </w:r>
          </w:p>
        </w:tc>
        <w:tc>
          <w:tcPr>
            <w:tcW w:w="2727" w:type="dxa"/>
            <w:tcBorders/>
          </w:tcPr>
          <w:p>
            <w:pPr>
              <w:pStyle w:val="Tbhd1"/>
              <w:keepNext w:val="false"/>
              <w:snapToGrid w:val="false"/>
              <w:spacing w:lineRule="auto" w:line="240" w:before="36" w:after="36"/>
              <w:rPr/>
            </w:pPr>
            <w:r>
              <w:rPr/>
            </w:r>
          </w:p>
        </w:tc>
      </w:tr>
      <w:tr>
        <w:trPr/>
        <w:tc>
          <w:tcPr>
            <w:tcW w:w="3012" w:type="dxa"/>
            <w:tcBorders/>
          </w:tcPr>
          <w:p>
            <w:pPr>
              <w:pStyle w:val="Normal"/>
              <w:spacing w:before="36" w:after="36"/>
              <w:rPr>
                <w:sz w:val="16"/>
              </w:rPr>
            </w:pPr>
            <w:r>
              <w:rPr>
                <w:sz w:val="16"/>
              </w:rPr>
              <w:t>Approximate Maximum Annual MWh</w:t>
            </w:r>
          </w:p>
        </w:tc>
        <w:tc>
          <w:tcPr>
            <w:tcW w:w="2626" w:type="dxa"/>
            <w:tcBorders/>
          </w:tcPr>
          <w:p>
            <w:pPr>
              <w:pStyle w:val="Normal"/>
              <w:snapToGrid w:val="false"/>
              <w:spacing w:before="36" w:after="36"/>
              <w:jc w:val="center"/>
              <w:rPr>
                <w:caps/>
                <w:sz w:val="16"/>
              </w:rPr>
            </w:pPr>
            <w:r>
              <w:rPr>
                <w:caps/>
                <w:sz w:val="16"/>
              </w:rPr>
            </w:r>
          </w:p>
        </w:tc>
        <w:tc>
          <w:tcPr>
            <w:tcW w:w="2727" w:type="dxa"/>
            <w:tcBorders/>
          </w:tcPr>
          <w:p>
            <w:pPr>
              <w:pStyle w:val="Normal"/>
              <w:snapToGrid w:val="false"/>
              <w:spacing w:before="36" w:after="36"/>
              <w:jc w:val="center"/>
              <w:rPr>
                <w:caps/>
                <w:sz w:val="16"/>
              </w:rPr>
            </w:pPr>
            <w:r>
              <w:rPr>
                <w:caps/>
                <w:sz w:val="16"/>
              </w:rPr>
            </w:r>
          </w:p>
        </w:tc>
      </w:tr>
      <w:tr>
        <w:trPr/>
        <w:tc>
          <w:tcPr>
            <w:tcW w:w="3012" w:type="dxa"/>
            <w:tcBorders/>
          </w:tcPr>
          <w:p>
            <w:pPr>
              <w:pStyle w:val="Normal"/>
              <w:spacing w:before="36" w:after="36"/>
              <w:rPr>
                <w:sz w:val="16"/>
              </w:rPr>
            </w:pPr>
            <w:r>
              <w:rPr>
                <w:sz w:val="16"/>
              </w:rPr>
              <w:t xml:space="preserve">Normal Unit Ramp from Warm Boiler to Full Load </w:t>
            </w:r>
          </w:p>
        </w:tc>
        <w:tc>
          <w:tcPr>
            <w:tcW w:w="2626" w:type="dxa"/>
            <w:tcBorders/>
          </w:tcPr>
          <w:p>
            <w:pPr>
              <w:pStyle w:val="Normal"/>
              <w:snapToGrid w:val="false"/>
              <w:spacing w:before="36" w:after="36"/>
              <w:jc w:val="center"/>
              <w:rPr>
                <w:caps/>
                <w:sz w:val="16"/>
              </w:rPr>
            </w:pPr>
            <w:r>
              <w:rPr>
                <w:caps/>
                <w:sz w:val="16"/>
              </w:rPr>
            </w:r>
          </w:p>
        </w:tc>
        <w:tc>
          <w:tcPr>
            <w:tcW w:w="2727" w:type="dxa"/>
            <w:tcBorders/>
          </w:tcPr>
          <w:p>
            <w:pPr>
              <w:pStyle w:val="Normal"/>
              <w:snapToGrid w:val="false"/>
              <w:spacing w:before="36" w:after="36"/>
              <w:jc w:val="center"/>
              <w:rPr>
                <w:caps/>
                <w:sz w:val="16"/>
              </w:rPr>
            </w:pPr>
            <w:r>
              <w:rPr>
                <w:caps/>
                <w:sz w:val="16"/>
              </w:rPr>
            </w:r>
          </w:p>
        </w:tc>
      </w:tr>
      <w:tr>
        <w:trPr/>
        <w:tc>
          <w:tcPr>
            <w:tcW w:w="3012" w:type="dxa"/>
            <w:tcBorders/>
          </w:tcPr>
          <w:p>
            <w:pPr>
              <w:pStyle w:val="Normal"/>
              <w:spacing w:before="216" w:after="36"/>
              <w:rPr>
                <w:b/>
                <w:sz w:val="16"/>
              </w:rPr>
            </w:pPr>
            <w:r>
              <w:rPr>
                <w:b/>
                <w:sz w:val="16"/>
              </w:rPr>
              <w:t>Operating Expenses</w:t>
            </w:r>
          </w:p>
        </w:tc>
        <w:tc>
          <w:tcPr>
            <w:tcW w:w="2626" w:type="dxa"/>
            <w:tcBorders/>
          </w:tcPr>
          <w:p>
            <w:pPr>
              <w:pStyle w:val="Normal"/>
              <w:snapToGrid w:val="false"/>
              <w:spacing w:before="216" w:after="36"/>
              <w:jc w:val="center"/>
              <w:rPr>
                <w:b/>
                <w:sz w:val="16"/>
              </w:rPr>
            </w:pPr>
            <w:r>
              <w:rPr>
                <w:b/>
                <w:sz w:val="16"/>
              </w:rPr>
            </w:r>
          </w:p>
        </w:tc>
        <w:tc>
          <w:tcPr>
            <w:tcW w:w="2727" w:type="dxa"/>
            <w:tcBorders/>
          </w:tcPr>
          <w:p>
            <w:pPr>
              <w:pStyle w:val="Normal"/>
              <w:snapToGrid w:val="false"/>
              <w:spacing w:before="216" w:after="36"/>
              <w:jc w:val="center"/>
              <w:rPr>
                <w:b/>
                <w:sz w:val="16"/>
              </w:rPr>
            </w:pPr>
            <w:r>
              <w:rPr>
                <w:b/>
                <w:sz w:val="16"/>
              </w:rPr>
            </w:r>
          </w:p>
        </w:tc>
      </w:tr>
      <w:tr>
        <w:trPr/>
        <w:tc>
          <w:tcPr>
            <w:tcW w:w="3012" w:type="dxa"/>
            <w:tcBorders/>
          </w:tcPr>
          <w:p>
            <w:pPr>
              <w:pStyle w:val="Normal"/>
              <w:spacing w:before="36" w:after="36"/>
              <w:rPr>
                <w:sz w:val="16"/>
              </w:rPr>
            </w:pPr>
            <w:r>
              <w:rPr>
                <w:sz w:val="16"/>
              </w:rPr>
              <w:t>Estimated Variable O&amp;M ($000)</w:t>
            </w:r>
          </w:p>
        </w:tc>
        <w:tc>
          <w:tcPr>
            <w:tcW w:w="2626" w:type="dxa"/>
            <w:tcBorders/>
          </w:tcPr>
          <w:p>
            <w:pPr>
              <w:pStyle w:val="Normal"/>
              <w:snapToGrid w:val="false"/>
              <w:spacing w:before="36" w:after="36"/>
              <w:jc w:val="center"/>
              <w:rPr>
                <w:caps/>
                <w:sz w:val="16"/>
              </w:rPr>
            </w:pPr>
            <w:r>
              <w:rPr>
                <w:caps/>
                <w:sz w:val="16"/>
              </w:rPr>
            </w:r>
          </w:p>
        </w:tc>
        <w:tc>
          <w:tcPr>
            <w:tcW w:w="2727" w:type="dxa"/>
            <w:tcBorders/>
          </w:tcPr>
          <w:p>
            <w:pPr>
              <w:pStyle w:val="Normal"/>
              <w:snapToGrid w:val="false"/>
              <w:spacing w:before="36" w:after="36"/>
              <w:jc w:val="center"/>
              <w:rPr>
                <w:caps/>
                <w:sz w:val="16"/>
              </w:rPr>
            </w:pPr>
            <w:r>
              <w:rPr>
                <w:caps/>
                <w:sz w:val="16"/>
              </w:rPr>
            </w:r>
          </w:p>
        </w:tc>
      </w:tr>
      <w:tr>
        <w:trPr/>
        <w:tc>
          <w:tcPr>
            <w:tcW w:w="3012" w:type="dxa"/>
            <w:tcBorders/>
          </w:tcPr>
          <w:p>
            <w:pPr>
              <w:pStyle w:val="Normal"/>
              <w:spacing w:before="36" w:after="36"/>
              <w:rPr>
                <w:sz w:val="16"/>
              </w:rPr>
            </w:pPr>
            <w:r>
              <w:rPr>
                <w:sz w:val="16"/>
              </w:rPr>
              <w:t>Estimated Fixed O&amp;M ($000)</w:t>
            </w:r>
          </w:p>
        </w:tc>
        <w:tc>
          <w:tcPr>
            <w:tcW w:w="2626" w:type="dxa"/>
            <w:tcBorders/>
          </w:tcPr>
          <w:p>
            <w:pPr>
              <w:pStyle w:val="Normal"/>
              <w:snapToGrid w:val="false"/>
              <w:spacing w:before="36" w:after="36"/>
              <w:jc w:val="center"/>
              <w:rPr>
                <w:sz w:val="16"/>
              </w:rPr>
            </w:pPr>
            <w:r>
              <w:rPr>
                <w:sz w:val="16"/>
              </w:rPr>
            </w:r>
          </w:p>
        </w:tc>
        <w:tc>
          <w:tcPr>
            <w:tcW w:w="2727" w:type="dxa"/>
            <w:tcBorders/>
          </w:tcPr>
          <w:p>
            <w:pPr>
              <w:pStyle w:val="Normal"/>
              <w:snapToGrid w:val="false"/>
              <w:spacing w:before="36" w:after="36"/>
              <w:jc w:val="center"/>
              <w:rPr>
                <w:sz w:val="16"/>
              </w:rPr>
            </w:pPr>
            <w:r>
              <w:rPr>
                <w:sz w:val="16"/>
              </w:rPr>
            </w:r>
          </w:p>
        </w:tc>
      </w:tr>
      <w:tr>
        <w:trPr/>
        <w:tc>
          <w:tcPr>
            <w:tcW w:w="3012" w:type="dxa"/>
            <w:tcBorders/>
          </w:tcPr>
          <w:p>
            <w:pPr>
              <w:pStyle w:val="Normal"/>
              <w:spacing w:before="36" w:after="36"/>
              <w:rPr>
                <w:sz w:val="16"/>
              </w:rPr>
            </w:pPr>
            <w:r>
              <w:rPr>
                <w:sz w:val="16"/>
              </w:rPr>
              <w:t>Estimated Owner’s Expense ($000)</w:t>
            </w:r>
          </w:p>
        </w:tc>
        <w:tc>
          <w:tcPr>
            <w:tcW w:w="2626" w:type="dxa"/>
            <w:tcBorders/>
          </w:tcPr>
          <w:p>
            <w:pPr>
              <w:pStyle w:val="Normal"/>
              <w:snapToGrid w:val="false"/>
              <w:spacing w:before="36" w:after="36"/>
              <w:jc w:val="center"/>
              <w:rPr>
                <w:caps/>
                <w:sz w:val="16"/>
              </w:rPr>
            </w:pPr>
            <w:r>
              <w:rPr>
                <w:caps/>
                <w:sz w:val="16"/>
              </w:rPr>
            </w:r>
          </w:p>
        </w:tc>
        <w:tc>
          <w:tcPr>
            <w:tcW w:w="2727" w:type="dxa"/>
            <w:tcBorders/>
          </w:tcPr>
          <w:p>
            <w:pPr>
              <w:pStyle w:val="Normal"/>
              <w:snapToGrid w:val="false"/>
              <w:spacing w:before="36" w:after="36"/>
              <w:jc w:val="center"/>
              <w:rPr>
                <w:caps/>
                <w:sz w:val="16"/>
              </w:rPr>
            </w:pPr>
            <w:r>
              <w:rPr>
                <w:caps/>
                <w:sz w:val="16"/>
              </w:rPr>
            </w:r>
          </w:p>
        </w:tc>
      </w:tr>
      <w:tr>
        <w:trPr/>
        <w:tc>
          <w:tcPr>
            <w:tcW w:w="3012" w:type="dxa"/>
            <w:tcBorders/>
          </w:tcPr>
          <w:p>
            <w:pPr>
              <w:pStyle w:val="Normal"/>
              <w:spacing w:before="216" w:after="36"/>
              <w:rPr>
                <w:b/>
                <w:sz w:val="16"/>
              </w:rPr>
            </w:pPr>
            <w:r>
              <w:rPr>
                <w:b/>
                <w:sz w:val="16"/>
              </w:rPr>
              <w:t>Tax Rates</w:t>
            </w:r>
          </w:p>
        </w:tc>
        <w:tc>
          <w:tcPr>
            <w:tcW w:w="2626" w:type="dxa"/>
            <w:tcBorders/>
          </w:tcPr>
          <w:p>
            <w:pPr>
              <w:pStyle w:val="Normal"/>
              <w:snapToGrid w:val="false"/>
              <w:spacing w:before="216" w:after="36"/>
              <w:jc w:val="center"/>
              <w:rPr>
                <w:b/>
                <w:sz w:val="16"/>
              </w:rPr>
            </w:pPr>
            <w:r>
              <w:rPr>
                <w:b/>
                <w:sz w:val="16"/>
              </w:rPr>
            </w:r>
          </w:p>
        </w:tc>
        <w:tc>
          <w:tcPr>
            <w:tcW w:w="2727" w:type="dxa"/>
            <w:tcBorders/>
          </w:tcPr>
          <w:p>
            <w:pPr>
              <w:pStyle w:val="Normal"/>
              <w:snapToGrid w:val="false"/>
              <w:spacing w:before="216" w:after="36"/>
              <w:jc w:val="center"/>
              <w:rPr>
                <w:b/>
                <w:sz w:val="16"/>
              </w:rPr>
            </w:pPr>
            <w:r>
              <w:rPr>
                <w:b/>
                <w:sz w:val="16"/>
              </w:rPr>
            </w:r>
          </w:p>
        </w:tc>
      </w:tr>
      <w:tr>
        <w:trPr/>
        <w:tc>
          <w:tcPr>
            <w:tcW w:w="3012" w:type="dxa"/>
            <w:tcBorders/>
          </w:tcPr>
          <w:p>
            <w:pPr>
              <w:pStyle w:val="Normal"/>
              <w:spacing w:before="36" w:after="36"/>
              <w:rPr>
                <w:sz w:val="16"/>
              </w:rPr>
            </w:pPr>
            <w:r>
              <w:rPr>
                <w:sz w:val="16"/>
              </w:rPr>
              <w:t>State Income Tax Rate</w:t>
            </w:r>
          </w:p>
        </w:tc>
        <w:tc>
          <w:tcPr>
            <w:tcW w:w="2626" w:type="dxa"/>
            <w:tcBorders/>
          </w:tcPr>
          <w:p>
            <w:pPr>
              <w:pStyle w:val="Normal"/>
              <w:snapToGrid w:val="false"/>
              <w:spacing w:before="36" w:after="36"/>
              <w:jc w:val="center"/>
              <w:rPr>
                <w:sz w:val="16"/>
              </w:rPr>
            </w:pPr>
            <w:r>
              <w:rPr>
                <w:sz w:val="16"/>
              </w:rPr>
            </w:r>
          </w:p>
        </w:tc>
        <w:tc>
          <w:tcPr>
            <w:tcW w:w="2727" w:type="dxa"/>
            <w:tcBorders/>
          </w:tcPr>
          <w:p>
            <w:pPr>
              <w:pStyle w:val="Normal"/>
              <w:snapToGrid w:val="false"/>
              <w:spacing w:before="36" w:after="36"/>
              <w:jc w:val="center"/>
              <w:rPr>
                <w:sz w:val="16"/>
              </w:rPr>
            </w:pPr>
            <w:r>
              <w:rPr>
                <w:sz w:val="16"/>
              </w:rPr>
            </w:r>
          </w:p>
        </w:tc>
      </w:tr>
      <w:tr>
        <w:trPr/>
        <w:tc>
          <w:tcPr>
            <w:tcW w:w="3012" w:type="dxa"/>
            <w:tcBorders>
              <w:bottom w:val="single" w:sz="4" w:space="0" w:color="000000"/>
            </w:tcBorders>
          </w:tcPr>
          <w:p>
            <w:pPr>
              <w:pStyle w:val="Normal"/>
              <w:spacing w:before="36" w:after="120"/>
              <w:rPr>
                <w:sz w:val="16"/>
              </w:rPr>
            </w:pPr>
            <w:r>
              <w:rPr>
                <w:sz w:val="16"/>
              </w:rPr>
              <w:t>Franchise Tax Rate</w:t>
            </w:r>
          </w:p>
        </w:tc>
        <w:tc>
          <w:tcPr>
            <w:tcW w:w="2626" w:type="dxa"/>
            <w:tcBorders>
              <w:bottom w:val="single" w:sz="4" w:space="0" w:color="000000"/>
            </w:tcBorders>
          </w:tcPr>
          <w:p>
            <w:pPr>
              <w:pStyle w:val="Normal"/>
              <w:snapToGrid w:val="false"/>
              <w:spacing w:before="36" w:after="120"/>
              <w:jc w:val="center"/>
              <w:rPr>
                <w:sz w:val="16"/>
              </w:rPr>
            </w:pPr>
            <w:r>
              <w:rPr>
                <w:sz w:val="16"/>
              </w:rPr>
            </w:r>
          </w:p>
        </w:tc>
        <w:tc>
          <w:tcPr>
            <w:tcW w:w="2727" w:type="dxa"/>
            <w:tcBorders>
              <w:bottom w:val="single" w:sz="4" w:space="0" w:color="000000"/>
            </w:tcBorders>
          </w:tcPr>
          <w:p>
            <w:pPr>
              <w:pStyle w:val="Normal"/>
              <w:snapToGrid w:val="false"/>
              <w:spacing w:before="36" w:after="120"/>
              <w:jc w:val="center"/>
              <w:rPr>
                <w:sz w:val="16"/>
              </w:rPr>
            </w:pPr>
            <w:r>
              <w:rPr>
                <w:sz w:val="16"/>
              </w:rPr>
            </w:r>
          </w:p>
        </w:tc>
      </w:tr>
    </w:tbl>
    <w:p>
      <w:pPr>
        <w:pStyle w:val="Sub0"/>
        <w:rPr/>
      </w:pPr>
      <w:r>
        <w:rPr/>
        <w:t>Operating Expenses</w:t>
      </w:r>
    </w:p>
    <w:p>
      <w:pPr>
        <w:pStyle w:val="A0b"/>
        <w:numPr>
          <w:ilvl w:val="0"/>
          <w:numId w:val="40"/>
        </w:numPr>
        <w:tabs>
          <w:tab w:val="clear" w:pos="720"/>
          <w:tab w:val="left" w:pos="2121" w:leader="none"/>
        </w:tabs>
        <w:ind w:hanging="321" w:start="2121" w:end="720"/>
        <w:rPr/>
      </w:pPr>
      <w:r>
        <w:rPr>
          <w:b/>
        </w:rPr>
        <w:t>Variable O&amp;M</w:t>
      </w:r>
      <w:r>
        <w:rPr/>
        <w:t>: Includes estimates of water costs, variable maintenance expenditures and other variable O&amp;M expenses.</w:t>
      </w:r>
    </w:p>
    <w:p>
      <w:pPr>
        <w:pStyle w:val="A0b"/>
        <w:numPr>
          <w:ilvl w:val="0"/>
          <w:numId w:val="40"/>
        </w:numPr>
        <w:tabs>
          <w:tab w:val="clear" w:pos="720"/>
          <w:tab w:val="left" w:pos="2121" w:leader="none"/>
        </w:tabs>
        <w:ind w:hanging="321" w:start="2121" w:end="720"/>
        <w:rPr>
          <w:b/>
        </w:rPr>
      </w:pPr>
      <w:r>
        <w:rPr>
          <w:b/>
        </w:rPr>
        <w:t>Fixed O&amp;M:</w:t>
      </w:r>
      <w:r>
        <w:rPr/>
        <w:t xml:space="preserve"> Includes estimates of payroll expenses and other fixed O&amp;M expenses.</w:t>
      </w:r>
    </w:p>
    <w:p>
      <w:pPr>
        <w:pStyle w:val="A0b"/>
        <w:numPr>
          <w:ilvl w:val="0"/>
          <w:numId w:val="40"/>
        </w:numPr>
        <w:tabs>
          <w:tab w:val="clear" w:pos="720"/>
          <w:tab w:val="left" w:pos="2121" w:leader="none"/>
        </w:tabs>
        <w:ind w:hanging="321" w:start="2121" w:end="720"/>
        <w:rPr>
          <w:b/>
        </w:rPr>
      </w:pPr>
      <w:r>
        <w:rPr>
          <w:b/>
        </w:rPr>
        <w:t>Owner’s Expense:</w:t>
      </w:r>
      <w:r>
        <w:rPr/>
        <w:t xml:space="preserve"> Includes estimates of insurance, interconnection fees, and miscellaneous expenses, and property tax liability.</w:t>
      </w:r>
    </w:p>
    <w:p>
      <w:pPr>
        <w:pStyle w:val="A0b"/>
        <w:numPr>
          <w:ilvl w:val="0"/>
          <w:numId w:val="0"/>
        </w:numPr>
        <w:tabs>
          <w:tab w:val="clear" w:pos="720"/>
          <w:tab w:val="left" w:pos="1414" w:leader="none"/>
        </w:tabs>
        <w:spacing w:before="120" w:after="120"/>
        <w:ind w:hanging="0" w:start="1440" w:end="0"/>
        <w:jc w:val="start"/>
        <w:rPr>
          <w:b/>
          <w:sz w:val="24"/>
        </w:rPr>
      </w:pPr>
      <w:r>
        <w:rPr>
          <w:b/>
          <w:sz w:val="24"/>
        </w:rPr>
        <w:t>Tax Rates</w:t>
      </w:r>
    </w:p>
    <w:p>
      <w:pPr>
        <w:pStyle w:val="Normal"/>
        <w:numPr>
          <w:ilvl w:val="0"/>
          <w:numId w:val="17"/>
        </w:numPr>
        <w:tabs>
          <w:tab w:val="clear" w:pos="720"/>
          <w:tab w:val="left" w:pos="2121" w:leader="none"/>
        </w:tabs>
        <w:autoSpaceDE w:val="false"/>
        <w:spacing w:lineRule="atLeast" w:line="240"/>
        <w:ind w:hanging="321" w:start="2121" w:end="0"/>
        <w:rPr>
          <w:color w:val="000000"/>
        </w:rPr>
      </w:pPr>
      <w:r>
        <w:rPr>
          <w:b/>
          <w:color w:val="000000"/>
          <w:sz w:val="24"/>
        </w:rPr>
      </w:r>
    </w:p>
    <w:p>
      <w:pPr>
        <w:pStyle w:val="Normal"/>
        <w:autoSpaceDE w:val="false"/>
        <w:spacing w:lineRule="atLeast" w:line="240"/>
        <w:ind w:start="1440" w:end="0"/>
        <w:rPr>
          <w:color w:val="000000"/>
        </w:rPr>
      </w:pPr>
      <w:r>
        <w:rPr>
          <w:color w:val="000000"/>
        </w:rPr>
      </w:r>
    </w:p>
    <w:p>
      <w:pPr>
        <w:pStyle w:val="HdLet0"/>
        <w:keepLines/>
        <w:spacing w:before="0" w:after="240"/>
        <w:ind w:hanging="707" w:start="1414" w:end="0"/>
        <w:rPr/>
      </w:pPr>
      <w:r>
        <w:rPr/>
        <w:t>C.</w:t>
        <w:tab/>
        <w:t>The Midway Energy Center</w:t>
      </w:r>
      <w:r>
        <w:rPr>
          <w:sz w:val="20"/>
        </w:rPr>
        <w:t xml:space="preserve"> - St. Lucie County, Florida</w:t>
      </w:r>
    </w:p>
    <w:p>
      <w:pPr>
        <w:pStyle w:val="Header"/>
        <w:tabs>
          <w:tab w:val="clear" w:pos="4320"/>
          <w:tab w:val="clear" w:pos="8640"/>
        </w:tabs>
        <w:ind w:start="1440" w:end="720"/>
        <w:rPr>
          <w:bCs/>
          <w:iCs/>
        </w:rPr>
      </w:pPr>
      <w:r>
        <w:rPr>
          <w:bCs/>
          <w:iCs/>
        </w:rPr>
        <w:drawing>
          <wp:inline distT="0" distB="0" distL="0" distR="0">
            <wp:extent cx="5494020" cy="4264660"/>
            <wp:effectExtent l="0" t="0" r="0" b="0"/>
            <wp:docPr id="18"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 descr="" title=""/>
                    <pic:cNvPicPr>
                      <a:picLocks noChangeAspect="1" noChangeArrowheads="1"/>
                    </pic:cNvPicPr>
                  </pic:nvPicPr>
                  <pic:blipFill>
                    <a:blip r:embed="rId8"/>
                    <a:srcRect l="-3" t="-4" r="-3" b="-4"/>
                    <a:stretch>
                      <a:fillRect/>
                    </a:stretch>
                  </pic:blipFill>
                  <pic:spPr bwMode="auto">
                    <a:xfrm>
                      <a:off x="0" y="0"/>
                      <a:ext cx="5494020" cy="4264660"/>
                    </a:xfrm>
                    <a:prstGeom prst="rect">
                      <a:avLst/>
                    </a:prstGeom>
                    <a:noFill/>
                  </pic:spPr>
                </pic:pic>
              </a:graphicData>
            </a:graphic>
          </wp:inline>
        </w:drawing>
      </w:r>
    </w:p>
    <w:p>
      <w:pPr>
        <w:pStyle w:val="Header"/>
        <w:tabs>
          <w:tab w:val="clear" w:pos="4320"/>
          <w:tab w:val="clear" w:pos="8640"/>
        </w:tabs>
        <w:ind w:start="1440" w:end="720"/>
        <w:rPr>
          <w:b/>
          <w:bCs/>
          <w:i/>
          <w:i/>
          <w:iCs/>
        </w:rPr>
      </w:pPr>
      <w:r>
        <w:rPr>
          <w:b/>
          <w:bCs/>
          <w:i/>
          <w:iCs/>
        </w:rPr>
      </w:r>
    </w:p>
    <w:p>
      <w:pPr>
        <w:pStyle w:val="Header"/>
        <w:tabs>
          <w:tab w:val="clear" w:pos="4320"/>
          <w:tab w:val="clear" w:pos="8640"/>
        </w:tabs>
        <w:spacing w:before="240" w:after="120"/>
        <w:ind w:start="1440" w:end="720"/>
        <w:rPr>
          <w:b/>
          <w:i/>
          <w:i/>
          <w:sz w:val="24"/>
        </w:rPr>
      </w:pPr>
      <w:r>
        <w:rPr>
          <w:b/>
          <w:i/>
          <w:sz w:val="24"/>
        </w:rPr>
        <w:t>Overview</w:t>
      </w:r>
    </w:p>
    <w:p>
      <w:pPr>
        <w:pStyle w:val="Header"/>
        <w:tabs>
          <w:tab w:val="clear" w:pos="4320"/>
          <w:tab w:val="clear" w:pos="8640"/>
        </w:tabs>
        <w:spacing w:before="100" w:after="100"/>
        <w:ind w:start="1440" w:end="720"/>
        <w:jc w:val="both"/>
        <w:rPr>
          <w:b/>
        </w:rPr>
      </w:pPr>
      <w:r>
        <w:rPr>
          <w:rFonts w:cs="Arial"/>
          <w:color w:val="000000"/>
        </w:rPr>
        <w:t>The MEC will be a 510 MW natural gas and fuel oil fired, simple-cycle merchant power generation facility using three (3) GE 7FA turbines. All of the development rights associated with the MEC as described herein are owned by MDC. The planned commercial operations date for the MEC is June 1, 2002. The site is being designed to accommodate a future conversion to combined cycle utilizing a 280 MW steam turbine. While GE 7FA combustion turbines are not being offered for sale with the other project assets described below, MEC has secured certain other long lead electrical components necessary to support the planned commercial operations date.</w:t>
      </w:r>
    </w:p>
    <w:p>
      <w:pPr>
        <w:pStyle w:val="Header"/>
        <w:tabs>
          <w:tab w:val="clear" w:pos="4320"/>
          <w:tab w:val="clear" w:pos="8640"/>
        </w:tabs>
        <w:spacing w:before="240" w:after="120"/>
        <w:ind w:start="1440" w:end="720"/>
        <w:rPr>
          <w:b/>
          <w:i/>
          <w:i/>
          <w:sz w:val="24"/>
        </w:rPr>
      </w:pPr>
      <w:r>
        <w:rPr>
          <w:b/>
          <w:i/>
          <w:sz w:val="24"/>
        </w:rPr>
        <w:t>Location</w:t>
      </w:r>
    </w:p>
    <w:p>
      <w:pPr>
        <w:pStyle w:val="Header"/>
        <w:tabs>
          <w:tab w:val="clear" w:pos="4320"/>
          <w:tab w:val="clear" w:pos="8640"/>
        </w:tabs>
        <w:spacing w:before="100" w:after="100"/>
        <w:ind w:start="1440" w:end="720"/>
        <w:rPr>
          <w:rFonts w:cs="Arial"/>
        </w:rPr>
      </w:pPr>
      <w:r>
        <w:rPr>
          <w:rFonts w:cs="Arial"/>
        </w:rPr>
        <w:t xml:space="preserve">The MEC site is comprised of approximately 67 acres, located 1.5 miles northwest of the intersection of US 95 and State Highway 712 (Midway Road) in St. Lucie County, Florida. The site is presently owned by Cooney-Midway Groves (“Cooney”), and was most recently used for citrus production. A purchase option for the site was executed with Cooney in May 2000, with an option term that continues through May 2002. Together with other minor adjacent parcels that will need to be purchased along with the Cooney parcel, the total land cost upon exercise is estimated to be approximately $1.8 million. A site map is included as Exhibit A. </w:t>
      </w:r>
    </w:p>
    <w:p>
      <w:pPr>
        <w:pStyle w:val="Normal"/>
        <w:spacing w:before="240" w:after="120"/>
        <w:ind w:hanging="1440" w:start="2880" w:end="0"/>
        <w:jc w:val="both"/>
        <w:rPr>
          <w:rFonts w:cs="Arial"/>
          <w:b/>
          <w:i/>
          <w:i/>
          <w:iCs/>
          <w:sz w:val="24"/>
        </w:rPr>
      </w:pPr>
      <w:r>
        <w:rPr>
          <w:rFonts w:cs="Arial"/>
          <w:b/>
          <w:i/>
          <w:iCs/>
          <w:sz w:val="24"/>
        </w:rPr>
        <w:t>Florida Power Plant Siting Act and Commencement of Construction</w:t>
      </w:r>
      <w:r>
        <w:rPr>
          <w:b/>
          <w:i/>
          <w:sz w:val="24"/>
        </w:rPr>
        <w:t xml:space="preserve"> </w:t>
      </w:r>
    </w:p>
    <w:p>
      <w:pPr>
        <w:pStyle w:val="Normal"/>
        <w:spacing w:before="100" w:after="100"/>
        <w:ind w:start="1440" w:end="720"/>
        <w:jc w:val="both"/>
        <w:rPr/>
      </w:pPr>
      <w:r>
        <w:rPr>
          <w:rFonts w:cs="Arial"/>
        </w:rPr>
        <w:t>Under Florida law,</w:t>
      </w:r>
      <w:r>
        <w:rPr>
          <w:rFonts w:cs="Arial"/>
          <w:b/>
        </w:rPr>
        <w:t xml:space="preserve"> </w:t>
      </w:r>
      <w:r>
        <w:rPr>
          <w:rFonts w:cs="Arial"/>
        </w:rPr>
        <w:t>MEC may operate a merchant power plant as a simple cycle facility, and should not be subject to the Florida Power Plant Siting Act. MEC has therefore applied for and obtained substantially all the required permits and other approvals necessary for construction and operation directly from the applicable federal, state and local agencies described below. While certain minor administrative approvals are pending (receipt of which is imminent), sufficient approvals have been obtained for MDC to immediately commence site mobilization, clearing, and grading. All permits required for construction are described below.</w:t>
      </w:r>
    </w:p>
    <w:p>
      <w:pPr>
        <w:pStyle w:val="Heading4"/>
        <w:tabs>
          <w:tab w:val="clear" w:pos="720"/>
          <w:tab w:val="left" w:pos="1414" w:leader="none"/>
        </w:tabs>
        <w:spacing w:before="100" w:after="100"/>
        <w:ind w:start="1440" w:end="720"/>
        <w:jc w:val="both"/>
        <w:rPr/>
      </w:pPr>
      <w:r>
        <w:rPr>
          <w:rFonts w:cs="Arial"/>
          <w:bCs/>
          <w:i/>
          <w:iCs/>
          <w:sz w:val="20"/>
        </w:rPr>
        <w:t>A.</w:t>
      </w:r>
      <w:r>
        <w:rPr>
          <w:rFonts w:cs="Arial"/>
          <w:bCs/>
          <w:i/>
          <w:sz w:val="20"/>
        </w:rPr>
        <w:t xml:space="preserve"> </w:t>
      </w:r>
      <w:r>
        <w:rPr>
          <w:rFonts w:cs="Arial"/>
          <w:bCs/>
          <w:i/>
          <w:sz w:val="20"/>
          <w:u w:val="single"/>
        </w:rPr>
        <w:t>Zoning and Site Plan Approval</w:t>
      </w:r>
      <w:r>
        <w:rPr>
          <w:rFonts w:cs="Arial"/>
          <w:bCs/>
          <w:i/>
          <w:sz w:val="20"/>
        </w:rPr>
        <w:t>:</w:t>
      </w:r>
      <w:r>
        <w:rPr>
          <w:rFonts w:cs="Arial"/>
          <w:bCs/>
          <w:sz w:val="20"/>
        </w:rPr>
        <w:t xml:space="preserve"> The St. Lucie County Planning and Zoning Commission recommended approval for both the re-zoning and the site plan on February 15, 2001. The St. Lucie Board of County Commissioners approved both the re-zoning and the final site plan on April 3, 2001. Such approvals remain valid provided that MEC commences construction by April 2003. As part of the re-zoning and site plan approval, MEC committed to the County that it would not seek a tax abatement agreement as a condition to construction. The approved site plan is included as Exhibit B.</w:t>
      </w:r>
    </w:p>
    <w:p>
      <w:pPr>
        <w:pStyle w:val="Heading4"/>
        <w:spacing w:before="100" w:after="100"/>
        <w:ind w:start="1414" w:end="720"/>
        <w:jc w:val="both"/>
        <w:rPr/>
      </w:pPr>
      <w:r>
        <w:rPr>
          <w:rFonts w:cs="Arial"/>
          <w:bCs/>
          <w:i/>
          <w:sz w:val="20"/>
        </w:rPr>
        <w:t xml:space="preserve">B. </w:t>
      </w:r>
      <w:r>
        <w:rPr>
          <w:rFonts w:cs="Arial"/>
          <w:bCs/>
          <w:i/>
          <w:sz w:val="20"/>
          <w:u w:val="single"/>
        </w:rPr>
        <w:t>Air Permit and Estimated Operating Hours</w:t>
      </w:r>
      <w:r>
        <w:rPr>
          <w:rFonts w:cs="Arial"/>
          <w:bCs/>
          <w:i/>
          <w:sz w:val="20"/>
        </w:rPr>
        <w:t>:</w:t>
      </w:r>
      <w:r>
        <w:rPr>
          <w:rFonts w:cs="Arial"/>
          <w:bCs/>
          <w:sz w:val="20"/>
        </w:rPr>
        <w:t xml:space="preserve"> MEC is located in an attainment area for air permitting purposes.  A PSD air permit application for three (3) GE 7FA turbines was submitted to the Florida Department of Environmental Protection (“FDEP”) on November 7, 2000. An air permit was issued on February 14, 2001. </w:t>
      </w:r>
    </w:p>
    <w:p>
      <w:pPr>
        <w:pStyle w:val="Heading4"/>
        <w:spacing w:before="100" w:after="100"/>
        <w:ind w:start="1414" w:end="720"/>
        <w:jc w:val="both"/>
        <w:rPr>
          <w:rFonts w:cs="Arial"/>
          <w:bCs/>
          <w:sz w:val="20"/>
        </w:rPr>
      </w:pPr>
      <w:r>
        <w:rPr>
          <w:rFonts w:cs="Arial"/>
          <w:bCs/>
          <w:sz w:val="20"/>
        </w:rPr>
        <w:t>No comments were received by the FDEP during the public comment period (except for customary comments from the U.S. EPA) and the air permit is now in a final and unappealable form. The air permit allows for 3,500 hours of annual operation at full load per turbine, which includes a maximum of 1,000 hours of annual operation on fuel oil per turbine. This number is reduced to 500 hours of annual operation on fuel oil per turbine after year three as a result of local restrictions. In any year, for every annual operating hour on fuel oil per turbine over 250, total annual operating hours are reduced by two hours.</w:t>
      </w:r>
    </w:p>
    <w:p>
      <w:pPr>
        <w:pStyle w:val="Normal"/>
        <w:tabs>
          <w:tab w:val="clear" w:pos="720"/>
          <w:tab w:val="left" w:pos="2160" w:leader="none"/>
        </w:tabs>
        <w:spacing w:before="100" w:after="100"/>
        <w:ind w:start="1440" w:end="720"/>
        <w:jc w:val="both"/>
        <w:rPr/>
      </w:pPr>
      <w:r>
        <w:rPr>
          <w:rFonts w:cs="Arial"/>
          <w:bCs/>
          <w:i/>
        </w:rPr>
        <w:t xml:space="preserve">C.  </w:t>
      </w:r>
      <w:r>
        <w:rPr>
          <w:rFonts w:cs="Arial"/>
          <w:bCs/>
          <w:i/>
          <w:u w:val="single"/>
        </w:rPr>
        <w:t>Other Pre-Construction Authorizations</w:t>
      </w:r>
      <w:r>
        <w:rPr>
          <w:rFonts w:cs="Arial"/>
          <w:bCs/>
          <w:i/>
        </w:rPr>
        <w:t>:</w:t>
        <w:tab/>
      </w:r>
    </w:p>
    <w:p>
      <w:pPr>
        <w:pStyle w:val="BodyTextIndent2"/>
        <w:tabs>
          <w:tab w:val="clear" w:pos="720"/>
          <w:tab w:val="left" w:pos="2520" w:leader="none"/>
        </w:tabs>
        <w:spacing w:before="100" w:after="100"/>
        <w:ind w:start="1440" w:end="720"/>
        <w:jc w:val="both"/>
        <w:rPr>
          <w:rFonts w:cs="Arial"/>
          <w:bCs/>
        </w:rPr>
      </w:pPr>
      <w:r>
        <w:rPr>
          <w:rFonts w:cs="Arial"/>
          <w:bCs/>
        </w:rPr>
        <w:tab/>
        <w:t>1. Environmental Resource Permit (“ERP”) – In January 2001, MDC submitted its ERP application to the FDEP, and the final ERP was issued in July 2001.</w:t>
      </w:r>
    </w:p>
    <w:p>
      <w:pPr>
        <w:pStyle w:val="Heading9"/>
        <w:tabs>
          <w:tab w:val="clear" w:pos="720"/>
          <w:tab w:val="left" w:pos="2520" w:leader="none"/>
        </w:tabs>
        <w:spacing w:before="100" w:after="100"/>
        <w:ind w:start="1440" w:end="720"/>
        <w:jc w:val="both"/>
        <w:rPr>
          <w:rFonts w:cs="Arial"/>
          <w:b w:val="false"/>
          <w:bCs/>
          <w:sz w:val="20"/>
        </w:rPr>
      </w:pPr>
      <w:r>
        <w:rPr>
          <w:rFonts w:cs="Arial"/>
          <w:b w:val="false"/>
          <w:bCs/>
          <w:sz w:val="20"/>
        </w:rPr>
        <w:tab/>
        <w:t>2. U.S. Army Corps of Engineers Section 404 Permit (“404 Permit”) – MDC submitted its 404 Permit application in January 2001, and the final 404 permit is expected to be issued in early August 2001.</w:t>
      </w:r>
    </w:p>
    <w:p>
      <w:pPr>
        <w:pStyle w:val="Heading9"/>
        <w:spacing w:before="100" w:after="100"/>
        <w:ind w:hanging="0" w:start="1440" w:end="720"/>
        <w:jc w:val="both"/>
        <w:rPr>
          <w:sz w:val="20"/>
        </w:rPr>
      </w:pPr>
      <w:r>
        <w:rPr>
          <w:rFonts w:cs="Arial"/>
          <w:b w:val="false"/>
          <w:bCs/>
          <w:sz w:val="20"/>
        </w:rPr>
        <w:t>3. St. Lucie County Building Permit – MDC has prepared building permit applications based on the approved site plan and intends to submit these to St. Lucie County in early August 2001. It is anticipated that building permits will be issued by late August 2001.</w:t>
      </w:r>
    </w:p>
    <w:p>
      <w:pPr>
        <w:pStyle w:val="Header"/>
        <w:tabs>
          <w:tab w:val="clear" w:pos="4320"/>
          <w:tab w:val="clear" w:pos="8640"/>
        </w:tabs>
        <w:spacing w:before="240" w:after="120"/>
        <w:ind w:start="1440" w:end="0"/>
        <w:rPr>
          <w:i/>
          <w:i/>
          <w:iCs/>
          <w:sz w:val="24"/>
        </w:rPr>
      </w:pPr>
      <w:r>
        <w:rPr>
          <w:rFonts w:cs="Arial"/>
          <w:b/>
          <w:i/>
          <w:iCs/>
          <w:sz w:val="24"/>
        </w:rPr>
        <w:t>Other Environmental</w:t>
      </w:r>
    </w:p>
    <w:p>
      <w:pPr>
        <w:pStyle w:val="Normal"/>
        <w:spacing w:before="100" w:after="100"/>
        <w:ind w:start="1440" w:end="720"/>
        <w:rPr>
          <w:rFonts w:cs="Arial"/>
        </w:rPr>
      </w:pPr>
      <w:r>
        <w:rPr>
          <w:rFonts w:cs="Arial"/>
        </w:rPr>
        <w:t>A Phase I and other environmental studies have been completed for the MEC site, which indicates that the MEC will not impact any endangered species or wetlands.</w:t>
      </w:r>
    </w:p>
    <w:p>
      <w:pPr>
        <w:pStyle w:val="Header"/>
        <w:tabs>
          <w:tab w:val="clear" w:pos="4320"/>
          <w:tab w:val="clear" w:pos="8640"/>
        </w:tabs>
        <w:spacing w:before="240" w:after="120"/>
        <w:ind w:start="1440" w:end="0"/>
        <w:rPr>
          <w:b/>
          <w:bCs/>
          <w:i/>
          <w:i/>
          <w:iCs/>
          <w:sz w:val="24"/>
        </w:rPr>
      </w:pPr>
      <w:r>
        <w:rPr>
          <w:b/>
          <w:bCs/>
          <w:i/>
          <w:iCs/>
          <w:sz w:val="24"/>
        </w:rPr>
        <w:t>EPC Estimate and Construction Schedule</w:t>
      </w:r>
    </w:p>
    <w:p>
      <w:pPr>
        <w:pStyle w:val="Header"/>
        <w:tabs>
          <w:tab w:val="clear" w:pos="4320"/>
          <w:tab w:val="clear" w:pos="8640"/>
        </w:tabs>
        <w:spacing w:before="100" w:after="100"/>
        <w:ind w:start="1440" w:end="720"/>
        <w:jc w:val="both"/>
        <w:rPr/>
      </w:pPr>
      <w:r>
        <w:rPr/>
        <w:t>MDC has prepared preliminary engineering, procurement and construction bids. Estimated construction costs and a construction schedule are included in Exhibit C</w:t>
      </w:r>
      <w:r>
        <w:rPr>
          <w:rFonts w:cs="Arial"/>
        </w:rPr>
        <w:t>.</w:t>
      </w:r>
    </w:p>
    <w:p>
      <w:pPr>
        <w:pStyle w:val="Header"/>
        <w:tabs>
          <w:tab w:val="clear" w:pos="4320"/>
          <w:tab w:val="clear" w:pos="8640"/>
        </w:tabs>
        <w:spacing w:before="240" w:after="120"/>
        <w:ind w:start="1440" w:end="720"/>
        <w:jc w:val="both"/>
        <w:rPr>
          <w:b/>
          <w:i/>
          <w:i/>
          <w:iCs/>
          <w:sz w:val="24"/>
          <w:lang w:val="en-CA" w:eastAsia="en-CA"/>
        </w:rPr>
      </w:pPr>
      <w:r>
        <w:rPr>
          <w:b/>
          <w:i/>
          <w:iCs/>
          <w:sz w:val="24"/>
          <w:lang w:val="en-CA" w:eastAsia="en-CA"/>
        </w:rPr>
        <w:t>Electrical Interconnection</w:t>
      </w:r>
    </w:p>
    <w:p>
      <w:pPr>
        <w:pStyle w:val="Header"/>
        <w:tabs>
          <w:tab w:val="clear" w:pos="4320"/>
          <w:tab w:val="clear" w:pos="8640"/>
        </w:tabs>
        <w:spacing w:before="100" w:after="100"/>
        <w:ind w:start="1440" w:end="720"/>
        <w:jc w:val="both"/>
        <w:rPr>
          <w:b/>
          <w:lang w:val="en-CA" w:eastAsia="en-CA"/>
        </w:rPr>
      </w:pPr>
      <w:r>
        <w:rPr>
          <w:rFonts w:cs="Arial"/>
        </w:rPr>
        <w:t xml:space="preserve">The MEC will be interconnected to Florida Power &amp; Light’s (“FPL”) 500 kV transmission </w:t>
      </w:r>
      <w:r>
        <w:rPr>
          <w:rFonts w:cs="Arial"/>
          <w:color w:val="000000"/>
        </w:rPr>
        <w:t xml:space="preserve">line </w:t>
      </w:r>
      <w:r>
        <w:rPr>
          <w:rFonts w:cs="Arial"/>
        </w:rPr>
        <w:t>that is adjacent to the site. This proposed point of interconnection is approximately 2,000 feet from FPL’s Midway substation. Between April and September 2000, MDC submitted three separate Generation Interconnection Requests (“GIR”) to FPL to accommodate up to 3 GE 7FA combustion turbines operating in simple cycle, plus a 280MW steam turbine for combined cycle operations. As of late July 2001, these GIRs were request numbers 16, 25, and 30 in FPL’s GIR priority queue. MDC has received its Feasibility and Facility Studies, which show that the cost for all network upgrades is estimated to cost $4 million. Any costs associated with such upgrades will qualify for transmission credits under FERC regulations to be used by MDC to offset the costs of transmission service over FPL’s system. MDC has received a proposed form of interconnection agreement from FPL, and is presently negotiating this agreement.</w:t>
      </w:r>
    </w:p>
    <w:p>
      <w:pPr>
        <w:pStyle w:val="Header"/>
        <w:tabs>
          <w:tab w:val="clear" w:pos="4320"/>
          <w:tab w:val="clear" w:pos="8640"/>
        </w:tabs>
        <w:spacing w:before="240" w:after="120"/>
        <w:ind w:start="1440" w:end="720"/>
        <w:jc w:val="both"/>
        <w:rPr>
          <w:b/>
          <w:lang w:val="en-CA" w:eastAsia="en-CA"/>
        </w:rPr>
      </w:pPr>
      <w:r>
        <w:rPr>
          <w:b/>
          <w:i/>
          <w:iCs/>
          <w:sz w:val="24"/>
          <w:lang w:val="en-CA" w:eastAsia="en-CA"/>
        </w:rPr>
        <w:t>Fuel</w:t>
      </w:r>
    </w:p>
    <w:p>
      <w:pPr>
        <w:pStyle w:val="Header"/>
        <w:tabs>
          <w:tab w:val="clear" w:pos="4320"/>
          <w:tab w:val="clear" w:pos="8640"/>
        </w:tabs>
        <w:spacing w:before="100" w:after="100"/>
        <w:ind w:start="1440" w:end="720"/>
        <w:jc w:val="both"/>
        <w:rPr>
          <w:b/>
          <w:lang w:val="en-CA" w:eastAsia="en-CA"/>
        </w:rPr>
      </w:pPr>
      <w:r>
        <w:rPr>
          <w:rFonts w:cs="Arial"/>
        </w:rPr>
        <w:t xml:space="preserve">The MEC has been designed, and permits have been obtained to allow for operation on both natural gas and fuel oil. The facility may either be interconnected into a Florida Gas Transmission (“FGT”) pipeline located within 2.5 miles of the site, or the Gulfstream Natural Gas Pipeline that has been proposed to be located adjacent to the MEC site. MDC submitted a Level A study request to FGT on Nov 15, 2000, and a Level B study request on Dec 19, 2000. MDC has received from FGT the results of the both the Level A and Level B requests, which indicates that the total interconnection costs should be $2.2 million, and that </w:t>
      </w:r>
      <w:r>
        <w:rPr>
          <w:rFonts w:cs="Arial"/>
          <w:color w:val="000000"/>
        </w:rPr>
        <w:t>no gas compression will be required.</w:t>
      </w:r>
    </w:p>
    <w:p>
      <w:pPr>
        <w:pStyle w:val="Header"/>
        <w:tabs>
          <w:tab w:val="clear" w:pos="4320"/>
          <w:tab w:val="clear" w:pos="8640"/>
        </w:tabs>
        <w:spacing w:before="240" w:after="120"/>
        <w:ind w:start="1440" w:end="720"/>
        <w:jc w:val="both"/>
        <w:rPr>
          <w:b/>
          <w:lang w:val="en-CA" w:eastAsia="en-CA"/>
        </w:rPr>
      </w:pPr>
      <w:r>
        <w:rPr>
          <w:b/>
          <w:i/>
          <w:iCs/>
          <w:sz w:val="24"/>
          <w:lang w:val="en-CA" w:eastAsia="en-CA"/>
        </w:rPr>
        <w:t>Water Supply</w:t>
      </w:r>
    </w:p>
    <w:p>
      <w:pPr>
        <w:pStyle w:val="Header"/>
        <w:tabs>
          <w:tab w:val="clear" w:pos="4320"/>
          <w:tab w:val="clear" w:pos="8640"/>
        </w:tabs>
        <w:spacing w:before="100" w:after="100"/>
        <w:ind w:start="1440" w:end="720"/>
        <w:jc w:val="both"/>
        <w:rPr>
          <w:b/>
        </w:rPr>
      </w:pPr>
      <w:r>
        <w:rPr>
          <w:rFonts w:cs="Arial"/>
        </w:rPr>
        <w:t>As a simple cycle facility,</w:t>
      </w:r>
      <w:r>
        <w:rPr>
          <w:rFonts w:cs="Arial"/>
          <w:b/>
        </w:rPr>
        <w:t xml:space="preserve"> </w:t>
      </w:r>
      <w:r>
        <w:rPr>
          <w:rFonts w:cs="Arial"/>
        </w:rPr>
        <w:t xml:space="preserve">MEC will utilize groundwater resources drawn from the </w:t>
      </w:r>
      <w:r>
        <w:rPr>
          <w:rFonts w:cs="Arial"/>
          <w:color w:val="000000"/>
        </w:rPr>
        <w:t>Floridan Aquifer</w:t>
      </w:r>
      <w:r>
        <w:rPr>
          <w:rFonts w:cs="Arial"/>
        </w:rPr>
        <w:t xml:space="preserve"> for emissions control purposes when operating on fuel oil. </w:t>
      </w:r>
      <w:r>
        <w:rPr>
          <w:rFonts w:cs="Arial"/>
          <w:color w:val="000000"/>
        </w:rPr>
        <w:t>MDC submitted a Water Use Permit application on January 11, 2001 to the South Florida Water Management District (“SFWMD”). The permit has been deemed complete by the SFWMD and issuance is expected in early August 2001. For future conversion to combined cycle operations, MDC has identified sufficient local water supply and wastewater treatment resources and is currently negotiating an agreement with a potential supplier.</w:t>
      </w:r>
    </w:p>
    <w:p>
      <w:pPr>
        <w:pStyle w:val="Header"/>
        <w:tabs>
          <w:tab w:val="clear" w:pos="4320"/>
          <w:tab w:val="clear" w:pos="8640"/>
        </w:tabs>
        <w:ind w:start="1440" w:end="720"/>
        <w:jc w:val="both"/>
        <w:rPr>
          <w:b/>
        </w:rPr>
      </w:pPr>
      <w:r>
        <w:rPr>
          <w:b/>
        </w:rPr>
      </w:r>
      <w:r>
        <w:br w:type="page"/>
      </w:r>
    </w:p>
    <w:p>
      <w:pPr>
        <w:pStyle w:val="A0"/>
        <w:ind w:start="707" w:end="720"/>
        <w:rPr/>
      </w:pPr>
      <w:r>
        <w:rPr>
          <w:b/>
          <w:bCs/>
          <w:sz w:val="28"/>
        </w:rPr>
        <w:t>D.</w:t>
        <w:tab/>
        <w:t>Fort Pierce Repowering Project</w:t>
      </w:r>
      <w:r>
        <w:rPr>
          <w:b/>
          <w:bCs/>
        </w:rPr>
        <w:t xml:space="preserve"> - City of Fort Pierce, Florida</w:t>
      </w:r>
    </w:p>
    <w:p>
      <w:pPr>
        <w:pStyle w:val="HdLet0"/>
        <w:keepLines/>
        <w:spacing w:before="120" w:after="120"/>
        <w:ind w:firstLine="720" w:start="720" w:end="0"/>
        <w:rPr>
          <w:i/>
          <w:i/>
          <w:sz w:val="24"/>
        </w:rPr>
      </w:pPr>
      <w:r>
        <w:rPr>
          <w:i/>
          <w:sz w:val="24"/>
        </w:rPr>
        <w:drawing>
          <wp:inline distT="0" distB="0" distL="0" distR="0">
            <wp:extent cx="5469255" cy="4225925"/>
            <wp:effectExtent l="0" t="0" r="0" b="0"/>
            <wp:docPr id="19"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 descr="" title=""/>
                    <pic:cNvPicPr>
                      <a:picLocks noChangeAspect="1" noChangeArrowheads="1"/>
                    </pic:cNvPicPr>
                  </pic:nvPicPr>
                  <pic:blipFill>
                    <a:blip r:embed="rId9"/>
                    <a:srcRect l="-3" t="-4" r="-3" b="-4"/>
                    <a:stretch>
                      <a:fillRect/>
                    </a:stretch>
                  </pic:blipFill>
                  <pic:spPr bwMode="auto">
                    <a:xfrm>
                      <a:off x="0" y="0"/>
                      <a:ext cx="5469255" cy="4225925"/>
                    </a:xfrm>
                    <a:prstGeom prst="rect">
                      <a:avLst/>
                    </a:prstGeom>
                    <a:noFill/>
                  </pic:spPr>
                </pic:pic>
              </a:graphicData>
            </a:graphic>
          </wp:inline>
        </w:drawing>
      </w:r>
    </w:p>
    <w:p>
      <w:pPr>
        <w:pStyle w:val="HdLet0"/>
        <w:keepLines/>
        <w:spacing w:before="0" w:after="0"/>
        <w:ind w:firstLine="720" w:start="720" w:end="0"/>
        <w:rPr>
          <w:i/>
          <w:i/>
          <w:sz w:val="20"/>
        </w:rPr>
      </w:pPr>
      <w:r>
        <w:rPr>
          <w:i/>
          <w:sz w:val="20"/>
        </w:rPr>
      </w:r>
    </w:p>
    <w:p>
      <w:pPr>
        <w:pStyle w:val="HdLet0"/>
        <w:keepLines/>
        <w:spacing w:before="120" w:after="120"/>
        <w:ind w:firstLine="720" w:start="720" w:end="0"/>
        <w:rPr>
          <w:i/>
          <w:i/>
          <w:sz w:val="24"/>
        </w:rPr>
      </w:pPr>
      <w:r>
        <w:rPr>
          <w:i/>
          <w:sz w:val="24"/>
        </w:rPr>
        <w:t>Overview</w:t>
      </w:r>
    </w:p>
    <w:p>
      <w:pPr>
        <w:pStyle w:val="Normal"/>
        <w:spacing w:before="100" w:after="100"/>
        <w:ind w:start="1440" w:end="720"/>
        <w:jc w:val="both"/>
        <w:rPr>
          <w:b/>
          <w:sz w:val="24"/>
        </w:rPr>
      </w:pPr>
      <w:r>
        <w:rPr>
          <w:rFonts w:cs="Arial"/>
          <w:color w:val="000000"/>
        </w:rPr>
        <w:t xml:space="preserve">A 196 MW natural gas fired combined-cycle merchant power generation facility using one (1) Mitsubushi Heavy Industries (“MHI”) 501F turbine. The steam produced by the FP Project’s heat recovery steam generator (“HRSG”) will be sold to the FPUA pursuant to a long-term contract. All of the development rights and equipment associated with the FP Project as described herein are owned by FPRP. The planned commercial operations date for FPRP is April 2003. </w:t>
      </w:r>
      <w:r>
        <w:rPr>
          <w:color w:val="000000"/>
        </w:rPr>
        <w:t>The MHI 501F combustion turbine, and a Cockerill Mechanical Industries (“CMI”) HRSG are included in the assets being offered for sale. A complete description of the MHI combustion turbine and the CMI HRSG are attached as Exhibit G.</w:t>
      </w:r>
    </w:p>
    <w:p>
      <w:pPr>
        <w:pStyle w:val="HdLet0"/>
        <w:keepLines/>
        <w:spacing w:before="120" w:after="120"/>
        <w:ind w:firstLine="720" w:start="720" w:end="0"/>
        <w:rPr>
          <w:i/>
          <w:i/>
          <w:sz w:val="24"/>
        </w:rPr>
      </w:pPr>
      <w:r>
        <w:rPr>
          <w:i/>
          <w:sz w:val="24"/>
        </w:rPr>
        <w:t>Project Agreements with FPUA and Ft. Pierce</w:t>
      </w:r>
    </w:p>
    <w:p>
      <w:pPr>
        <w:pStyle w:val="A0"/>
        <w:rPr>
          <w:rFonts w:cs="Arial"/>
          <w:bCs/>
        </w:rPr>
      </w:pPr>
      <w:r>
        <w:rPr>
          <w:rFonts w:cs="Arial"/>
          <w:bCs/>
        </w:rPr>
        <w:t>FPRP has entered into several agreements with the FPUA and the city of Fort Pierce regarding steam sales, site lease, operations and maintenance, and other matters. These agreements are described below.</w:t>
      </w:r>
    </w:p>
    <w:p>
      <w:pPr>
        <w:pStyle w:val="A0"/>
        <w:rPr>
          <w:rFonts w:cs="Arial"/>
          <w:b/>
          <w:bCs/>
          <w:sz w:val="24"/>
        </w:rPr>
      </w:pPr>
      <w:r>
        <w:rPr>
          <w:rFonts w:cs="Arial"/>
          <w:bCs/>
        </w:rPr>
        <w:t>[Add descriptions here]</w:t>
      </w:r>
    </w:p>
    <w:p>
      <w:pPr>
        <w:pStyle w:val="HdLet0"/>
        <w:keepLines/>
        <w:spacing w:before="120" w:after="120"/>
        <w:ind w:firstLine="720" w:start="720" w:end="0"/>
        <w:rPr>
          <w:i/>
          <w:i/>
          <w:sz w:val="24"/>
        </w:rPr>
      </w:pPr>
      <w:r>
        <w:rPr>
          <w:i/>
          <w:sz w:val="24"/>
        </w:rPr>
        <w:t>Location</w:t>
      </w:r>
    </w:p>
    <w:p>
      <w:pPr>
        <w:pStyle w:val="A0"/>
        <w:rPr>
          <w:rFonts w:cs="Arial"/>
          <w:b/>
          <w:sz w:val="24"/>
        </w:rPr>
      </w:pPr>
      <w:r>
        <w:rPr>
          <w:rFonts w:cs="Arial"/>
        </w:rPr>
        <w:t xml:space="preserve">The </w:t>
      </w:r>
      <w:r>
        <w:rPr>
          <w:rFonts w:cs="Arial"/>
          <w:color w:val="000000"/>
        </w:rPr>
        <w:t>The FP Project</w:t>
      </w:r>
      <w:r>
        <w:rPr>
          <w:rFonts w:cs="Arial"/>
        </w:rPr>
        <w:t xml:space="preserve"> site is comprised of approximately 2.5 acres, and is located adjacent to the FPUA’s H.D. King power generation facility at 311 N. Indian River Drive, Ft. Pierce, Florida. The site is owned by FPUA, and FPUA and FPRP are expected to enter into an option to lease the site in October 2000, with a lease option term that continues through October 1, 2002. Upon exercise of the lease option, FPRP will be entilted to lease the site for a period of 25 years at an annual cost of $48,000 (???), with annual fair market renewals thereafter [For how long?]. A site map is attached as Exhibit D.</w:t>
      </w:r>
    </w:p>
    <w:p>
      <w:pPr>
        <w:pStyle w:val="Normal"/>
        <w:spacing w:before="240" w:after="120"/>
        <w:ind w:hanging="1440" w:start="2880" w:end="0"/>
        <w:jc w:val="both"/>
        <w:rPr>
          <w:rFonts w:cs="Arial"/>
          <w:b/>
          <w:i/>
          <w:i/>
          <w:iCs/>
          <w:sz w:val="24"/>
        </w:rPr>
      </w:pPr>
      <w:r>
        <w:rPr>
          <w:rFonts w:cs="Arial"/>
          <w:b/>
          <w:i/>
          <w:iCs/>
          <w:sz w:val="24"/>
        </w:rPr>
        <w:t>Florida Power Plant Siting Act and Commencement of Construction</w:t>
      </w:r>
      <w:r>
        <w:rPr>
          <w:b/>
          <w:i/>
          <w:sz w:val="24"/>
        </w:rPr>
        <w:t xml:space="preserve"> </w:t>
      </w:r>
    </w:p>
    <w:p>
      <w:pPr>
        <w:pStyle w:val="Normal"/>
        <w:spacing w:before="100" w:after="100"/>
        <w:ind w:start="1440" w:end="720"/>
        <w:jc w:val="both"/>
        <w:rPr/>
      </w:pPr>
      <w:r>
        <w:rPr>
          <w:rFonts w:cs="Arial"/>
          <w:bCs/>
        </w:rPr>
        <w:t>Because t</w:t>
      </w:r>
      <w:r>
        <w:rPr>
          <w:rFonts w:cs="Arial"/>
          <w:color w:val="000000"/>
        </w:rPr>
        <w:t>he FP Project</w:t>
      </w:r>
      <w:r>
        <w:rPr>
          <w:rFonts w:cs="Arial"/>
          <w:bCs/>
        </w:rPr>
        <w:t xml:space="preserve"> will not be using the steam it produces to generate electricity, </w:t>
      </w:r>
      <w:r>
        <w:rPr>
          <w:rFonts w:cs="Arial"/>
        </w:rPr>
        <w:t>FPRP may operate as a merchant combined cycle power plant under Florida law without being subject to the Florida Power Plant Siting Act. FPRP is therefore required to individually apply for all the required permits and other approvals necessary for construction and operation directly from the applicable federal, state and local agencies. All permits required for construction are described below.</w:t>
      </w:r>
    </w:p>
    <w:p>
      <w:pPr>
        <w:pStyle w:val="Normal"/>
        <w:spacing w:before="100" w:after="100"/>
        <w:ind w:start="1440" w:end="720"/>
        <w:jc w:val="both"/>
        <w:rPr/>
      </w:pPr>
      <w:r>
        <w:rPr>
          <w:i/>
          <w:iCs/>
          <w:u w:val="single"/>
        </w:rPr>
        <w:t>A. Zoning and Site Plan Approval</w:t>
      </w:r>
      <w:r>
        <w:rPr>
          <w:i/>
        </w:rPr>
        <w:t>:</w:t>
      </w:r>
      <w:r>
        <w:rPr/>
        <w:t xml:space="preserve"> The Ft. Pierce Planning and Zoning Commission recommended approval for both the re-zoning and the site plan on [    ]. The Ft. Pierce Board of Commissioners approved both the re-zoning and the final site plan on [    ]. Such approvals remain valid provided that FPRP commences construction by [    ]. FPRP is presently seeking various minor modifications to the site plan to accommodate certain design changes to the approved site plan. It is expected that the Ft. Pierce [Board of Commissioners] will approve the proposed changes in September 2001. As part of the re-zoning and site plan approval, FPRP committed to the County that it would not seek a tax abatement agreement as a condition to construction. The approved site development plan is included as Exhibit E.</w:t>
      </w:r>
    </w:p>
    <w:p>
      <w:pPr>
        <w:pStyle w:val="Normal"/>
        <w:spacing w:before="100" w:after="100"/>
        <w:ind w:start="1440" w:end="720"/>
        <w:jc w:val="both"/>
        <w:rPr/>
      </w:pPr>
      <w:r>
        <w:rPr>
          <w:i/>
          <w:iCs/>
          <w:u w:val="single"/>
        </w:rPr>
        <w:t>B. Air Permit and Estimated Operating Hours</w:t>
      </w:r>
      <w:r>
        <w:rPr>
          <w:i/>
        </w:rPr>
        <w:t>:</w:t>
      </w:r>
      <w:r>
        <w:rPr/>
        <w:t xml:space="preserve"> FPRP is located in an attainment area for air permitting purposes.  A PSD air permit application was submitted by FPRP to the FDEP on April 18, 2001, and is expected to be issued in August 2001. It is anticipated that, when issued, the air permit will allows for 8,760 hours of annual operation at full load per turbine, and a maximum of 1,000 hours of annual operation on fuel oil. </w:t>
      </w:r>
    </w:p>
    <w:p>
      <w:pPr>
        <w:pStyle w:val="Normal"/>
        <w:spacing w:before="100" w:after="100"/>
        <w:ind w:start="1440" w:end="720"/>
        <w:jc w:val="both"/>
        <w:rPr/>
      </w:pPr>
      <w:r>
        <w:rPr>
          <w:i/>
          <w:u w:val="single"/>
        </w:rPr>
        <w:t>C. Other Pre-Construction Authorizations</w:t>
      </w:r>
      <w:r>
        <w:rPr>
          <w:i/>
        </w:rPr>
        <w:t>:</w:t>
        <w:tab/>
      </w:r>
    </w:p>
    <w:p>
      <w:pPr>
        <w:pStyle w:val="Normal"/>
        <w:ind w:start="1414" w:end="0"/>
        <w:rPr/>
      </w:pPr>
      <w:r>
        <w:rPr/>
        <w:t>1. Environmental Resource Permit – In February 2001, FPRP submitted its ERP application to the FDEP, and the final ERP was issued in July 2001.</w:t>
      </w:r>
    </w:p>
    <w:p>
      <w:pPr>
        <w:pStyle w:val="Normal"/>
        <w:ind w:start="1414" w:end="0"/>
        <w:rPr/>
      </w:pPr>
      <w:r>
        <w:rPr/>
      </w:r>
    </w:p>
    <w:p>
      <w:pPr>
        <w:pStyle w:val="Normal"/>
        <w:ind w:start="1414" w:end="0"/>
        <w:rPr/>
      </w:pPr>
      <w:r>
        <w:rPr/>
        <w:t>An amendment to the ERP will be filed to incorporate the site development plan changes described above.</w:t>
      </w:r>
    </w:p>
    <w:p>
      <w:pPr>
        <w:pStyle w:val="Normal"/>
        <w:ind w:start="1414" w:end="0"/>
        <w:rPr/>
      </w:pPr>
      <w:r>
        <w:rPr/>
        <w:tab/>
      </w:r>
    </w:p>
    <w:p>
      <w:pPr>
        <w:pStyle w:val="Normal"/>
        <w:ind w:start="1414" w:end="0"/>
        <w:rPr/>
      </w:pPr>
      <w:r>
        <w:rPr/>
        <w:t>2. City of Ft. Pierce Building Permit – FPRP is preparing building permit applications and intends to submit these to the City of Ft. Pierce in September 2001. It is anticipated that the city of Ft. Pierce’s review and approval period of building permit applications will be approximately  [   ] weeks.</w:t>
      </w:r>
    </w:p>
    <w:p>
      <w:pPr>
        <w:pStyle w:val="HdLet0"/>
        <w:keepLines/>
        <w:spacing w:before="120" w:after="120"/>
        <w:ind w:firstLine="720" w:start="720" w:end="0"/>
        <w:rPr>
          <w:i/>
          <w:i/>
          <w:sz w:val="24"/>
        </w:rPr>
      </w:pPr>
      <w:r>
        <w:rPr>
          <w:i/>
          <w:sz w:val="24"/>
        </w:rPr>
        <w:t>Other Environmental</w:t>
      </w:r>
    </w:p>
    <w:p>
      <w:pPr>
        <w:pStyle w:val="Normal"/>
        <w:spacing w:before="100" w:after="100"/>
        <w:ind w:start="1440" w:end="720"/>
        <w:jc w:val="both"/>
        <w:rPr>
          <w:b/>
          <w:sz w:val="24"/>
        </w:rPr>
      </w:pPr>
      <w:r>
        <w:rPr/>
        <w:t>Phase I environmental site assessments were performed for all areas within the lease and easement property boundaries.  A Phase II environmental site assessments was subsequently performed on the lease area due to the presence of a historical fuel oil tank release.  The extent of the release was subsequently defined and remediated.  A tank closure report was prepared and submitted to the FDEP by an independent third party contractor, and it is expected that a determination of “ no further action” by the state will be issued shortly.</w:t>
      </w:r>
    </w:p>
    <w:p>
      <w:pPr>
        <w:pStyle w:val="HdLet0"/>
        <w:keepLines/>
        <w:spacing w:before="120" w:after="120"/>
        <w:ind w:firstLine="720" w:start="720" w:end="0"/>
        <w:rPr>
          <w:i/>
          <w:i/>
          <w:sz w:val="24"/>
        </w:rPr>
      </w:pPr>
      <w:r>
        <w:rPr>
          <w:i/>
          <w:sz w:val="24"/>
        </w:rPr>
        <w:t>EPC Estimate and Construction Schedule</w:t>
      </w:r>
    </w:p>
    <w:p>
      <w:pPr>
        <w:pStyle w:val="A0"/>
        <w:rPr>
          <w:rFonts w:cs="Arial"/>
          <w:b/>
          <w:sz w:val="24"/>
        </w:rPr>
      </w:pPr>
      <w:r>
        <w:rPr/>
        <w:t>FPRP has prepared preliminary engineering, procurement and construction estimates. Estimated construction costs and a construction schedule are included as Exhibit F.</w:t>
      </w:r>
    </w:p>
    <w:p>
      <w:pPr>
        <w:pStyle w:val="HdLet0"/>
        <w:keepLines/>
        <w:spacing w:before="120" w:after="120"/>
        <w:ind w:firstLine="720" w:start="720" w:end="0"/>
        <w:rPr>
          <w:i/>
          <w:i/>
          <w:sz w:val="24"/>
        </w:rPr>
      </w:pPr>
      <w:r>
        <w:rPr>
          <w:i/>
          <w:sz w:val="24"/>
        </w:rPr>
        <w:t>Electrical Interconnection</w:t>
      </w:r>
    </w:p>
    <w:p>
      <w:pPr>
        <w:pStyle w:val="A0"/>
        <w:rPr>
          <w:sz w:val="24"/>
        </w:rPr>
      </w:pPr>
      <w:r>
        <w:rPr/>
        <w:t>FPRP will interconnect to the FPUA’s Garden City Substation via a 2.5 mile, 138kV transmission line. FPRP will be responsible for the construction cost of this transmission line.  The Garden City Substation interconnects to FPL’s system at the Emerson Substation. In [  ] 2001, FPRP submitted a GIR to FPL. As of late July 2001, this GIR was request number [  ] in FPL’s GIR priority queue. FPRP expects to receive its Feasibility Studies from FPL in August 2001, and it is anticipated that no significant network upgrades will be required. An area electric transmission system map showing the interconnection point to FPUA and FPL is attached as Exhibit H.</w:t>
      </w:r>
    </w:p>
    <w:p>
      <w:pPr>
        <w:pStyle w:val="HdLet0"/>
        <w:keepLines/>
        <w:spacing w:before="120" w:after="120"/>
        <w:ind w:firstLine="720" w:start="720" w:end="0"/>
        <w:rPr>
          <w:i/>
          <w:i/>
          <w:sz w:val="24"/>
        </w:rPr>
      </w:pPr>
      <w:r>
        <w:rPr>
          <w:i/>
          <w:sz w:val="24"/>
        </w:rPr>
        <w:t>Fuel</w:t>
      </w:r>
    </w:p>
    <w:p>
      <w:pPr>
        <w:pStyle w:val="A0"/>
        <w:rPr>
          <w:b/>
          <w:sz w:val="24"/>
        </w:rPr>
      </w:pPr>
      <w:r>
        <w:rPr/>
        <w:t>FPRP will be interconnected into FGT pipeline located at the FPRP site, and may also in the future interconnect into the proposed Gulfstream Natural Gas Pipeline that may be located as close as [   ] miles from the site.  FPRP submitted a Level I study request to FGT on [     ], and a Level II study request on [    ]. FPRP has received from FGT the results of the both the Level I and Level II requests, which indicated that the existing pipeline will require expansion. [Need more info on this]</w:t>
      </w:r>
    </w:p>
    <w:p>
      <w:pPr>
        <w:pStyle w:val="HdLet0"/>
        <w:keepLines/>
        <w:spacing w:before="120" w:after="120"/>
        <w:ind w:firstLine="720" w:start="720" w:end="0"/>
        <w:rPr>
          <w:i/>
          <w:i/>
          <w:sz w:val="24"/>
        </w:rPr>
      </w:pPr>
      <w:r>
        <w:rPr>
          <w:i/>
          <w:sz w:val="24"/>
        </w:rPr>
        <w:t>Water Supply</w:t>
      </w:r>
    </w:p>
    <w:p>
      <w:pPr>
        <w:pStyle w:val="Normal"/>
        <w:spacing w:before="100" w:after="100"/>
        <w:ind w:start="1440" w:end="720"/>
        <w:jc w:val="both"/>
        <w:rPr>
          <w:b/>
          <w:sz w:val="24"/>
        </w:rPr>
      </w:pPr>
      <w:r>
        <w:rPr/>
        <w:t>FPUA has agreed to provide FPRP with sufficient water supply and wastewater discharge resources for combined cycle operations. [Any more details?]</w:t>
      </w:r>
    </w:p>
    <w:p>
      <w:pPr>
        <w:pStyle w:val="Normal"/>
        <w:rPr>
          <w:b/>
          <w:sz w:val="24"/>
        </w:rPr>
      </w:pPr>
      <w:r>
        <w:rPr>
          <w:b/>
          <w:sz w:val="24"/>
        </w:rPr>
      </w:r>
    </w:p>
    <w:p>
      <w:pPr>
        <w:pStyle w:val="Normal"/>
        <w:rPr>
          <w:b/>
          <w:sz w:val="24"/>
        </w:rPr>
      </w:pPr>
      <w:r>
        <w:rPr>
          <w:b/>
          <w:sz w:val="24"/>
        </w:rPr>
      </w:r>
    </w:p>
    <w:p>
      <w:pPr>
        <w:pStyle w:val="Normal"/>
        <w:rPr>
          <w:b/>
          <w:sz w:val="24"/>
        </w:rPr>
      </w:pPr>
      <w:r>
        <w:rPr>
          <w:b/>
          <w:sz w:val="24"/>
        </w:rPr>
      </w:r>
    </w:p>
    <w:sectPr>
      <w:headerReference w:type="default" r:id="rId10"/>
      <w:headerReference w:type="first" r:id="rId11"/>
      <w:footerReference w:type="default" r:id="rId12"/>
      <w:footerReference w:type="first" r:id="rId13"/>
      <w:type w:val="nextPage"/>
      <w:pgSz w:w="12240" w:h="15840"/>
      <w:pgMar w:left="1440" w:right="720" w:gutter="0" w:header="720" w:top="1440" w:footer="720" w:bottom="1080"/>
      <w:pgNumType w:start="1" w:fmt="decimal"/>
      <w:formProt w:val="false"/>
      <w:textDirection w:val="lrTb"/>
      <w:docGrid w:type="default" w:linePitch="27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Wingdings">
    <w:charset w:val="02"/>
    <w:family w:val="auto"/>
    <w:pitch w:val="variable"/>
  </w:font>
  <w:font w:name="Courier New">
    <w:charset w:val="00" w:characterSet="windows-1252"/>
    <w:family w:val="modern"/>
    <w:pitch w:val="default"/>
  </w:font>
  <w:font w:name="NewspaperPi BT">
    <w:altName w:val="Symbol"/>
    <w:charset w:val="02"/>
    <w:family w:val="roman"/>
    <w:pitch w:val="variable"/>
  </w:font>
  <w:font w:name="Wingdings 3">
    <w:charset w:val="02"/>
    <w:family w:val="roman"/>
    <w:pitch w:val="variable"/>
  </w:font>
  <w:font w:name="ZapfDingbats">
    <w:charset w:val="02"/>
    <w:family w:val="decorative"/>
    <w:pitch w:val="variable"/>
  </w:font>
  <w:font w:name="CommonBullets">
    <w:charset w:val="02"/>
    <w:family w:val="swiss"/>
    <w:pitch w:val="variable"/>
  </w:font>
  <w:font w:name="Monotype Sorts">
    <w:charset w:val="02"/>
    <w:family w:val="auto"/>
    <w:pitch w:val="variable"/>
  </w:font>
  <w:font w:name="Arial Bold">
    <w:charset w:val="00" w:characterSet="windows-1252"/>
    <w:family w:val="swiss"/>
    <w:pitch w:val="variable"/>
  </w:font>
  <w:font w:name="Palatino">
    <w:charset w:val="00" w:characterSet="windows-1252"/>
    <w:family w:val="roman"/>
    <w:pitch w:val="variable"/>
  </w:font>
  <w:font w:name="Tahoma">
    <w:charset w:val="00" w:characterSet="windows-1252"/>
    <w:family w:val="swiss"/>
    <w:pitch w:val="variable"/>
  </w:font>
  <w:font w:name="Helvetica">
    <w:altName w:val="Arial"/>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p>
    <w:pPr>
      <w:pStyle w:val="Normal"/>
      <w:jc w:val="end"/>
      <w:rPr/>
    </w:pPr>
    <w:r>
      <w:rPr/>
    </w:r>
  </w:p>
  <w:p>
    <w:pPr>
      <w:pStyle w:val="Normal"/>
      <w:jc w:val="end"/>
      <w:rPr/>
    </w:pPr>
    <w:r>
      <w:rPr/>
    </w:r>
  </w:p>
  <w:p>
    <w:pPr>
      <w:pStyle w:val="Normal"/>
      <w:jc w:val="end"/>
      <w:rPr/>
    </w:pPr>
    <w:r>
      <w:rPr/>
      <w:drawing>
        <wp:inline distT="0" distB="0" distL="0" distR="0">
          <wp:extent cx="436245" cy="436245"/>
          <wp:effectExtent l="0" t="0" r="0" b="0"/>
          <wp:docPr id="12"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descr="" title=""/>
                  <pic:cNvPicPr>
                    <a:picLocks noChangeAspect="1" noChangeArrowheads="1"/>
                  </pic:cNvPicPr>
                </pic:nvPicPr>
                <pic:blipFill>
                  <a:blip r:embed="rId1"/>
                  <a:srcRect l="-15" t="-15" r="-15" b="-15"/>
                  <a:stretch>
                    <a:fillRect/>
                  </a:stretch>
                </pic:blipFill>
                <pic:spPr bwMode="auto">
                  <a:xfrm>
                    <a:off x="0" y="0"/>
                    <a:ext cx="436245" cy="436245"/>
                  </a:xfrm>
                  <a:prstGeom prst="rect">
                    <a:avLst/>
                  </a:prstGeom>
                  <a:noFill/>
                </pic:spPr>
              </pic:pic>
            </a:graphicData>
          </a:graphic>
        </wp:inline>
      </w:drawing>
    </w:r>
    <w:r>
      <mc:AlternateContent>
        <mc:Choice Requires="wps">
          <w:drawing>
            <wp:anchor behindDoc="1" distT="0" distB="0" distL="114935" distR="114935" simplePos="0" locked="0" layoutInCell="1" allowOverlap="1" relativeHeight="115">
              <wp:simplePos x="0" y="0"/>
              <wp:positionH relativeFrom="column">
                <wp:posOffset>3429000</wp:posOffset>
              </wp:positionH>
              <wp:positionV relativeFrom="paragraph">
                <wp:posOffset>9461500</wp:posOffset>
              </wp:positionV>
              <wp:extent cx="3810000" cy="304800"/>
              <wp:effectExtent l="0" t="0" r="0" b="0"/>
              <wp:wrapNone/>
              <wp:docPr id="13" name="Frame6"/>
              <a:graphic xmlns:a="http://schemas.openxmlformats.org/drawingml/2006/main">
                <a:graphicData uri="http://schemas.microsoft.com/office/word/2010/wordprocessingShape">
                  <wps:wsp>
                    <wps:cNvSpPr txBox="1"/>
                    <wps:spPr>
                      <a:xfrm>
                        <a:off x="0" y="0"/>
                        <a:ext cx="3810000" cy="304800"/>
                      </a:xfrm>
                      <a:prstGeom prst="rect"/>
                      <a:solidFill>
                        <a:srgbClr val="FFFFFF">
                          <a:alpha val="0"/>
                        </a:srgbClr>
                      </a:solidFill>
                    </wps:spPr>
                    <wps:txbx>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wps:txbx>
                    <wps:bodyPr anchor="t" lIns="635" tIns="635" rIns="635" bIns="635">
                      <a:noAutofit/>
                    </wps:bodyPr>
                  </wps:wsp>
                </a:graphicData>
              </a:graphic>
            </wp:anchor>
          </w:drawing>
        </mc:Choice>
        <mc:Fallback>
          <w:pict>
            <v:rect fillcolor="#FFFFFF" style="position:absolute;rotation:-0;width:300pt;height:24pt;mso-wrap-distance-left:9.05pt;mso-wrap-distance-right:9.05pt;mso-wrap-distance-top:0pt;mso-wrap-distance-bottom:0pt;margin-top:745pt;mso-position-vertical-relative:text;margin-left:270pt;mso-position-horizontal-relative:text">
              <v:fill opacity="0f"/>
              <v:textbox inset="0.000694444444444445in,0.000694444444444445in,0.000694444444444445in,0.000694444444444445in">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v:textbox>
              <w10:wrap type="none"/>
            </v:rect>
          </w:pict>
        </mc:Fallback>
      </mc:AlternateContent>
    </w:r>
    <w:r>
      <mc:AlternateContent>
        <mc:Choice Requires="wps">
          <w:drawing>
            <wp:anchor behindDoc="1" distT="0" distB="0" distL="114935" distR="114935" simplePos="0" locked="0" layoutInCell="1" allowOverlap="1" relativeHeight="121">
              <wp:simplePos x="0" y="0"/>
              <wp:positionH relativeFrom="column">
                <wp:posOffset>3429000</wp:posOffset>
              </wp:positionH>
              <wp:positionV relativeFrom="paragraph">
                <wp:posOffset>9461500</wp:posOffset>
              </wp:positionV>
              <wp:extent cx="3810000" cy="304800"/>
              <wp:effectExtent l="0" t="0" r="0" b="0"/>
              <wp:wrapNone/>
              <wp:docPr id="14" name="Frame5"/>
              <a:graphic xmlns:a="http://schemas.openxmlformats.org/drawingml/2006/main">
                <a:graphicData uri="http://schemas.microsoft.com/office/word/2010/wordprocessingShape">
                  <wps:wsp>
                    <wps:cNvSpPr txBox="1"/>
                    <wps:spPr>
                      <a:xfrm>
                        <a:off x="0" y="0"/>
                        <a:ext cx="3810000" cy="304800"/>
                      </a:xfrm>
                      <a:prstGeom prst="rect"/>
                      <a:solidFill>
                        <a:srgbClr val="FFFFFF">
                          <a:alpha val="0"/>
                        </a:srgbClr>
                      </a:solidFill>
                    </wps:spPr>
                    <wps:txbx>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wps:txbx>
                    <wps:bodyPr anchor="t" lIns="635" tIns="635" rIns="635" bIns="635">
                      <a:noAutofit/>
                    </wps:bodyPr>
                  </wps:wsp>
                </a:graphicData>
              </a:graphic>
            </wp:anchor>
          </w:drawing>
        </mc:Choice>
        <mc:Fallback>
          <w:pict>
            <v:rect fillcolor="#FFFFFF" style="position:absolute;rotation:-0;width:300pt;height:24pt;mso-wrap-distance-left:9.05pt;mso-wrap-distance-right:9.05pt;mso-wrap-distance-top:0pt;mso-wrap-distance-bottom:0pt;margin-top:745pt;mso-position-vertical-relative:text;margin-left:270pt;mso-position-horizontal-relative:text">
              <v:fill opacity="0f"/>
              <v:textbox inset="0.000694444444444445in,0.000694444444444445in,0.000694444444444445in,0.000694444444444445in">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v:textbox>
              <w10:wrap type="none"/>
            </v:rect>
          </w:pict>
        </mc:Fallback>
      </mc:AlternateContent>
    </w:r>
    <w:r>
      <mc:AlternateContent>
        <mc:Choice Requires="wps">
          <w:drawing>
            <wp:anchor behindDoc="1" distT="0" distB="0" distL="114935" distR="114935" simplePos="0" locked="0" layoutInCell="1" allowOverlap="1" relativeHeight="127">
              <wp:simplePos x="0" y="0"/>
              <wp:positionH relativeFrom="column">
                <wp:posOffset>3429000</wp:posOffset>
              </wp:positionH>
              <wp:positionV relativeFrom="paragraph">
                <wp:posOffset>9461500</wp:posOffset>
              </wp:positionV>
              <wp:extent cx="3810000" cy="228600"/>
              <wp:effectExtent l="0" t="0" r="0" b="0"/>
              <wp:wrapNone/>
              <wp:docPr id="15" name="Frame4"/>
              <a:graphic xmlns:a="http://schemas.openxmlformats.org/drawingml/2006/main">
                <a:graphicData uri="http://schemas.microsoft.com/office/word/2010/wordprocessingShape">
                  <wps:wsp>
                    <wps:cNvSpPr txBox="1"/>
                    <wps:spPr>
                      <a:xfrm>
                        <a:off x="0" y="0"/>
                        <a:ext cx="3810000" cy="228600"/>
                      </a:xfrm>
                      <a:prstGeom prst="rect"/>
                      <a:solidFill>
                        <a:srgbClr val="FFFFFF">
                          <a:alpha val="0"/>
                        </a:srgbClr>
                      </a:solidFill>
                    </wps:spPr>
                    <wps:txbx>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wps:txbx>
                    <wps:bodyPr anchor="t" lIns="635" tIns="635" rIns="635" bIns="635">
                      <a:noAutofit/>
                    </wps:bodyPr>
                  </wps:wsp>
                </a:graphicData>
              </a:graphic>
            </wp:anchor>
          </w:drawing>
        </mc:Choice>
        <mc:Fallback>
          <w:pict>
            <v:rect fillcolor="#FFFFFF" style="position:absolute;rotation:-0;width:300pt;height:18pt;mso-wrap-distance-left:9.05pt;mso-wrap-distance-right:9.05pt;mso-wrap-distance-top:0pt;mso-wrap-distance-bottom:0pt;margin-top:745pt;mso-position-vertical-relative:text;margin-left:270pt;mso-position-horizontal-relative:text">
              <v:fill opacity="0f"/>
              <v:textbox inset="0.000694444444444445in,0.000694444444444445in,0.000694444444444445in,0.000694444444444445in">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v:textbox>
              <w10:wrap type="none"/>
            </v:rect>
          </w:pict>
        </mc:Fallback>
      </mc:AlternateContent>
    </w:r>
    <w:r>
      <mc:AlternateContent>
        <mc:Choice Requires="wps">
          <w:drawing>
            <wp:anchor behindDoc="1" distT="0" distB="0" distL="114935" distR="114935" simplePos="0" locked="0" layoutInCell="1" allowOverlap="1" relativeHeight="133">
              <wp:simplePos x="0" y="0"/>
              <wp:positionH relativeFrom="column">
                <wp:posOffset>3429000</wp:posOffset>
              </wp:positionH>
              <wp:positionV relativeFrom="paragraph">
                <wp:posOffset>9461500</wp:posOffset>
              </wp:positionV>
              <wp:extent cx="3810000" cy="228600"/>
              <wp:effectExtent l="0" t="0" r="0" b="0"/>
              <wp:wrapNone/>
              <wp:docPr id="16" name="Frame3"/>
              <a:graphic xmlns:a="http://schemas.openxmlformats.org/drawingml/2006/main">
                <a:graphicData uri="http://schemas.microsoft.com/office/word/2010/wordprocessingShape">
                  <wps:wsp>
                    <wps:cNvSpPr txBox="1"/>
                    <wps:spPr>
                      <a:xfrm>
                        <a:off x="0" y="0"/>
                        <a:ext cx="3810000" cy="228600"/>
                      </a:xfrm>
                      <a:prstGeom prst="rect"/>
                      <a:solidFill>
                        <a:srgbClr val="FFFFFF">
                          <a:alpha val="0"/>
                        </a:srgbClr>
                      </a:solidFill>
                    </wps:spPr>
                    <wps:txbx>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wps:txbx>
                    <wps:bodyPr anchor="t" lIns="635" tIns="635" rIns="635" bIns="635">
                      <a:noAutofit/>
                    </wps:bodyPr>
                  </wps:wsp>
                </a:graphicData>
              </a:graphic>
            </wp:anchor>
          </w:drawing>
        </mc:Choice>
        <mc:Fallback>
          <w:pict>
            <v:rect fillcolor="#FFFFFF" style="position:absolute;rotation:-0;width:300pt;height:18pt;mso-wrap-distance-left:9.05pt;mso-wrap-distance-right:9.05pt;mso-wrap-distance-top:0pt;mso-wrap-distance-bottom:0pt;margin-top:745pt;mso-position-vertical-relative:text;margin-left:270pt;mso-position-horizontal-relative:text">
              <v:fill opacity="0f"/>
              <v:textbox inset="0.000694444444444445in,0.000694444444444445in,0.000694444444444445in,0.000694444444444445in">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end"/>
      <w:rPr/>
    </w:pPr>
    <w:r>
      <w:rPr/>
    </w:r>
  </w:p>
  <w:p>
    <w:pPr>
      <w:pStyle w:val="Normal"/>
      <w:jc w:val="end"/>
      <w:rPr/>
    </w:pPr>
    <w:r>
      <w:rPr/>
    </w:r>
  </w:p>
  <w:p>
    <w:pPr>
      <w:pStyle w:val="Normal"/>
      <w:jc w:val="end"/>
      <w:rPr/>
    </w:pPr>
    <w:r>
      <w:rPr/>
    </w:r>
  </w:p>
  <w:p>
    <w:pPr>
      <w:pStyle w:val="Normal"/>
      <w:jc w:val="end"/>
      <w:rPr/>
    </w:pPr>
    <w:r>
      <w:rPr/>
      <w:drawing>
        <wp:inline distT="0" distB="0" distL="0" distR="0">
          <wp:extent cx="436245" cy="436245"/>
          <wp:effectExtent l="0" t="0" r="0" b="0"/>
          <wp:docPr id="25" name="Image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 Copy 1" descr="" title=""/>
                  <pic:cNvPicPr>
                    <a:picLocks noChangeAspect="1" noChangeArrowheads="1"/>
                  </pic:cNvPicPr>
                </pic:nvPicPr>
                <pic:blipFill>
                  <a:blip r:embed="rId1"/>
                  <a:srcRect l="-15" t="-15" r="-15" b="-15"/>
                  <a:stretch>
                    <a:fillRect/>
                  </a:stretch>
                </pic:blipFill>
                <pic:spPr bwMode="auto">
                  <a:xfrm>
                    <a:off x="0" y="0"/>
                    <a:ext cx="436245" cy="436245"/>
                  </a:xfrm>
                  <a:prstGeom prst="rect">
                    <a:avLst/>
                  </a:prstGeom>
                  <a:noFill/>
                </pic:spPr>
              </pic:pic>
            </a:graphicData>
          </a:graphic>
        </wp:inline>
      </w:drawing>
    </w:r>
    <w:r>
      <mc:AlternateContent>
        <mc:Choice Requires="wps">
          <w:drawing>
            <wp:anchor behindDoc="1" distT="0" distB="0" distL="114935" distR="114935" simplePos="0" locked="0" layoutInCell="1" allowOverlap="1" relativeHeight="163">
              <wp:simplePos x="0" y="0"/>
              <wp:positionH relativeFrom="column">
                <wp:posOffset>3429000</wp:posOffset>
              </wp:positionH>
              <wp:positionV relativeFrom="paragraph">
                <wp:posOffset>9461500</wp:posOffset>
              </wp:positionV>
              <wp:extent cx="3810000" cy="304800"/>
              <wp:effectExtent l="0" t="0" r="0" b="0"/>
              <wp:wrapNone/>
              <wp:docPr id="26" name="Frame8"/>
              <a:graphic xmlns:a="http://schemas.openxmlformats.org/drawingml/2006/main">
                <a:graphicData uri="http://schemas.microsoft.com/office/word/2010/wordprocessingShape">
                  <wps:wsp>
                    <wps:cNvSpPr txBox="1"/>
                    <wps:spPr>
                      <a:xfrm>
                        <a:off x="0" y="0"/>
                        <a:ext cx="3810000" cy="304800"/>
                      </a:xfrm>
                      <a:prstGeom prst="rect"/>
                      <a:solidFill>
                        <a:srgbClr val="FFFFFF">
                          <a:alpha val="0"/>
                        </a:srgbClr>
                      </a:solidFill>
                    </wps:spPr>
                    <wps:txbx>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wps:txbx>
                    <wps:bodyPr anchor="t" lIns="635" tIns="635" rIns="635" bIns="635">
                      <a:noAutofit/>
                    </wps:bodyPr>
                  </wps:wsp>
                </a:graphicData>
              </a:graphic>
            </wp:anchor>
          </w:drawing>
        </mc:Choice>
        <mc:Fallback>
          <w:pict>
            <v:rect fillcolor="#FFFFFF" style="position:absolute;rotation:-0;width:300pt;height:24pt;mso-wrap-distance-left:9.05pt;mso-wrap-distance-right:9.05pt;mso-wrap-distance-top:0pt;mso-wrap-distance-bottom:0pt;margin-top:745pt;mso-position-vertical-relative:text;margin-left:270pt;mso-position-horizontal-relative:text">
              <v:fill opacity="0f"/>
              <v:textbox inset="0.000694444444444445in,0.000694444444444445in,0.000694444444444445in,0.000694444444444445in">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v:textbox>
              <w10:wrap type="none"/>
            </v:rect>
          </w:pict>
        </mc:Fallback>
      </mc:AlternateContent>
    </w:r>
    <w:r>
      <mc:AlternateContent>
        <mc:Choice Requires="wps">
          <w:drawing>
            <wp:anchor behindDoc="1" distT="0" distB="0" distL="114935" distR="114935" simplePos="0" locked="0" layoutInCell="1" allowOverlap="1" relativeHeight="177">
              <wp:simplePos x="0" y="0"/>
              <wp:positionH relativeFrom="column">
                <wp:posOffset>3429000</wp:posOffset>
              </wp:positionH>
              <wp:positionV relativeFrom="paragraph">
                <wp:posOffset>9461500</wp:posOffset>
              </wp:positionV>
              <wp:extent cx="3810000" cy="304800"/>
              <wp:effectExtent l="0" t="0" r="0" b="0"/>
              <wp:wrapNone/>
              <wp:docPr id="27" name="Frame9"/>
              <a:graphic xmlns:a="http://schemas.openxmlformats.org/drawingml/2006/main">
                <a:graphicData uri="http://schemas.microsoft.com/office/word/2010/wordprocessingShape">
                  <wps:wsp>
                    <wps:cNvSpPr txBox="1"/>
                    <wps:spPr>
                      <a:xfrm>
                        <a:off x="0" y="0"/>
                        <a:ext cx="3810000" cy="304800"/>
                      </a:xfrm>
                      <a:prstGeom prst="rect"/>
                      <a:solidFill>
                        <a:srgbClr val="FFFFFF">
                          <a:alpha val="0"/>
                        </a:srgbClr>
                      </a:solidFill>
                    </wps:spPr>
                    <wps:txbx>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wps:txbx>
                    <wps:bodyPr anchor="t" lIns="635" tIns="635" rIns="635" bIns="635">
                      <a:noAutofit/>
                    </wps:bodyPr>
                  </wps:wsp>
                </a:graphicData>
              </a:graphic>
            </wp:anchor>
          </w:drawing>
        </mc:Choice>
        <mc:Fallback>
          <w:pict>
            <v:rect fillcolor="#FFFFFF" style="position:absolute;rotation:-0;width:300pt;height:24pt;mso-wrap-distance-left:9.05pt;mso-wrap-distance-right:9.05pt;mso-wrap-distance-top:0pt;mso-wrap-distance-bottom:0pt;margin-top:745pt;mso-position-vertical-relative:text;margin-left:270pt;mso-position-horizontal-relative:text">
              <v:fill opacity="0f"/>
              <v:textbox inset="0.000694444444444445in,0.000694444444444445in,0.000694444444444445in,0.000694444444444445in">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v:textbox>
              <w10:wrap type="none"/>
            </v:rect>
          </w:pict>
        </mc:Fallback>
      </mc:AlternateContent>
    </w:r>
    <w:r>
      <mc:AlternateContent>
        <mc:Choice Requires="wps">
          <w:drawing>
            <wp:anchor behindDoc="1" distT="0" distB="0" distL="114935" distR="114935" simplePos="0" locked="0" layoutInCell="1" allowOverlap="1" relativeHeight="191">
              <wp:simplePos x="0" y="0"/>
              <wp:positionH relativeFrom="column">
                <wp:posOffset>3429000</wp:posOffset>
              </wp:positionH>
              <wp:positionV relativeFrom="paragraph">
                <wp:posOffset>9461500</wp:posOffset>
              </wp:positionV>
              <wp:extent cx="3810000" cy="228600"/>
              <wp:effectExtent l="0" t="0" r="0" b="0"/>
              <wp:wrapNone/>
              <wp:docPr id="28" name="Frame10"/>
              <a:graphic xmlns:a="http://schemas.openxmlformats.org/drawingml/2006/main">
                <a:graphicData uri="http://schemas.microsoft.com/office/word/2010/wordprocessingShape">
                  <wps:wsp>
                    <wps:cNvSpPr txBox="1"/>
                    <wps:spPr>
                      <a:xfrm>
                        <a:off x="0" y="0"/>
                        <a:ext cx="3810000" cy="228600"/>
                      </a:xfrm>
                      <a:prstGeom prst="rect"/>
                      <a:solidFill>
                        <a:srgbClr val="FFFFFF">
                          <a:alpha val="0"/>
                        </a:srgbClr>
                      </a:solidFill>
                    </wps:spPr>
                    <wps:txbx>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wps:txbx>
                    <wps:bodyPr anchor="t" lIns="635" tIns="635" rIns="635" bIns="635">
                      <a:noAutofit/>
                    </wps:bodyPr>
                  </wps:wsp>
                </a:graphicData>
              </a:graphic>
            </wp:anchor>
          </w:drawing>
        </mc:Choice>
        <mc:Fallback>
          <w:pict>
            <v:rect fillcolor="#FFFFFF" style="position:absolute;rotation:-0;width:300pt;height:18pt;mso-wrap-distance-left:9.05pt;mso-wrap-distance-right:9.05pt;mso-wrap-distance-top:0pt;mso-wrap-distance-bottom:0pt;margin-top:745pt;mso-position-vertical-relative:text;margin-left:270pt;mso-position-horizontal-relative:text">
              <v:fill opacity="0f"/>
              <v:textbox inset="0.000694444444444445in,0.000694444444444445in,0.000694444444444445in,0.000694444444444445in">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v:textbox>
              <w10:wrap type="none"/>
            </v:rect>
          </w:pict>
        </mc:Fallback>
      </mc:AlternateContent>
    </w:r>
    <w:r>
      <mc:AlternateContent>
        <mc:Choice Requires="wps">
          <w:drawing>
            <wp:anchor behindDoc="1" distT="0" distB="0" distL="114935" distR="114935" simplePos="0" locked="0" layoutInCell="1" allowOverlap="1" relativeHeight="205">
              <wp:simplePos x="0" y="0"/>
              <wp:positionH relativeFrom="column">
                <wp:posOffset>3429000</wp:posOffset>
              </wp:positionH>
              <wp:positionV relativeFrom="paragraph">
                <wp:posOffset>9461500</wp:posOffset>
              </wp:positionV>
              <wp:extent cx="3810000" cy="228600"/>
              <wp:effectExtent l="0" t="0" r="0" b="0"/>
              <wp:wrapNone/>
              <wp:docPr id="29" name="Frame11"/>
              <a:graphic xmlns:a="http://schemas.openxmlformats.org/drawingml/2006/main">
                <a:graphicData uri="http://schemas.microsoft.com/office/word/2010/wordprocessingShape">
                  <wps:wsp>
                    <wps:cNvSpPr txBox="1"/>
                    <wps:spPr>
                      <a:xfrm>
                        <a:off x="0" y="0"/>
                        <a:ext cx="3810000" cy="228600"/>
                      </a:xfrm>
                      <a:prstGeom prst="rect"/>
                      <a:solidFill>
                        <a:srgbClr val="FFFFFF">
                          <a:alpha val="0"/>
                        </a:srgbClr>
                      </a:solidFill>
                    </wps:spPr>
                    <wps:txbx>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wps:txbx>
                    <wps:bodyPr anchor="t" lIns="635" tIns="635" rIns="635" bIns="635">
                      <a:noAutofit/>
                    </wps:bodyPr>
                  </wps:wsp>
                </a:graphicData>
              </a:graphic>
            </wp:anchor>
          </w:drawing>
        </mc:Choice>
        <mc:Fallback>
          <w:pict>
            <v:rect fillcolor="#FFFFFF" style="position:absolute;rotation:-0;width:300pt;height:18pt;mso-wrap-distance-left:9.05pt;mso-wrap-distance-right:9.05pt;mso-wrap-distance-top:0pt;mso-wrap-distance-bottom:0pt;margin-top:745pt;mso-position-vertical-relative:text;margin-left:270pt;mso-position-horizontal-relative:text">
              <v:fill opacity="0f"/>
              <v:textbox inset="0.000694444444444445in,0.000694444444444445in,0.000694444444444445in,0.000694444444444445in">
                <w:txbxContent>
                  <w:p>
                    <w:pPr>
                      <w:pStyle w:val="Normal"/>
                      <w:jc w:val="end"/>
                      <w:rPr/>
                    </w:pPr>
                    <w:r>
                      <w:rPr>
                        <w:i/>
                        <w:sz w:val="16"/>
                      </w:rPr>
                      <w:fldChar w:fldCharType="begin"/>
                    </w:r>
                    <w:r>
                      <w:rPr>
                        <w:sz w:val="16"/>
                        <w:i/>
                      </w:rPr>
                      <w:instrText xml:space="preserve"> DATE \@"M/d/yyyy" </w:instrText>
                    </w:r>
                    <w:r>
                      <w:rPr>
                        <w:sz w:val="16"/>
                        <w:i/>
                      </w:rPr>
                      <w:fldChar w:fldCharType="separate"/>
                    </w:r>
                    <w:r>
                      <w:rPr>
                        <w:sz w:val="16"/>
                        <w:i/>
                      </w:rPr>
                      <w:t>9/28/2025</w:t>
                    </w:r>
                    <w:r>
                      <w:rPr>
                        <w:sz w:val="16"/>
                        <w:i/>
                      </w:rPr>
                      <w:fldChar w:fldCharType="end"/>
                    </w:r>
                    <w:r>
                      <w:rPr>
                        <w:rFonts w:eastAsia="Arial"/>
                        <w:i/>
                        <w:sz w:val="16"/>
                      </w:rPr>
                      <w:t xml:space="preserve">  </w:t>
                    </w:r>
                    <w:r>
                      <w:rPr>
                        <w:i/>
                        <w:sz w:val="16"/>
                      </w:rPr>
                      <w:fldChar w:fldCharType="begin"/>
                    </w:r>
                    <w:r>
                      <w:rPr>
                        <w:sz w:val="16"/>
                        <w:i/>
                      </w:rPr>
                      <w:instrText xml:space="preserve"> FILENAME </w:instrText>
                    </w:r>
                    <w:r>
                      <w:rPr>
                        <w:sz w:val="16"/>
                        <w:i/>
                      </w:rPr>
                      <w:fldChar w:fldCharType="separate"/>
                    </w:r>
                    <w:r>
                      <w:rPr>
                        <w:sz w:val="16"/>
                        <w:i/>
                      </w:rPr>
                      <w:t>Florida_Info_Memo.doc</w:t>
                    </w:r>
                    <w:r>
                      <w:rPr>
                        <w:sz w:val="16"/>
                        <w:i/>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b/>
        <w:sz w:val="28"/>
      </w:rPr>
    </w:pPr>
    <w:r>
      <w:rPr>
        <w:rFonts w:eastAsia="Arial"/>
        <w:b/>
        <w:sz w:val="28"/>
      </w:rPr>
      <w:t xml:space="preserve">                  </w:t>
    </w:r>
    <w:r>
      <w:rPr>
        <w:b/>
        <w:sz w:val="28"/>
      </w:rPr>
      <mc:AlternateContent>
        <mc:Choice Requires="wps">
          <w:drawing>
            <wp:anchor behindDoc="1" distT="0" distB="0" distL="114935" distR="114935" simplePos="0" locked="0" layoutInCell="0" allowOverlap="1" relativeHeight="26">
              <wp:simplePos x="0" y="0"/>
              <wp:positionH relativeFrom="page">
                <wp:posOffset>1828800</wp:posOffset>
              </wp:positionH>
              <wp:positionV relativeFrom="page">
                <wp:posOffset>420370</wp:posOffset>
              </wp:positionV>
              <wp:extent cx="1917700" cy="0"/>
              <wp:effectExtent l="0" t="31750" r="0" b="31750"/>
              <wp:wrapNone/>
              <wp:docPr id="4"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1pt" to="294.95pt,33.1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7">
              <wp:simplePos x="0" y="0"/>
              <wp:positionH relativeFrom="page">
                <wp:posOffset>877570</wp:posOffset>
              </wp:positionH>
              <wp:positionV relativeFrom="page">
                <wp:posOffset>356870</wp:posOffset>
              </wp:positionV>
              <wp:extent cx="0" cy="8896350"/>
              <wp:effectExtent l="1905" t="0" r="1905" b="0"/>
              <wp:wrapNone/>
              <wp:docPr id="5"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1pt,28.1pt" to="69.1pt,728.5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28">
              <wp:simplePos x="0" y="0"/>
              <wp:positionH relativeFrom="page">
                <wp:posOffset>7352030</wp:posOffset>
              </wp:positionH>
              <wp:positionV relativeFrom="page">
                <wp:posOffset>356870</wp:posOffset>
              </wp:positionV>
              <wp:extent cx="0" cy="8896350"/>
              <wp:effectExtent l="1905" t="0" r="1905" b="0"/>
              <wp:wrapNone/>
              <wp:docPr id="6"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8.9pt,28.1pt" to="578.9pt,728.55pt" stroked="t" o:allowincell="f" style="position:absolute;mso-position-horizontal-relative:page;mso-position-vertical-relative:page">
              <v:stroke color="black" weight="3240" joinstyle="miter" endcap="flat"/>
              <v:fill o:detectmouseclick="t" on="false"/>
              <w10:wrap type="none"/>
            </v:line>
          </w:pict>
        </mc:Fallback>
      </mc:AlternateContent>
      <w:t>Enron North America Corp.</w:t>
    </w:r>
    <w:r>
      <mc:AlternateContent>
        <mc:Choice Requires="wps">
          <w:drawing>
            <wp:anchor behindDoc="1" distT="0" distB="0" distL="114935" distR="114935" simplePos="0" locked="0" layoutInCell="0" allowOverlap="1" relativeHeight="29">
              <wp:simplePos x="0" y="0"/>
              <wp:positionH relativeFrom="page">
                <wp:posOffset>5742305</wp:posOffset>
              </wp:positionH>
              <wp:positionV relativeFrom="page">
                <wp:posOffset>356870</wp:posOffset>
              </wp:positionV>
              <wp:extent cx="952500" cy="127000"/>
              <wp:effectExtent l="0" t="0" r="0" b="0"/>
              <wp:wrapNone/>
              <wp:docPr id="7" name="Frame2"/>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1pt;mso-position-vertical-relative:page;margin-left:452.15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b/>
        <w:sz w:val="28"/>
      </w:rPr>
    </w:pPr>
    <w:r>
      <w:rPr>
        <w:rFonts w:eastAsia="Arial"/>
        <w:b/>
        <w:sz w:val="28"/>
      </w:rPr>
      <w:t xml:space="preserve">                  </w:t>
    </w:r>
    <w:r>
      <w:rPr>
        <w:b/>
        <w:sz w:val="28"/>
      </w:rPr>
      <mc:AlternateContent>
        <mc:Choice Requires="wps">
          <w:drawing>
            <wp:anchor behindDoc="1" distT="0" distB="0" distL="114935" distR="114935" simplePos="0" locked="0" layoutInCell="0" allowOverlap="1" relativeHeight="35">
              <wp:simplePos x="0" y="0"/>
              <wp:positionH relativeFrom="page">
                <wp:posOffset>1828800</wp:posOffset>
              </wp:positionH>
              <wp:positionV relativeFrom="page">
                <wp:posOffset>420370</wp:posOffset>
              </wp:positionV>
              <wp:extent cx="1917700" cy="0"/>
              <wp:effectExtent l="0" t="31750" r="0" b="31750"/>
              <wp:wrapNone/>
              <wp:docPr id="8"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1pt" to="294.95pt,33.1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1">
              <wp:simplePos x="0" y="0"/>
              <wp:positionH relativeFrom="page">
                <wp:posOffset>877570</wp:posOffset>
              </wp:positionH>
              <wp:positionV relativeFrom="page">
                <wp:posOffset>356870</wp:posOffset>
              </wp:positionV>
              <wp:extent cx="0" cy="8896350"/>
              <wp:effectExtent l="1905" t="0" r="1905" b="0"/>
              <wp:wrapNone/>
              <wp:docPr id="9"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1pt,28.1pt" to="69.1pt,728.5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47">
              <wp:simplePos x="0" y="0"/>
              <wp:positionH relativeFrom="page">
                <wp:posOffset>7352030</wp:posOffset>
              </wp:positionH>
              <wp:positionV relativeFrom="page">
                <wp:posOffset>356870</wp:posOffset>
              </wp:positionV>
              <wp:extent cx="0" cy="8896350"/>
              <wp:effectExtent l="1905" t="0" r="1905" b="0"/>
              <wp:wrapNone/>
              <wp:docPr id="10"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8.9pt,28.1pt" to="578.9pt,728.55pt" stroked="t" o:allowincell="f" style="position:absolute;mso-position-horizontal-relative:page;mso-position-vertical-relative:page">
              <v:stroke color="black" weight="3240" joinstyle="miter" endcap="flat"/>
              <v:fill o:detectmouseclick="t" on="false"/>
              <w10:wrap type="none"/>
            </v:line>
          </w:pict>
        </mc:Fallback>
      </mc:AlternateContent>
      <w:t>Enron North America Corp.</w:t>
    </w:r>
    <w:r>
      <mc:AlternateContent>
        <mc:Choice Requires="wps">
          <w:drawing>
            <wp:anchor behindDoc="1" distT="0" distB="0" distL="114935" distR="114935" simplePos="0" locked="0" layoutInCell="0" allowOverlap="1" relativeHeight="53">
              <wp:simplePos x="0" y="0"/>
              <wp:positionH relativeFrom="page">
                <wp:posOffset>5742305</wp:posOffset>
              </wp:positionH>
              <wp:positionV relativeFrom="page">
                <wp:posOffset>356870</wp:posOffset>
              </wp:positionV>
              <wp:extent cx="952500" cy="127000"/>
              <wp:effectExtent l="0" t="0" r="0" b="0"/>
              <wp:wrapNone/>
              <wp:docPr id="11" name="Frame7"/>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1pt;mso-position-vertical-relative:page;margin-left:452.15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ind w:end="360"/>
      <w:rPr>
        <w:b/>
        <w:sz w:val="28"/>
      </w:rPr>
    </w:pPr>
    <w:r>
      <w:rPr>
        <w:rFonts w:eastAsia="Arial"/>
        <w:b/>
        <w:sz w:val="28"/>
      </w:rPr>
      <w:t xml:space="preserve">                  </w:t>
    </w:r>
    <w:r>
      <w:rPr>
        <w:b/>
        <w:sz w:val="28"/>
      </w:rPr>
      <mc:AlternateContent>
        <mc:Choice Requires="wps">
          <w:drawing>
            <wp:anchor behindDoc="1" distT="0" distB="0" distL="114935" distR="114935" simplePos="0" locked="0" layoutInCell="0" allowOverlap="1" relativeHeight="67">
              <wp:simplePos x="0" y="0"/>
              <wp:positionH relativeFrom="page">
                <wp:posOffset>1828800</wp:posOffset>
              </wp:positionH>
              <wp:positionV relativeFrom="page">
                <wp:posOffset>420370</wp:posOffset>
              </wp:positionV>
              <wp:extent cx="1917700" cy="0"/>
              <wp:effectExtent l="0" t="31750" r="0" b="31750"/>
              <wp:wrapNone/>
              <wp:docPr id="20" name=""/>
              <a:graphic xmlns:a="http://schemas.openxmlformats.org/drawingml/2006/main">
                <a:graphicData uri="http://schemas.microsoft.com/office/word/2010/wordprocessingShape">
                  <wps:wsp>
                    <wps:cNvSpPr/>
                    <wps:spPr>
                      <a:xfrm>
                        <a:off x="0" y="0"/>
                        <a:ext cx="1917720" cy="0"/>
                      </a:xfrm>
                      <a:prstGeom prst="line">
                        <a:avLst/>
                      </a:prstGeom>
                      <a:ln w="63360">
                        <a:solidFill>
                          <a:srgbClr val="000000"/>
                        </a:solidFill>
                        <a:miter/>
                      </a:ln>
                    </wps:spPr>
                    <wps:style>
                      <a:lnRef idx="0"/>
                      <a:fillRef idx="0"/>
                      <a:effectRef idx="0"/>
                      <a:fontRef idx="minor"/>
                    </wps:style>
                    <wps:bodyPr/>
                  </wps:wsp>
                </a:graphicData>
              </a:graphic>
            </wp:anchor>
          </w:drawing>
        </mc:Choice>
        <mc:Fallback>
          <w:pict>
            <v:line id="shape_0" from="144pt,33.1pt" to="294.95pt,33.1pt" stroked="t" o:allowincell="f" style="position:absolute;mso-position-horizontal-relative:page;mso-position-vertical-relative:page">
              <v:stroke color="black" weight="6336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81">
              <wp:simplePos x="0" y="0"/>
              <wp:positionH relativeFrom="page">
                <wp:posOffset>877570</wp:posOffset>
              </wp:positionH>
              <wp:positionV relativeFrom="page">
                <wp:posOffset>356870</wp:posOffset>
              </wp:positionV>
              <wp:extent cx="0" cy="8896350"/>
              <wp:effectExtent l="1905" t="0" r="1905" b="0"/>
              <wp:wrapNone/>
              <wp:docPr id="21"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69.1pt,28.1pt" to="69.1pt,728.55pt" stroked="t" o:allowincell="f" style="position:absolute;mso-position-horizontal-relative:page;mso-position-vertical-relative:page">
              <v:stroke color="black" weight="3240" joinstyle="miter" endcap="flat"/>
              <v:fill o:detectmouseclick="t" on="false"/>
              <w10:wrap type="none"/>
            </v:line>
          </w:pict>
        </mc:Fallback>
      </mc:AlternateContent>
      <mc:AlternateContent>
        <mc:Choice Requires="wps">
          <w:drawing>
            <wp:anchor behindDoc="1" distT="0" distB="0" distL="114935" distR="114935" simplePos="0" locked="0" layoutInCell="0" allowOverlap="1" relativeHeight="95">
              <wp:simplePos x="0" y="0"/>
              <wp:positionH relativeFrom="page">
                <wp:posOffset>7352030</wp:posOffset>
              </wp:positionH>
              <wp:positionV relativeFrom="page">
                <wp:posOffset>356870</wp:posOffset>
              </wp:positionV>
              <wp:extent cx="0" cy="8896350"/>
              <wp:effectExtent l="1905" t="0" r="1905" b="0"/>
              <wp:wrapNone/>
              <wp:docPr id="22" name=""/>
              <a:graphic xmlns:a="http://schemas.openxmlformats.org/drawingml/2006/main">
                <a:graphicData uri="http://schemas.microsoft.com/office/word/2010/wordprocessingShape">
                  <wps:wsp>
                    <wps:cNvSpPr/>
                    <wps:spPr>
                      <a:xfrm>
                        <a:off x="0" y="0"/>
                        <a:ext cx="0" cy="8896320"/>
                      </a:xfrm>
                      <a:prstGeom prst="line">
                        <a:avLst/>
                      </a:prstGeom>
                      <a:ln w="3240">
                        <a:solidFill>
                          <a:srgbClr val="000000"/>
                        </a:solidFill>
                        <a:miter/>
                      </a:ln>
                    </wps:spPr>
                    <wps:style>
                      <a:lnRef idx="0"/>
                      <a:fillRef idx="0"/>
                      <a:effectRef idx="0"/>
                      <a:fontRef idx="minor"/>
                    </wps:style>
                    <wps:bodyPr/>
                  </wps:wsp>
                </a:graphicData>
              </a:graphic>
            </wp:anchor>
          </w:drawing>
        </mc:Choice>
        <mc:Fallback>
          <w:pict>
            <v:line id="shape_0" from="578.9pt,28.1pt" to="578.9pt,728.55pt" stroked="t" o:allowincell="f" style="position:absolute;mso-position-horizontal-relative:page;mso-position-vertical-relative:page">
              <v:stroke color="black" weight="3240" joinstyle="miter" endcap="flat"/>
              <v:fill o:detectmouseclick="t" on="false"/>
              <w10:wrap type="none"/>
            </v:line>
          </w:pict>
        </mc:Fallback>
      </mc:AlternateContent>
      <w:t>Enron North America Corp.</w:t>
    </w:r>
    <w:r>
      <mc:AlternateContent>
        <mc:Choice Requires="wps">
          <w:drawing>
            <wp:anchor behindDoc="0" distT="0" distB="0" distL="0" distR="0" simplePos="0" locked="0" layoutInCell="0" allowOverlap="1" relativeHeight="25">
              <wp:simplePos x="0" y="0"/>
              <wp:positionH relativeFrom="page">
                <wp:posOffset>6934835</wp:posOffset>
              </wp:positionH>
              <wp:positionV relativeFrom="page">
                <wp:posOffset>356235</wp:posOffset>
              </wp:positionV>
              <wp:extent cx="304800" cy="131445"/>
              <wp:effectExtent l="0" t="0" r="0" b="0"/>
              <wp:wrapTopAndBottom/>
              <wp:docPr id="23" name="Frame12"/>
              <a:graphic xmlns:a="http://schemas.openxmlformats.org/drawingml/2006/main">
                <a:graphicData uri="http://schemas.microsoft.com/office/word/2010/wordprocessingShape">
                  <wps:wsp>
                    <wps:cNvSpPr txBox="1"/>
                    <wps:spPr>
                      <a:xfrm>
                        <a:off x="0" y="0"/>
                        <a:ext cx="304800" cy="131445"/>
                      </a:xfrm>
                      <a:prstGeom prst="rect"/>
                      <a:solidFill>
                        <a:srgbClr val="FFFFFF">
                          <a:alpha val="0"/>
                        </a:srgbClr>
                      </a:solidFill>
                    </wps:spPr>
                    <wps:txbx>
                      <w:txbxContent>
                        <w:p>
                          <w:pPr>
                            <w:pStyle w:val="Header"/>
                            <w:jc w:val="end"/>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24pt;height:10.35pt;mso-wrap-distance-left:0pt;mso-wrap-distance-right:0pt;mso-wrap-distance-top:0pt;mso-wrap-distance-bottom:0pt;margin-top:28.05pt;mso-position-vertical-relative:page;margin-left:546.05pt;mso-position-horizontal-relative:page">
              <v:fill opacity="0f"/>
              <v:textbox inset="0in,0in,0in,0in">
                <w:txbxContent>
                  <w:p>
                    <w:pPr>
                      <w:pStyle w:val="Header"/>
                      <w:jc w:val="end"/>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14</w:t>
                    </w:r>
                    <w:r>
                      <w:rPr>
                        <w:rStyle w:val="PageNumber"/>
                      </w:rPr>
                      <w:fldChar w:fldCharType="end"/>
                    </w:r>
                  </w:p>
                </w:txbxContent>
              </v:textbox>
              <w10:wrap type="topAndBottom"/>
            </v:rect>
          </w:pict>
        </mc:Fallback>
      </mc:AlternateContent>
    </w:r>
    <w:r>
      <mc:AlternateContent>
        <mc:Choice Requires="wps">
          <w:drawing>
            <wp:anchor behindDoc="1" distT="0" distB="0" distL="114935" distR="114935" simplePos="0" locked="0" layoutInCell="0" allowOverlap="1" relativeHeight="109">
              <wp:simplePos x="0" y="0"/>
              <wp:positionH relativeFrom="page">
                <wp:posOffset>5742305</wp:posOffset>
              </wp:positionH>
              <wp:positionV relativeFrom="page">
                <wp:posOffset>356870</wp:posOffset>
              </wp:positionV>
              <wp:extent cx="952500" cy="127000"/>
              <wp:effectExtent l="0" t="0" r="0" b="0"/>
              <wp:wrapNone/>
              <wp:docPr id="24" name="Frame13"/>
              <a:graphic xmlns:a="http://schemas.openxmlformats.org/drawingml/2006/main">
                <a:graphicData uri="http://schemas.microsoft.com/office/word/2010/wordprocessingShape">
                  <wps:wsp>
                    <wps:cNvSpPr txBox="1"/>
                    <wps:spPr>
                      <a:xfrm>
                        <a:off x="0" y="0"/>
                        <a:ext cx="952500" cy="127000"/>
                      </a:xfrm>
                      <a:prstGeom prst="rect"/>
                      <a:solidFill>
                        <a:srgbClr val="FFFFFF">
                          <a:alpha val="0"/>
                        </a:srgbClr>
                      </a:solidFill>
                    </wps:spPr>
                    <wps:txbx>
                      <w:txbxContent>
                        <w:p>
                          <w:pPr>
                            <w:pStyle w:val="Normal"/>
                            <w:rPr>
                              <w:b/>
                              <w:sz w:val="18"/>
                            </w:rPr>
                          </w:pPr>
                          <w:r>
                            <w:rPr>
                              <w:b/>
                              <w:sz w:val="18"/>
                            </w:rPr>
                            <w:t>CONFIDENTIAL</w:t>
                          </w:r>
                        </w:p>
                      </w:txbxContent>
                    </wps:txbx>
                    <wps:bodyPr anchor="t" lIns="635" tIns="635" rIns="635" bIns="635">
                      <a:noAutofit/>
                    </wps:bodyPr>
                  </wps:wsp>
                </a:graphicData>
              </a:graphic>
            </wp:anchor>
          </w:drawing>
        </mc:Choice>
        <mc:Fallback>
          <w:pict>
            <v:rect fillcolor="#FFFFFF" style="position:absolute;rotation:-0;width:75pt;height:10pt;mso-wrap-distance-left:9.05pt;mso-wrap-distance-right:9.05pt;mso-wrap-distance-top:0pt;mso-wrap-distance-bottom:0pt;margin-top:28.1pt;mso-position-vertical-relative:page;margin-left:452.15pt;mso-position-horizontal-relative:page">
              <v:fill opacity="0f"/>
              <v:textbox inset="0.000694444444444445in,0.000694444444444445in,0.000694444444444445in,0.000694444444444445in">
                <w:txbxContent>
                  <w:p>
                    <w:pPr>
                      <w:pStyle w:val="Normal"/>
                      <w:rPr>
                        <w:b/>
                        <w:sz w:val="18"/>
                      </w:rPr>
                    </w:pPr>
                    <w:r>
                      <w:rPr>
                        <w:b/>
                        <w:sz w:val="18"/>
                      </w:rPr>
                      <w:t>CONFIDENTIAL</w:t>
                    </w:r>
                  </w:p>
                </w:txbxContent>
              </v:textbox>
              <w10:wrap type="none"/>
            </v:rect>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decimal"/>
      <w:lvlText w:val="%1."/>
      <w:lvlJc w:val="start"/>
      <w:pPr>
        <w:tabs>
          <w:tab w:val="num" w:pos="1800"/>
        </w:tabs>
        <w:ind w:start="1800" w:hanging="360"/>
      </w:pPr>
    </w:lvl>
  </w:abstractNum>
  <w:abstractNum w:abstractNumId="3">
    <w:lvl w:ilvl="0">
      <w:start w:val="1"/>
      <w:numFmt w:val="decimal"/>
      <w:lvlText w:val="(%1)"/>
      <w:lvlJc w:val="start"/>
      <w:pPr>
        <w:tabs>
          <w:tab w:val="num" w:pos="4824"/>
        </w:tabs>
        <w:ind w:start="4752" w:hanging="288"/>
      </w:pPr>
    </w:lvl>
  </w:abstractNum>
  <w:abstractNum w:abstractNumId="4">
    <w:lvl w:ilvl="0">
      <w:start w:val="1"/>
      <w:numFmt w:val="decimal"/>
      <w:lvlText w:val="(%1)"/>
      <w:lvlJc w:val="start"/>
      <w:pPr>
        <w:tabs>
          <w:tab w:val="num" w:pos="1800"/>
        </w:tabs>
        <w:ind w:start="1728" w:hanging="288"/>
      </w:pPr>
    </w:lvl>
  </w:abstractNum>
  <w:abstractNum w:abstractNumId="5">
    <w:lvl w:ilvl="0">
      <w:start w:val="1"/>
      <w:numFmt w:val="decimal"/>
      <w:lvlText w:val="%1."/>
      <w:lvlJc w:val="start"/>
      <w:pPr>
        <w:tabs>
          <w:tab w:val="num" w:pos="720"/>
        </w:tabs>
        <w:ind w:start="720" w:hanging="360"/>
      </w:pPr>
    </w:lvl>
  </w:abstractNum>
  <w:abstractNum w:abstractNumId="6">
    <w:lvl w:ilvl="0">
      <w:start w:val="1"/>
      <w:numFmt w:val="bullet"/>
      <w:lvlText w:val=""/>
      <w:lvlJc w:val="start"/>
      <w:pPr>
        <w:tabs>
          <w:tab w:val="num" w:pos="1800"/>
        </w:tabs>
        <w:ind w:start="1800" w:hanging="360"/>
      </w:pPr>
      <w:rPr>
        <w:rFonts w:ascii="Wingdings" w:hAnsi="Wingdings" w:cs="Wingdings" w:hint="default"/>
      </w:rPr>
    </w:lvl>
  </w:abstractNum>
  <w:abstractNum w:abstractNumId="7">
    <w:lvl w:ilvl="0">
      <w:start w:val="1"/>
      <w:numFmt w:val="bullet"/>
      <w:lvlText w:val=""/>
      <w:lvlJc w:val="start"/>
      <w:pPr>
        <w:tabs>
          <w:tab w:val="num" w:pos="1440"/>
        </w:tabs>
        <w:ind w:start="1440" w:hanging="360"/>
      </w:pPr>
      <w:rPr>
        <w:rFonts w:ascii="Wingdings" w:hAnsi="Wingdings" w:cs="Wingdings" w:hint="default"/>
      </w:rPr>
    </w:lvl>
  </w:abstractNum>
  <w:abstractNum w:abstractNumId="8">
    <w:lvl w:ilvl="0">
      <w:start w:val="1"/>
      <w:numFmt w:val="bullet"/>
      <w:lvlText w:val=""/>
      <w:lvlJc w:val="start"/>
      <w:pPr>
        <w:tabs>
          <w:tab w:val="num" w:pos="1080"/>
        </w:tabs>
        <w:ind w:start="1080" w:hanging="360"/>
      </w:pPr>
      <w:rPr>
        <w:rFonts w:ascii="Wingdings" w:hAnsi="Wingdings" w:cs="Wingdings" w:hint="default"/>
      </w:rPr>
    </w:lvl>
  </w:abstractNum>
  <w:abstractNum w:abstractNumId="9">
    <w:lvl w:ilvl="0">
      <w:start w:val="1"/>
      <w:numFmt w:val="bullet"/>
      <w:lvlText w:val=""/>
      <w:lvlJc w:val="start"/>
      <w:pPr>
        <w:tabs>
          <w:tab w:val="num" w:pos="720"/>
        </w:tabs>
        <w:ind w:start="720" w:hanging="360"/>
      </w:pPr>
      <w:rPr>
        <w:rFonts w:ascii="Wingdings" w:hAnsi="Wingdings" w:cs="Wingdings" w:hint="default"/>
      </w:rPr>
    </w:lvl>
  </w:abstractNum>
  <w:abstractNum w:abstractNumId="10">
    <w:lvl w:ilvl="0">
      <w:start w:val="1"/>
      <w:numFmt w:val="decimal"/>
      <w:lvlText w:val="(%1)"/>
      <w:lvlJc w:val="start"/>
      <w:pPr>
        <w:tabs>
          <w:tab w:val="num" w:pos="360"/>
        </w:tabs>
        <w:ind w:start="288" w:hanging="288"/>
      </w:pPr>
    </w:lvl>
  </w:abstractNum>
  <w:abstractNum w:abstractNumId="11">
    <w:lvl w:ilvl="0">
      <w:start w:val="1"/>
      <w:numFmt w:val="bullet"/>
      <w:lvlText w:val=""/>
      <w:lvlJc w:val="start"/>
      <w:pPr>
        <w:tabs>
          <w:tab w:val="num" w:pos="360"/>
        </w:tabs>
        <w:ind w:start="360" w:hanging="360"/>
      </w:pPr>
      <w:rPr>
        <w:rFonts w:ascii="Wingdings" w:hAnsi="Wingdings" w:cs="Wingdings" w:hint="default"/>
      </w:rPr>
    </w:lvl>
  </w:abstractNum>
  <w:abstractNum w:abstractNumId="12">
    <w:lvl w:ilvl="0">
      <w:start w:val="1"/>
      <w:numFmt w:val="upperLetter"/>
      <w:lvlText w:val="%1."/>
      <w:lvlJc w:val="start"/>
      <w:pPr>
        <w:tabs>
          <w:tab w:val="num" w:pos="2160"/>
        </w:tabs>
        <w:ind w:start="2160" w:hanging="360"/>
      </w:pPr>
      <w:rPr/>
    </w:lvl>
  </w:abstractNum>
  <w:abstractNum w:abstractNumId="13">
    <w:lvl w:ilvl="0">
      <w:start w:val="1"/>
      <w:numFmt w:val="bullet"/>
      <w:lvlText w:val=""/>
      <w:lvlJc w:val="start"/>
      <w:pPr>
        <w:tabs>
          <w:tab w:val="num" w:pos="3600"/>
        </w:tabs>
        <w:ind w:start="3600" w:hanging="360"/>
      </w:pPr>
      <w:rPr>
        <w:rFonts w:ascii="Symbol" w:hAnsi="Symbol" w:cs="Symbol" w:hint="default"/>
        <w:position w:val="2"/>
        <w:u w:val="none"/>
      </w:rPr>
    </w:lvl>
  </w:abstractNum>
  <w:abstractNum w:abstractNumId="14">
    <w:lvl w:ilvl="0">
      <w:start w:val="1"/>
      <w:numFmt w:val="bullet"/>
      <w:lvlText w:val=""/>
      <w:lvlJc w:val="start"/>
      <w:pPr>
        <w:tabs>
          <w:tab w:val="num" w:pos="2160"/>
        </w:tabs>
        <w:ind w:start="2160" w:hanging="360"/>
      </w:pPr>
      <w:rPr>
        <w:rFonts w:ascii="Symbol" w:hAnsi="Symbol" w:cs="Symbol" w:hint="default"/>
        <w:position w:val="2"/>
        <w:u w:val="none"/>
        <w:color w:val="auto"/>
      </w:rPr>
    </w:lvl>
  </w:abstractNum>
  <w:abstractNum w:abstractNumId="15">
    <w:lvl w:ilvl="0">
      <w:start w:val="1"/>
      <w:numFmt w:val="upperLetter"/>
      <w:lvlText w:val="%1."/>
      <w:lvlJc w:val="start"/>
      <w:pPr>
        <w:tabs>
          <w:tab w:val="num" w:pos="1440"/>
        </w:tabs>
        <w:ind w:start="1440" w:hanging="720"/>
      </w:pPr>
      <w:rPr/>
    </w:lvl>
  </w:abstractNum>
  <w:abstractNum w:abstractNumId="16">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000000"/>
      </w:rPr>
    </w:lvl>
  </w:abstractNum>
  <w:abstractNum w:abstractNumId="17">
    <w:lvl w:ilvl="0">
      <w:start w:val="1"/>
      <w:numFmt w:val="bullet"/>
      <w:lvlText w:val=""/>
      <w:lvlJc w:val="start"/>
      <w:pPr>
        <w:tabs>
          <w:tab w:val="num" w:pos="720"/>
        </w:tabs>
        <w:ind w:start="720" w:hanging="360"/>
      </w:pPr>
      <w:rPr>
        <w:rFonts w:ascii="Symbol" w:hAnsi="Symbol" w:cs="Symbol" w:hint="default"/>
      </w:rPr>
    </w:lvl>
  </w:abstractNum>
  <w:abstractNum w:abstractNumId="18">
    <w:lvl w:ilvl="0">
      <w:start w:val="1"/>
      <w:numFmt w:val="bullet"/>
      <w:lvlText w:val=""/>
      <w:lvlJc w:val="start"/>
      <w:pPr>
        <w:tabs>
          <w:tab w:val="num" w:pos="2160"/>
        </w:tabs>
        <w:ind w:start="2160" w:hanging="360"/>
      </w:pPr>
      <w:rPr>
        <w:rFonts w:ascii="Wingdings" w:hAnsi="Wingdings" w:cs="Wingdings" w:hint="default"/>
        <w:position w:val="4"/>
        <w:sz w:val="10"/>
        <w:i w:val="false"/>
        <w:u w:val="none"/>
        <w:b w:val="false"/>
        <w:color w:val="auto"/>
      </w:rPr>
    </w:lvl>
  </w:abstractNum>
  <w:abstractNum w:abstractNumId="19">
    <w:lvl w:ilvl="0">
      <w:start w:val="7"/>
      <w:numFmt w:val="upperLetter"/>
      <w:lvlText w:val="%1."/>
      <w:lvlJc w:val="start"/>
      <w:pPr>
        <w:tabs>
          <w:tab w:val="num" w:pos="2160"/>
        </w:tabs>
        <w:ind w:start="2160" w:hanging="360"/>
      </w:pPr>
      <w:rPr/>
    </w:lvl>
  </w:abstractNum>
  <w:abstractNum w:abstractNumId="20">
    <w:lvl w:ilvl="0">
      <w:start w:val="1"/>
      <w:numFmt w:val="bullet"/>
      <w:lvlText w:val=""/>
      <w:lvlJc w:val="start"/>
      <w:pPr>
        <w:tabs>
          <w:tab w:val="num" w:pos="3600"/>
        </w:tabs>
        <w:ind w:start="3600" w:hanging="360"/>
      </w:pPr>
      <w:rPr>
        <w:rFonts w:ascii="Wingdings" w:hAnsi="Wingdings" w:cs="Wingdings" w:hint="default"/>
        <w:position w:val="6"/>
        <w:sz w:val="12"/>
        <w:i w:val="false"/>
        <w:u w:val="none"/>
        <w:b w:val="false"/>
        <w:color w:val="auto"/>
      </w:rPr>
    </w:lvl>
  </w:abstractNum>
  <w:abstractNum w:abstractNumId="21">
    <w:lvl w:ilvl="0">
      <w:start w:val="1"/>
      <w:numFmt w:val="bullet"/>
      <w:lvlText w:val=""/>
      <w:lvlJc w:val="start"/>
      <w:pPr>
        <w:tabs>
          <w:tab w:val="num" w:pos="432"/>
        </w:tabs>
        <w:ind w:start="360" w:hanging="288"/>
      </w:pPr>
      <w:rPr>
        <w:rFonts w:ascii="Symbol" w:hAnsi="Symbol" w:cs="Symbol" w:hint="default"/>
        <w:vertAlign w:val="baseline"/>
        <w:position w:val="0"/>
        <w:sz w:val="24"/>
        <w:u w:val="none"/>
        <w:color w:val="000000"/>
      </w:rPr>
    </w:lvl>
  </w:abstractNum>
  <w:abstractNum w:abstractNumId="22">
    <w:lvl w:ilvl="0">
      <w:start w:val="1"/>
      <w:numFmt w:val="decimal"/>
      <w:lvlText w:val="%1."/>
      <w:lvlJc w:val="start"/>
      <w:pPr>
        <w:tabs>
          <w:tab w:val="num" w:pos="4320"/>
        </w:tabs>
        <w:ind w:start="4320" w:hanging="720"/>
      </w:pPr>
      <w:rPr>
        <w:smallCaps w:val="false"/>
        <w:caps w:val="false"/>
        <w:outline w:val="false"/>
        <w:dstrike w:val="false"/>
        <w:strike w:val="false"/>
        <w:vertAlign w:val="baseline"/>
        <w:position w:val="0"/>
        <w:sz w:val="24"/>
        <w:shadow w:val="false"/>
        <w:u w:val="none"/>
        <w:kern w:val="0"/>
        <w:vanish w:val="false"/>
        <w:color w:val="auto"/>
      </w:rPr>
    </w:lvl>
  </w:abstractNum>
  <w:abstractNum w:abstractNumId="23">
    <w:lvl w:ilvl="0">
      <w:start w:val="2"/>
      <w:numFmt w:val="upperLetter"/>
      <w:lvlText w:val="%1."/>
      <w:lvlJc w:val="start"/>
      <w:pPr>
        <w:tabs>
          <w:tab w:val="num" w:pos="1080"/>
        </w:tabs>
        <w:ind w:start="1080" w:hanging="360"/>
      </w:pPr>
      <w:rPr/>
    </w:lvl>
  </w:abstractNum>
  <w:abstractNum w:abstractNumId="24">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color w:val="auto"/>
      </w:rPr>
    </w:lvl>
  </w:abstractNum>
  <w:abstractNum w:abstractNumId="25">
    <w:lvl w:ilvl="0">
      <w:start w:val="1"/>
      <w:numFmt w:val="bullet"/>
      <w:lvlText w:val=""/>
      <w:lvlJc w:val="start"/>
      <w:pPr>
        <w:tabs>
          <w:tab w:val="num" w:pos="3600"/>
        </w:tabs>
        <w:ind w:start="3600" w:hanging="360"/>
      </w:pPr>
      <w:rPr>
        <w:rFonts w:ascii="Symbol" w:hAnsi="Symbol" w:cs="Symbol" w:hint="default"/>
      </w:rPr>
    </w:lvl>
  </w:abstractNum>
  <w:abstractNum w:abstractNumId="26">
    <w:lvl w:ilvl="0">
      <w:start w:val="1"/>
      <w:numFmt w:val="bullet"/>
      <w:lvlText w:val=""/>
      <w:lvlJc w:val="start"/>
      <w:pPr>
        <w:tabs>
          <w:tab w:val="num" w:pos="5040"/>
        </w:tabs>
        <w:ind w:start="5040" w:hanging="360"/>
      </w:pPr>
      <w:rPr>
        <w:rFonts w:ascii="Symbol" w:hAnsi="Symbol" w:cs="Symbol" w:hint="default"/>
        <w:vertAlign w:val="baseline"/>
        <w:position w:val="0"/>
        <w:sz w:val="24"/>
        <w:u w:val="none"/>
        <w:color w:val="auto"/>
      </w:rPr>
    </w:lvl>
  </w:abstractNum>
  <w:abstractNum w:abstractNumId="27">
    <w:lvl w:ilvl="0">
      <w:start w:val="1"/>
      <w:numFmt w:val="bullet"/>
      <w:lvlText w:val=""/>
      <w:lvlJc w:val="start"/>
      <w:pPr>
        <w:tabs>
          <w:tab w:val="num" w:pos="720"/>
        </w:tabs>
        <w:ind w:start="720" w:hanging="360"/>
      </w:pPr>
      <w:rPr>
        <w:rFonts w:ascii="Wingdings" w:hAnsi="Wingdings" w:cs="Wingdings" w:hint="default"/>
        <w:smallCaps w:val="false"/>
        <w:caps w:val="false"/>
        <w:outline w:val="false"/>
        <w:dstrike w:val="false"/>
        <w:strike w:val="false"/>
        <w:vertAlign w:val="baseline"/>
        <w:position w:val="0"/>
        <w:sz w:val="12"/>
        <w:sz w:val="12"/>
        <w:i w:val="false"/>
        <w:shadow w:val="false"/>
        <w:u w:val="none"/>
        <w:b w:val="false"/>
        <w:kern w:val="0"/>
        <w:vanish w:val="false"/>
        <w:color w:val="auto"/>
      </w:rPr>
    </w:lvl>
  </w:abstractNum>
  <w:abstractNum w:abstractNumId="28">
    <w:lvl w:ilvl="0">
      <w:start w:val="1"/>
      <w:numFmt w:val="bullet"/>
      <w:lvlText w:val=""/>
      <w:lvlJc w:val="start"/>
      <w:pPr>
        <w:tabs>
          <w:tab w:val="num" w:pos="4320"/>
        </w:tabs>
        <w:ind w:start="4320" w:hanging="360"/>
      </w:pPr>
      <w:rPr>
        <w:rFonts w:ascii="Wingdings" w:hAnsi="Wingdings" w:cs="Wingdings" w:hint="default"/>
        <w:position w:val="4"/>
        <w:sz w:val="10"/>
        <w:i w:val="false"/>
        <w:u w:val="none"/>
        <w:b w:val="false"/>
        <w:color w:val="auto"/>
      </w:rPr>
    </w:lvl>
  </w:abstractNum>
  <w:abstractNum w:abstractNumId="29">
    <w:lvl w:ilvl="0">
      <w:start w:val="1"/>
      <w:numFmt w:val="bullet"/>
      <w:lvlText w:val=""/>
      <w:lvlJc w:val="start"/>
      <w:pPr>
        <w:tabs>
          <w:tab w:val="num" w:pos="360"/>
        </w:tabs>
        <w:ind w:start="360" w:hanging="360"/>
      </w:pPr>
      <w:rPr>
        <w:rFonts w:ascii="Symbol" w:hAnsi="Symbol" w:cs="Symbol" w:hint="default"/>
        <w:smallCaps w:val="false"/>
        <w:caps w:val="false"/>
        <w:outline w:val="false"/>
        <w:dstrike w:val="false"/>
        <w:strike w:val="false"/>
        <w:vertAlign w:val="baseline"/>
        <w:position w:val="0"/>
        <w:sz w:val="24"/>
        <w:shadow w:val="false"/>
        <w:u w:val="none"/>
        <w:kern w:val="0"/>
        <w:vanish w:val="false"/>
        <w:color w:val="auto"/>
      </w:rPr>
    </w:lvl>
  </w:abstractNum>
  <w:abstractNum w:abstractNumId="30">
    <w:lvl w:ilvl="0">
      <w:start w:val="1"/>
      <w:numFmt w:val="decimal"/>
      <w:lvlText w:val="%1."/>
      <w:lvlJc w:val="start"/>
      <w:pPr>
        <w:tabs>
          <w:tab w:val="num" w:pos="5040"/>
        </w:tabs>
        <w:ind w:start="504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31">
    <w:lvl w:ilvl="0">
      <w:start w:val="1"/>
      <w:numFmt w:val="decimal"/>
      <w:lvlText w:val="%1."/>
      <w:lvlJc w:val="start"/>
      <w:pPr>
        <w:tabs>
          <w:tab w:val="num" w:pos="2160"/>
        </w:tabs>
        <w:ind w:start="2160" w:hanging="720"/>
      </w:pPr>
    </w:lvl>
  </w:abstractNum>
  <w:abstractNum w:abstractNumId="32">
    <w:lvl w:ilvl="0">
      <w:start w:val="1"/>
      <w:numFmt w:val="decimal"/>
      <w:lvlText w:val="%1"/>
      <w:lvlJc w:val="start"/>
      <w:pPr>
        <w:tabs>
          <w:tab w:val="num" w:pos="720"/>
        </w:tabs>
        <w:ind w:start="720" w:hanging="720"/>
      </w:pPr>
    </w:lvl>
  </w:abstractNum>
  <w:abstractNum w:abstractNumId="33">
    <w:lvl w:ilvl="0">
      <w:start w:val="1"/>
      <w:numFmt w:val="none"/>
      <w:suff w:val="nothing"/>
      <w:lvlText w:val="(Continued on next page)"/>
      <w:lvlJc w:val="start"/>
      <w:pPr>
        <w:tabs>
          <w:tab w:val="num" w:pos="3240"/>
        </w:tabs>
        <w:ind w:start="0" w:hanging="0"/>
      </w:pPr>
      <w:rPr>
        <w:sz w:val="24"/>
        <w:i/>
        <w:u w:val="none"/>
        <w:b/>
        <w:rFonts w:ascii="Arial" w:hAnsi="Arial" w:cs="Arial"/>
        <w:color w:val="auto"/>
      </w:rPr>
    </w:lvl>
  </w:abstractNum>
  <w:abstractNum w:abstractNumId="34">
    <w:lvl w:ilvl="0">
      <w:start w:val="1"/>
      <w:numFmt w:val="decimal"/>
      <w:lvlText w:val="%1."/>
      <w:lvlJc w:val="start"/>
      <w:pPr>
        <w:tabs>
          <w:tab w:val="num" w:pos="3600"/>
        </w:tabs>
        <w:ind w:start="3600" w:hanging="720"/>
      </w:pPr>
      <w:rPr>
        <w:smallCaps w:val="false"/>
        <w:caps w:val="false"/>
        <w:outline w:val="false"/>
        <w:dstrike w:val="false"/>
        <w:strike w:val="false"/>
        <w:vertAlign w:val="baseline"/>
        <w:position w:val="0"/>
        <w:sz w:val="24"/>
        <w:shadow w:val="false"/>
        <w:u w:val="none"/>
        <w:kern w:val="0"/>
        <w:vanish w:val="false"/>
        <w:color w:val="auto"/>
      </w:rPr>
    </w:lvl>
  </w:abstractNum>
  <w:abstractNum w:abstractNumId="35">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abstractNum w:abstractNumId="36">
    <w:lvl w:ilvl="0">
      <w:start w:val="1"/>
      <w:numFmt w:val="decimal"/>
      <w:lvlText w:val="%1."/>
      <w:lvlJc w:val="start"/>
      <w:pPr>
        <w:tabs>
          <w:tab w:val="num" w:pos="720"/>
        </w:tabs>
        <w:ind w:start="720" w:hanging="720"/>
      </w:pPr>
      <w:rPr/>
    </w:lvl>
    <w:lvl w:ilvl="1">
      <w:start w:val="1"/>
      <w:numFmt w:val="upperLetter"/>
      <w:lvlText w:val="%1.%2."/>
      <w:lvlJc w:val="start"/>
      <w:pPr>
        <w:tabs>
          <w:tab w:val="num" w:pos="1440"/>
        </w:tabs>
        <w:ind w:start="1440" w:hanging="720"/>
      </w:pPr>
      <w:rPr/>
    </w:lvl>
    <w:lvl w:ilvl="2">
      <w:start w:val="1"/>
      <w:numFmt w:val="lowerRoman"/>
      <w:lvlText w:val="%1.%2.%3."/>
      <w:lvlJc w:val="start"/>
      <w:pPr>
        <w:tabs>
          <w:tab w:val="num" w:pos="2520"/>
        </w:tabs>
        <w:ind w:start="2160" w:hanging="720"/>
      </w:pPr>
      <w:rPr>
        <w:i w:val="false"/>
        <w:b/>
      </w:rPr>
    </w:lvl>
    <w:lvl w:ilvl="3">
      <w:start w:val="1"/>
      <w:numFmt w:val="decimal"/>
      <w:lvlText w:val="%1.%2.%3.%4."/>
      <w:lvlJc w:val="start"/>
      <w:pPr>
        <w:tabs>
          <w:tab w:val="num" w:pos="2160"/>
        </w:tabs>
        <w:ind w:start="1728" w:hanging="648"/>
      </w:pPr>
      <w:rPr/>
    </w:lvl>
    <w:lvl w:ilvl="4">
      <w:start w:val="1"/>
      <w:numFmt w:val="decimal"/>
      <w:lvlText w:val="%1.%2.%3.%4.%5."/>
      <w:lvlJc w:val="start"/>
      <w:pPr>
        <w:tabs>
          <w:tab w:val="num" w:pos="2880"/>
        </w:tabs>
        <w:ind w:start="2232" w:hanging="792"/>
      </w:pPr>
      <w:rPr/>
    </w:lvl>
    <w:lvl w:ilvl="5">
      <w:start w:val="1"/>
      <w:numFmt w:val="decimal"/>
      <w:lvlText w:val="%1.%2.%3.%4.%5.%6."/>
      <w:lvlJc w:val="start"/>
      <w:pPr>
        <w:tabs>
          <w:tab w:val="num" w:pos="3240"/>
        </w:tabs>
        <w:ind w:start="2736" w:hanging="936"/>
      </w:pPr>
      <w:rPr/>
    </w:lvl>
    <w:lvl w:ilvl="6">
      <w:start w:val="1"/>
      <w:numFmt w:val="decimal"/>
      <w:lvlText w:val="%1.%2.%3.%4.%5.%6.%7."/>
      <w:lvlJc w:val="start"/>
      <w:pPr>
        <w:tabs>
          <w:tab w:val="num" w:pos="3960"/>
        </w:tabs>
        <w:ind w:start="3240" w:hanging="1080"/>
      </w:pPr>
      <w:rPr/>
    </w:lvl>
    <w:lvl w:ilvl="7">
      <w:start w:val="1"/>
      <w:numFmt w:val="decimal"/>
      <w:lvlText w:val="%1.%2.%3.%4.%5.%6.%7.%8."/>
      <w:lvlJc w:val="start"/>
      <w:pPr>
        <w:tabs>
          <w:tab w:val="num" w:pos="4680"/>
        </w:tabs>
        <w:ind w:start="3744" w:hanging="1224"/>
      </w:pPr>
      <w:rPr/>
    </w:lvl>
    <w:lvl w:ilvl="8">
      <w:start w:val="1"/>
      <w:numFmt w:val="decimal"/>
      <w:lvlText w:val="%1.%2.%3.%4.%5.%6.%7.%8.%9."/>
      <w:lvlJc w:val="start"/>
      <w:pPr>
        <w:tabs>
          <w:tab w:val="num" w:pos="5040"/>
        </w:tabs>
        <w:ind w:start="4320" w:hanging="1440"/>
      </w:pPr>
      <w:rPr/>
    </w:lvl>
  </w:abstractNum>
  <w:abstractNum w:abstractNumId="37">
    <w:lvl w:ilvl="0">
      <w:start w:val="1"/>
      <w:numFmt w:val="bullet"/>
      <w:lvlText w:val=""/>
      <w:lvlJc w:val="start"/>
      <w:pPr>
        <w:tabs>
          <w:tab w:val="num" w:pos="720"/>
        </w:tabs>
        <w:ind w:start="720" w:hanging="360"/>
      </w:pPr>
      <w:rPr>
        <w:rFonts w:ascii="Wingdings" w:hAnsi="Wingdings" w:cs="Wingdings" w:hint="default"/>
        <w:position w:val="4"/>
        <w:sz w:val="10"/>
        <w:i w:val="false"/>
        <w:u w:val="none"/>
        <w:b w:val="false"/>
        <w:color w:val="auto"/>
      </w:rPr>
    </w:lvl>
  </w:abstractNum>
  <w:abstractNum w:abstractNumId="38">
    <w:lvl w:ilvl="0">
      <w:start w:val="1"/>
      <w:numFmt w:val="bullet"/>
      <w:lvlText w:val=""/>
      <w:lvlJc w:val="start"/>
      <w:pPr>
        <w:tabs>
          <w:tab w:val="num" w:pos="2880"/>
        </w:tabs>
        <w:ind w:start="2880" w:hanging="360"/>
      </w:pPr>
      <w:rPr>
        <w:rFonts w:ascii="Symbol" w:hAnsi="Symbol" w:cs="Symbol" w:hint="default"/>
        <w:position w:val="2"/>
        <w:u w:val="none"/>
      </w:rPr>
    </w:lvl>
  </w:abstractNum>
  <w:abstractNum w:abstractNumId="39">
    <w:lvl w:ilvl="0">
      <w:start w:val="1"/>
      <w:numFmt w:val="bullet"/>
      <w:lvlText w:val=""/>
      <w:lvlJc w:val="start"/>
      <w:pPr>
        <w:tabs>
          <w:tab w:val="num" w:pos="2880"/>
        </w:tabs>
        <w:ind w:start="2880" w:hanging="360"/>
      </w:pPr>
      <w:rPr>
        <w:rFonts w:ascii="Wingdings" w:hAnsi="Wingdings" w:cs="Wingdings" w:hint="default"/>
        <w:vertAlign w:val="baseline"/>
        <w:position w:val="0"/>
        <w:sz w:val="20"/>
        <w:sz w:val="20"/>
        <w:i w:val="false"/>
        <w:u w:val="none"/>
        <w:b w:val="false"/>
        <w:color w:val="auto"/>
      </w:rPr>
    </w:lvl>
  </w:abstractNum>
  <w:abstractNum w:abstractNumId="40">
    <w:lvl w:ilvl="0">
      <w:start w:val="1"/>
      <w:numFmt w:val="bullet"/>
      <w:lvlText w:val=""/>
      <w:lvlJc w:val="start"/>
      <w:pPr>
        <w:tabs>
          <w:tab w:val="num" w:pos="2160"/>
        </w:tabs>
        <w:ind w:start="2160" w:hanging="360"/>
      </w:pPr>
      <w:rPr>
        <w:rFonts w:ascii="Symbol" w:hAnsi="Symbol" w:cs="Symbol" w:hint="default"/>
      </w:rPr>
    </w:lvl>
  </w:abstractNum>
  <w:abstractNum w:abstractNumId="41">
    <w:lvl w:ilvl="0">
      <w:start w:val="1"/>
      <w:numFmt w:val="bullet"/>
      <w:lvlText w:val=""/>
      <w:lvlJc w:val="start"/>
      <w:pPr>
        <w:tabs>
          <w:tab w:val="num" w:pos="360"/>
        </w:tabs>
        <w:ind w:start="360" w:hanging="360"/>
      </w:pPr>
      <w:rPr>
        <w:rFonts w:ascii="Symbol" w:hAnsi="Symbol" w:cs="Symbol" w:hint="default"/>
        <w:position w:val="2"/>
      </w:rPr>
    </w:lvl>
  </w:abstractNum>
  <w:abstractNum w:abstractNumId="42">
    <w:lvl w:ilvl="0">
      <w:start w:val="1"/>
      <w:numFmt w:val="decimal"/>
      <w:lvlText w:val="%1."/>
      <w:lvlJc w:val="start"/>
      <w:pPr>
        <w:tabs>
          <w:tab w:val="num" w:pos="3600"/>
        </w:tabs>
        <w:ind w:start="360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43">
    <w:lvl w:ilvl="0">
      <w:start w:val="1"/>
      <w:numFmt w:val="decimal"/>
      <w:lvlText w:val="%1."/>
      <w:lvlJc w:val="start"/>
      <w:pPr>
        <w:tabs>
          <w:tab w:val="num" w:pos="5040"/>
        </w:tabs>
        <w:ind w:start="504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44">
    <w:lvl w:ilvl="0">
      <w:start w:val="1"/>
      <w:numFmt w:val="decimal"/>
      <w:lvlText w:val="%1."/>
      <w:lvlJc w:val="start"/>
      <w:pPr>
        <w:tabs>
          <w:tab w:val="num" w:pos="720"/>
        </w:tabs>
        <w:ind w:start="2160" w:hanging="720"/>
      </w:pPr>
      <w:rPr/>
    </w:lvl>
  </w:abstractNum>
  <w:abstractNum w:abstractNumId="45">
    <w:lvl w:ilvl="0">
      <w:start w:val="1"/>
      <w:numFmt w:val="decimal"/>
      <w:lvlText w:val="%1."/>
      <w:lvlJc w:val="start"/>
      <w:pPr>
        <w:tabs>
          <w:tab w:val="num" w:pos="2880"/>
        </w:tabs>
        <w:ind w:start="2880" w:hanging="720"/>
      </w:pPr>
      <w:rPr>
        <w:smallCaps w:val="false"/>
        <w:caps w:val="false"/>
        <w:outline w:val="false"/>
        <w:dstrike w:val="false"/>
        <w:strike w:val="false"/>
        <w:vertAlign w:val="baseline"/>
        <w:position w:val="0"/>
        <w:sz w:val="24"/>
        <w:shadow w:val="false"/>
        <w:u w:val="none"/>
        <w:kern w:val="0"/>
        <w:vanish w:val="false"/>
        <w:color w:val="auto"/>
      </w:rPr>
    </w:lvl>
  </w:abstractNum>
  <w:abstractNum w:abstractNumId="46">
    <w:lvl w:ilvl="0">
      <w:start w:val="1"/>
      <w:numFmt w:val="decimal"/>
      <w:lvlText w:val="%1."/>
      <w:lvlJc w:val="start"/>
      <w:pPr>
        <w:tabs>
          <w:tab w:val="num" w:pos="720"/>
        </w:tabs>
        <w:ind w:start="720" w:hanging="720"/>
      </w:pPr>
      <w:rPr>
        <w:i w:val="false"/>
        <w:b/>
      </w:rPr>
    </w:lvl>
    <w:lvl w:ilvl="1">
      <w:start w:val="1"/>
      <w:numFmt w:val="upperLetter"/>
      <w:lvlText w:val="%1.%2."/>
      <w:lvlJc w:val="start"/>
      <w:pPr>
        <w:tabs>
          <w:tab w:val="num" w:pos="1440"/>
        </w:tabs>
        <w:ind w:start="1440" w:hanging="720"/>
      </w:pPr>
      <w:rPr/>
    </w:lvl>
    <w:lvl w:ilvl="2">
      <w:start w:val="1"/>
      <w:numFmt w:val="decimal"/>
      <w:lvlText w:val="%3."/>
      <w:lvlJc w:val="start"/>
      <w:pPr>
        <w:tabs>
          <w:tab w:val="num" w:pos="360"/>
        </w:tabs>
        <w:ind w:start="360" w:hanging="360"/>
      </w:pPr>
      <w:rPr>
        <w:sz w:val="16"/>
        <w:i w:val="false"/>
        <w:u w:val="none"/>
        <w:b w:val="false"/>
        <w:rFonts w:ascii="Arial" w:hAnsi="Arial" w:cs="Arial"/>
        <w:color w:val="000000"/>
      </w:rPr>
    </w:lvl>
    <w:lvl w:ilvl="3">
      <w:start w:val="1"/>
      <w:numFmt w:val="decimal"/>
      <w:lvlText w:val="%1.%2.%3.%4."/>
      <w:lvlJc w:val="start"/>
      <w:pPr>
        <w:tabs>
          <w:tab w:val="num" w:pos="2160"/>
        </w:tabs>
        <w:ind w:start="1728" w:hanging="648"/>
      </w:pPr>
      <w:rPr/>
    </w:lvl>
    <w:lvl w:ilvl="4">
      <w:start w:val="1"/>
      <w:numFmt w:val="decimal"/>
      <w:lvlText w:val="%1.%2.%3.%4.%5."/>
      <w:lvlJc w:val="start"/>
      <w:pPr>
        <w:tabs>
          <w:tab w:val="num" w:pos="2880"/>
        </w:tabs>
        <w:ind w:start="2232" w:hanging="792"/>
      </w:pPr>
      <w:rPr/>
    </w:lvl>
    <w:lvl w:ilvl="5">
      <w:start w:val="1"/>
      <w:numFmt w:val="decimal"/>
      <w:lvlText w:val="%1.%2.%3.%4.%5.%6."/>
      <w:lvlJc w:val="start"/>
      <w:pPr>
        <w:tabs>
          <w:tab w:val="num" w:pos="3240"/>
        </w:tabs>
        <w:ind w:start="2736" w:hanging="936"/>
      </w:pPr>
      <w:rPr/>
    </w:lvl>
    <w:lvl w:ilvl="6">
      <w:start w:val="1"/>
      <w:numFmt w:val="decimal"/>
      <w:lvlText w:val="%1.%2.%3.%4.%5.%6.%7."/>
      <w:lvlJc w:val="start"/>
      <w:pPr>
        <w:tabs>
          <w:tab w:val="num" w:pos="3960"/>
        </w:tabs>
        <w:ind w:start="3240" w:hanging="1080"/>
      </w:pPr>
      <w:rPr/>
    </w:lvl>
    <w:lvl w:ilvl="7">
      <w:start w:val="1"/>
      <w:numFmt w:val="decimal"/>
      <w:lvlText w:val="%1.%2.%3.%4.%5.%6.%7.%8."/>
      <w:lvlJc w:val="start"/>
      <w:pPr>
        <w:tabs>
          <w:tab w:val="num" w:pos="4680"/>
        </w:tabs>
        <w:ind w:start="3744" w:hanging="1224"/>
      </w:pPr>
      <w:rPr/>
    </w:lvl>
    <w:lvl w:ilvl="8">
      <w:start w:val="1"/>
      <w:numFmt w:val="decimal"/>
      <w:lvlText w:val="%1.%2.%3.%4.%5.%6.%7.%8.%9."/>
      <w:lvlJc w:val="start"/>
      <w:pPr>
        <w:tabs>
          <w:tab w:val="num" w:pos="5040"/>
        </w:tabs>
        <w:ind w:start="4320" w:hanging="1440"/>
      </w:pPr>
      <w:rPr/>
    </w:lvl>
  </w:abstractNum>
  <w:abstractNum w:abstractNumId="47">
    <w:lvl w:ilvl="0">
      <w:start w:val="1"/>
      <w:numFmt w:val="bullet"/>
      <w:lvlText w:val=""/>
      <w:lvlJc w:val="start"/>
      <w:pPr>
        <w:tabs>
          <w:tab w:val="num" w:pos="2880"/>
        </w:tabs>
        <w:ind w:start="2880" w:hanging="360"/>
      </w:pPr>
      <w:rPr>
        <w:rFonts w:ascii="Wingdings" w:hAnsi="Wingdings" w:cs="Wingdings" w:hint="default"/>
        <w:position w:val="4"/>
        <w:sz w:val="10"/>
        <w:i w:val="false"/>
        <w:u w:val="none"/>
        <w:b w:val="false"/>
        <w:color w:val="000000"/>
      </w:rPr>
    </w:lvl>
  </w:abstractNum>
  <w:abstractNum w:abstractNumId="48">
    <w:lvl w:ilvl="0">
      <w:start w:val="1"/>
      <w:numFmt w:val="bullet"/>
      <w:lvlText w:val=""/>
      <w:lvlJc w:val="start"/>
      <w:pPr>
        <w:tabs>
          <w:tab w:val="num" w:pos="4320"/>
        </w:tabs>
        <w:ind w:start="4320" w:hanging="360"/>
      </w:pPr>
      <w:rPr>
        <w:rFonts w:ascii="Symbol" w:hAnsi="Symbol" w:cs="Symbol" w:hint="default"/>
        <w:position w:val="2"/>
        <w:u w:val="none"/>
        <w:color w:val="auto"/>
      </w:rPr>
    </w:lvl>
  </w:abstractNum>
  <w:abstractNum w:abstractNumId="49">
    <w:lvl w:ilvl="0">
      <w:start w:val="1"/>
      <w:numFmt w:val="decimal"/>
      <w:lvlText w:val="%1."/>
      <w:lvlJc w:val="start"/>
      <w:pPr>
        <w:tabs>
          <w:tab w:val="num" w:pos="2880"/>
        </w:tabs>
        <w:ind w:start="2880" w:hanging="720"/>
      </w:pPr>
    </w:lvl>
  </w:abstractNum>
  <w:abstractNum w:abstractNumId="50">
    <w:lvl w:ilvl="0">
      <w:start w:val="1"/>
      <w:numFmt w:val="decimal"/>
      <w:lvlText w:val="%1."/>
      <w:lvlJc w:val="start"/>
      <w:pPr>
        <w:tabs>
          <w:tab w:val="num" w:pos="4320"/>
        </w:tabs>
        <w:ind w:start="4320" w:hanging="720"/>
      </w:pPr>
      <w:rPr>
        <w:smallCaps w:val="false"/>
        <w:caps w:val="false"/>
        <w:outline w:val="false"/>
        <w:dstrike w:val="false"/>
        <w:strike w:val="false"/>
        <w:vertAlign w:val="baseline"/>
        <w:position w:val="0"/>
        <w:sz w:val="24"/>
        <w:shadow w:val="false"/>
        <w:kern w:val="0"/>
        <w:vanish w:val="false"/>
        <w:color w:val="auto"/>
      </w:rPr>
    </w:lvl>
  </w:abstractNum>
  <w:abstractNum w:abstractNumId="51">
    <w:lvl w:ilvl="0">
      <w:start w:val="1"/>
      <w:numFmt w:val="bullet"/>
      <w:lvlText w:val=""/>
      <w:lvlJc w:val="start"/>
      <w:pPr>
        <w:tabs>
          <w:tab w:val="num" w:pos="5040"/>
        </w:tabs>
        <w:ind w:start="5040" w:hanging="360"/>
      </w:pPr>
      <w:rPr>
        <w:rFonts w:ascii="Symbol" w:hAnsi="Symbol" w:cs="Symbol" w:hint="default"/>
        <w:position w:val="2"/>
        <w:u w:val="none"/>
      </w:rPr>
    </w:lvl>
  </w:abstractNum>
  <w:abstractNum w:abstractNumId="52">
    <w:lvl w:ilvl="0">
      <w:start w:val="1"/>
      <w:numFmt w:val="bullet"/>
      <w:lvlText w:val=""/>
      <w:lvlJc w:val="start"/>
      <w:pPr>
        <w:tabs>
          <w:tab w:val="num" w:pos="547"/>
        </w:tabs>
        <w:ind w:start="360" w:hanging="173"/>
      </w:pPr>
      <w:rPr>
        <w:rFonts w:ascii="Symbol" w:hAnsi="Symbol" w:cs="Symbol" w:hint="default"/>
        <w:sz w:val="24"/>
        <w:color w:val="auto"/>
      </w:rPr>
    </w:lvl>
  </w:abstractNum>
  <w:abstractNum w:abstractNumId="53">
    <w:lvl w:ilvl="0">
      <w:start w:val="1"/>
      <w:numFmt w:val="bullet"/>
      <w:lvlText w:val=""/>
      <w:lvlJc w:val="start"/>
      <w:pPr>
        <w:tabs>
          <w:tab w:val="num" w:pos="1440"/>
        </w:tabs>
        <w:ind w:start="1440" w:hanging="360"/>
      </w:pPr>
      <w:rPr>
        <w:rFonts w:ascii="Symbol" w:hAnsi="Symbol" w:cs="Symbol" w:hint="default"/>
        <w:position w:val="2"/>
      </w:rPr>
    </w:lvl>
  </w:abstractNum>
  <w:abstractNum w:abstractNumId="54">
    <w:lvl w:ilvl="0">
      <w:start w:val="1"/>
      <w:numFmt w:val="bullet"/>
      <w:lvlText w:val=""/>
      <w:lvlJc w:val="start"/>
      <w:pPr>
        <w:tabs>
          <w:tab w:val="num" w:pos="2880"/>
        </w:tabs>
        <w:ind w:start="2880" w:hanging="360"/>
      </w:pPr>
      <w:rPr>
        <w:rFonts w:ascii="Wingdings" w:hAnsi="Wingdings" w:cs="Wingdings" w:hint="default"/>
        <w:position w:val="6"/>
        <w:sz w:val="12"/>
        <w:i w:val="false"/>
        <w:u w:val="none"/>
        <w:b w:val="false"/>
      </w:rPr>
    </w:lvl>
  </w:abstractNum>
  <w:abstractNum w:abstractNumId="55">
    <w:lvl w:ilvl="0">
      <w:start w:val="1"/>
      <w:numFmt w:val="bullet"/>
      <w:lvlText w:val=""/>
      <w:lvlJc w:val="start"/>
      <w:pPr>
        <w:tabs>
          <w:tab w:val="num" w:pos="5040"/>
        </w:tabs>
        <w:ind w:start="5040" w:hanging="360"/>
      </w:pPr>
      <w:rPr>
        <w:rFonts w:ascii="Wingdings" w:hAnsi="Wingdings" w:cs="Wingdings" w:hint="default"/>
        <w:position w:val="6"/>
        <w:sz w:val="12"/>
        <w:i w:val="false"/>
        <w:u w:val="none"/>
        <w:b w:val="false"/>
        <w:color w:val="auto"/>
      </w:rPr>
    </w:lvl>
  </w:abstractNum>
  <w:abstractNum w:abstractNumId="56">
    <w:lvl w:ilvl="0">
      <w:start w:val="1"/>
      <w:numFmt w:val="decimal"/>
      <w:lvlText w:val="%1."/>
      <w:lvlJc w:val="start"/>
      <w:pPr>
        <w:tabs>
          <w:tab w:val="num" w:pos="720"/>
        </w:tabs>
        <w:ind w:start="720" w:hanging="720"/>
      </w:pPr>
    </w:lvl>
  </w:abstractNum>
  <w:abstractNum w:abstractNumId="57">
    <w:lvl w:ilvl="0">
      <w:start w:val="1"/>
      <w:numFmt w:val="bullet"/>
      <w:lvlText w:val=""/>
      <w:lvlJc w:val="start"/>
      <w:pPr>
        <w:tabs>
          <w:tab w:val="num" w:pos="4320"/>
        </w:tabs>
        <w:ind w:start="4320" w:hanging="360"/>
      </w:pPr>
      <w:rPr>
        <w:rFonts w:ascii="Symbol" w:hAnsi="Symbol" w:cs="Symbol" w:hint="default"/>
      </w:rPr>
    </w:lvl>
  </w:abstractNum>
  <w:abstractNum w:abstractNumId="58">
    <w:lvl w:ilvl="0">
      <w:start w:val="1"/>
      <w:numFmt w:val="bullet"/>
      <w:lvlText w:val=""/>
      <w:lvlJc w:val="start"/>
      <w:pPr>
        <w:tabs>
          <w:tab w:val="num" w:pos="360"/>
        </w:tabs>
        <w:ind w:start="360" w:hanging="360"/>
      </w:pPr>
      <w:rPr>
        <w:rFonts w:ascii="Symbol" w:hAnsi="Symbol" w:cs="Symbol" w:hint="default"/>
      </w:rPr>
    </w:lvl>
  </w:abstractNum>
  <w:abstractNum w:abstractNumId="59">
    <w:lvl w:ilvl="0">
      <w:start w:val="1"/>
      <w:numFmt w:val="none"/>
      <w:suff w:val="nothing"/>
      <w:lvlText w:val="Source:"/>
      <w:lvlJc w:val="start"/>
      <w:pPr>
        <w:tabs>
          <w:tab w:val="num" w:pos="720"/>
        </w:tabs>
        <w:ind w:start="720" w:hanging="720"/>
      </w:pPr>
      <w:rPr>
        <w:sz w:val="16"/>
        <w:i/>
        <w:u w:val="none"/>
        <w:b w:val="false"/>
        <w:rFonts w:ascii="Arial" w:hAnsi="Arial" w:cs="Arial"/>
        <w:color w:val="auto"/>
      </w:rPr>
    </w:lvl>
  </w:abstractNum>
  <w:abstractNum w:abstractNumId="60">
    <w:lvl w:ilvl="0">
      <w:start w:val="1"/>
      <w:numFmt w:val="upperLetter"/>
      <w:lvlText w:val="%1."/>
      <w:lvlJc w:val="start"/>
      <w:pPr>
        <w:tabs>
          <w:tab w:val="num" w:pos="2880"/>
        </w:tabs>
        <w:ind w:start="2880" w:hanging="720"/>
      </w:pPr>
      <w:rPr/>
    </w:lvl>
    <w:lvl w:ilvl="1">
      <w:start w:val="1"/>
      <w:numFmt w:val="decimal"/>
      <w:lvlText w:val="%2."/>
      <w:lvlJc w:val="start"/>
      <w:pPr>
        <w:tabs>
          <w:tab w:val="num" w:pos="2160"/>
        </w:tabs>
        <w:ind w:start="2160" w:hanging="720"/>
      </w:pPr>
      <w:rPr/>
    </w:lvl>
    <w:lvl w:ilvl="2">
      <w:start w:val="1"/>
      <w:numFmt w:val="lowerRoman"/>
      <w:lvlText w:val="%3."/>
      <w:lvlJc w:val="end"/>
      <w:pPr>
        <w:tabs>
          <w:tab w:val="num" w:pos="3960"/>
        </w:tabs>
        <w:ind w:start="3960" w:hanging="180"/>
      </w:pPr>
    </w:lvl>
    <w:lvl w:ilvl="3">
      <w:start w:val="1"/>
      <w:numFmt w:val="decimal"/>
      <w:lvlText w:val="%4."/>
      <w:lvlJc w:val="start"/>
      <w:pPr>
        <w:tabs>
          <w:tab w:val="num" w:pos="4680"/>
        </w:tabs>
        <w:ind w:start="4680" w:hanging="360"/>
      </w:pPr>
    </w:lvl>
    <w:lvl w:ilvl="4">
      <w:start w:val="1"/>
      <w:numFmt w:val="lowerLetter"/>
      <w:lvlText w:val="%5."/>
      <w:lvlJc w:val="start"/>
      <w:pPr>
        <w:tabs>
          <w:tab w:val="num" w:pos="5400"/>
        </w:tabs>
        <w:ind w:start="5400" w:hanging="360"/>
      </w:pPr>
    </w:lvl>
    <w:lvl w:ilvl="5">
      <w:start w:val="1"/>
      <w:numFmt w:val="lowerRoman"/>
      <w:lvlText w:val="%6."/>
      <w:lvlJc w:val="end"/>
      <w:pPr>
        <w:tabs>
          <w:tab w:val="num" w:pos="6120"/>
        </w:tabs>
        <w:ind w:start="6120" w:hanging="180"/>
      </w:pPr>
    </w:lvl>
    <w:lvl w:ilvl="6">
      <w:start w:val="1"/>
      <w:numFmt w:val="decimal"/>
      <w:lvlText w:val="%7."/>
      <w:lvlJc w:val="start"/>
      <w:pPr>
        <w:tabs>
          <w:tab w:val="num" w:pos="6840"/>
        </w:tabs>
        <w:ind w:start="6840" w:hanging="360"/>
      </w:pPr>
    </w:lvl>
    <w:lvl w:ilvl="7">
      <w:start w:val="1"/>
      <w:numFmt w:val="lowerLetter"/>
      <w:lvlText w:val="%8."/>
      <w:lvlJc w:val="start"/>
      <w:pPr>
        <w:tabs>
          <w:tab w:val="num" w:pos="7560"/>
        </w:tabs>
        <w:ind w:start="7560" w:hanging="360"/>
      </w:pPr>
    </w:lvl>
    <w:lvl w:ilvl="8">
      <w:start w:val="1"/>
      <w:numFmt w:val="lowerRoman"/>
      <w:lvlText w:val="%9."/>
      <w:lvlJc w:val="end"/>
      <w:pPr>
        <w:tabs>
          <w:tab w:val="num" w:pos="8280"/>
        </w:tabs>
        <w:ind w:start="8280" w:hanging="180"/>
      </w:pPr>
    </w:lvl>
  </w:abstractNum>
  <w:abstractNum w:abstractNumId="61">
    <w:lvl w:ilvl="0">
      <w:start w:val="1"/>
      <w:numFmt w:val="bullet"/>
      <w:lvlText w:val=""/>
      <w:lvlJc w:val="start"/>
      <w:pPr>
        <w:tabs>
          <w:tab w:val="num" w:pos="360"/>
        </w:tabs>
        <w:ind w:start="302" w:hanging="302"/>
      </w:pPr>
      <w:rPr>
        <w:rFonts w:ascii="NewspaperPi BT" w:hAnsi="NewspaperPi BT" w:cs="NewspaperPi BT" w:hint="default"/>
        <w:sz w:val="18"/>
        <w:i w:val="false"/>
        <w:b w:val="false"/>
      </w:rPr>
    </w:lvl>
  </w:abstractNum>
  <w:abstractNum w:abstractNumId="62">
    <w:lvl w:ilvl="0">
      <w:start w:val="1"/>
      <w:numFmt w:val="bullet"/>
      <w:lvlText w:val=""/>
      <w:lvlJc w:val="start"/>
      <w:pPr>
        <w:tabs>
          <w:tab w:val="num" w:pos="2160"/>
        </w:tabs>
        <w:ind w:start="2160" w:hanging="360"/>
      </w:pPr>
      <w:rPr>
        <w:rFonts w:ascii="Wingdings" w:hAnsi="Wingdings" w:cs="Wingdings" w:hint="default"/>
        <w:position w:val="6"/>
        <w:sz w:val="12"/>
        <w:i w:val="false"/>
        <w:u w:val="none"/>
        <w:b w:val="false"/>
        <w:color w:val="auto"/>
      </w:rPr>
    </w:lvl>
  </w:abstractNum>
  <w:abstractNum w:abstractNumId="63">
    <w:lvl w:ilvl="0">
      <w:start w:val="1"/>
      <w:numFmt w:val="bullet"/>
      <w:lvlText w:val=""/>
      <w:lvlJc w:val="start"/>
      <w:pPr>
        <w:tabs>
          <w:tab w:val="num" w:pos="4320"/>
        </w:tabs>
        <w:ind w:start="4320" w:hanging="360"/>
      </w:pPr>
      <w:rPr>
        <w:rFonts w:ascii="Wingdings" w:hAnsi="Wingdings" w:cs="Wingdings" w:hint="default"/>
        <w:position w:val="6"/>
        <w:sz w:val="12"/>
        <w:i w:val="false"/>
        <w:u w:val="none"/>
        <w:b w:val="false"/>
        <w:color w:val="auto"/>
      </w:rPr>
    </w:lvl>
  </w:abstractNum>
  <w:abstractNum w:abstractNumId="64">
    <w:lvl w:ilvl="0">
      <w:start w:val="1"/>
      <w:numFmt w:val="bullet"/>
      <w:lvlText w:val=""/>
      <w:lvlJc w:val="start"/>
      <w:pPr>
        <w:tabs>
          <w:tab w:val="num" w:pos="2520"/>
        </w:tabs>
        <w:ind w:start="2520" w:hanging="360"/>
      </w:pPr>
      <w:rPr>
        <w:rFonts w:ascii="Symbol" w:hAnsi="Symbol" w:cs="Symbol" w:hint="default"/>
      </w:rPr>
    </w:lvl>
  </w:abstractNum>
  <w:abstractNum w:abstractNumId="65">
    <w:lvl w:ilvl="0">
      <w:start w:val="1"/>
      <w:numFmt w:val="bullet"/>
      <w:lvlText w:val=""/>
      <w:lvlJc w:val="start"/>
      <w:pPr>
        <w:tabs>
          <w:tab w:val="num" w:pos="3240"/>
        </w:tabs>
        <w:ind w:start="3240" w:hanging="360"/>
      </w:pPr>
      <w:rPr>
        <w:rFonts w:ascii="Symbol" w:hAnsi="Symbol" w:cs="Symbol" w:hint="default"/>
      </w:rPr>
    </w:lvl>
  </w:abstractNum>
  <w:abstractNum w:abstractNumId="66">
    <w:lvl w:ilvl="0">
      <w:start w:val="1"/>
      <w:numFmt w:val="bullet"/>
      <w:lvlText w:val=""/>
      <w:lvlJc w:val="start"/>
      <w:pPr>
        <w:tabs>
          <w:tab w:val="num" w:pos="1440"/>
        </w:tabs>
        <w:ind w:start="1440" w:hanging="360"/>
      </w:pPr>
      <w:rPr>
        <w:rFonts w:ascii="Symbol" w:hAnsi="Symbol" w:cs="Symbol" w:hint="default"/>
        <w:position w:val="2"/>
      </w:rPr>
    </w:lvl>
  </w:abstractNum>
  <w:abstractNum w:abstractNumId="67">
    <w:lvl w:ilvl="0">
      <w:start w:val="1"/>
      <w:numFmt w:val="none"/>
      <w:suff w:val="nothing"/>
      <w:lvlText w:val="Note:"/>
      <w:lvlJc w:val="start"/>
      <w:pPr>
        <w:tabs>
          <w:tab w:val="num" w:pos="720"/>
        </w:tabs>
        <w:ind w:start="720" w:hanging="720"/>
      </w:pPr>
      <w:rPr>
        <w:sz w:val="16"/>
        <w:i/>
        <w:u w:val="none"/>
        <w:b w:val="false"/>
        <w:rFonts w:ascii="Arial" w:hAnsi="Arial" w:cs="Arial"/>
        <w:color w:val="auto"/>
      </w:rPr>
    </w:lvl>
  </w:abstractNum>
  <w:abstractNum w:abstractNumId="68">
    <w:lvl w:ilvl="0">
      <w:start w:val="1"/>
      <w:numFmt w:val="bullet"/>
      <w:lvlText w:val=""/>
      <w:lvlJc w:val="start"/>
      <w:pPr>
        <w:tabs>
          <w:tab w:val="num" w:pos="1440"/>
        </w:tabs>
        <w:ind w:start="1440" w:hanging="360"/>
      </w:pPr>
      <w:rPr>
        <w:rFonts w:ascii="Wingdings" w:hAnsi="Wingdings" w:cs="Wingdings" w:hint="default"/>
      </w:rPr>
    </w:lvl>
  </w:abstractNum>
  <w:abstractNum w:abstractNumId="69">
    <w:lvl w:ilvl="0">
      <w:start w:val="1"/>
      <w:numFmt w:val="decimal"/>
      <w:lvlText w:val="%1."/>
      <w:lvlJc w:val="start"/>
      <w:pPr>
        <w:tabs>
          <w:tab w:val="num" w:pos="2160"/>
        </w:tabs>
        <w:ind w:start="2160" w:hanging="720"/>
      </w:pPr>
      <w:rPr/>
    </w:lvl>
  </w:abstractNum>
  <w:abstractNum w:abstractNumId="70">
    <w:lvl w:ilvl="0">
      <w:start w:val="1"/>
      <w:numFmt w:val="bullet"/>
      <w:lvlText w:val=""/>
      <w:lvlJc w:val="start"/>
      <w:pPr>
        <w:tabs>
          <w:tab w:val="num" w:pos="5040"/>
        </w:tabs>
        <w:ind w:start="5040" w:hanging="360"/>
      </w:pPr>
      <w:rPr>
        <w:rFonts w:ascii="Wingdings" w:hAnsi="Wingdings" w:cs="Wingdings" w:hint="default"/>
        <w:position w:val="4"/>
        <w:sz w:val="10"/>
        <w:i w:val="false"/>
        <w:u w:val="none"/>
        <w:b w:val="false"/>
        <w:color w:val="auto"/>
      </w:rPr>
    </w:lvl>
  </w:abstractNum>
  <w:abstractNum w:abstractNumId="71">
    <w:lvl w:ilvl="0">
      <w:start w:val="1"/>
      <w:numFmt w:val="decimal"/>
      <w:lvlText w:val="(%1)"/>
      <w:lvlJc w:val="start"/>
      <w:pPr>
        <w:tabs>
          <w:tab w:val="num" w:pos="360"/>
        </w:tabs>
        <w:ind w:start="360" w:hanging="360"/>
      </w:pPr>
      <w:rPr>
        <w:sz w:val="16"/>
        <w:i w:val="false"/>
        <w:u w:val="none"/>
        <w:b w:val="false"/>
        <w:rFonts w:ascii="Arial" w:hAnsi="Arial" w:cs="Arial"/>
        <w:color w:val="auto"/>
      </w:rPr>
    </w:lvl>
  </w:abstractNum>
  <w:abstractNum w:abstractNumId="72">
    <w:lvl w:ilvl="0">
      <w:start w:val="1"/>
      <w:numFmt w:val="bullet"/>
      <w:lvlText w:val=""/>
      <w:lvlJc w:val="start"/>
      <w:pPr>
        <w:tabs>
          <w:tab w:val="num" w:pos="1440"/>
        </w:tabs>
        <w:ind w:start="1440" w:hanging="360"/>
      </w:pPr>
      <w:rPr>
        <w:rFonts w:ascii="Symbol" w:hAnsi="Symbol" w:cs="Symbol" w:hint="default"/>
      </w:rPr>
    </w:lvl>
  </w:abstractNum>
  <w:abstractNum w:abstractNumId="73">
    <w:lvl w:ilvl="0">
      <w:start w:val="1"/>
      <w:numFmt w:val="decimal"/>
      <w:lvlText w:val="%1."/>
      <w:lvlJc w:val="start"/>
      <w:pPr>
        <w:tabs>
          <w:tab w:val="num" w:pos="720"/>
        </w:tabs>
        <w:ind w:start="2160" w:hanging="720"/>
      </w:pPr>
      <w:rPr/>
    </w:lvl>
  </w:abstractNum>
  <w:abstractNum w:abstractNumId="74">
    <w:lvl w:ilvl="0">
      <w:numFmt w:val="decimal"/>
      <w:suff w:val="nothing"/>
      <w:lvlText w:val="%1"/>
      <w:lvlJc w:val="start"/>
      <w:pPr>
        <w:tabs>
          <w:tab w:val="num" w:pos="0"/>
        </w:tabs>
        <w:ind w:start="0" w:hanging="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44"/>
    <w:lvlOverride w:ilvl="0">
      <w:startOverride w:val="1"/>
    </w:lvlOverride>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Arial" w:hAnsi="Arial" w:eastAsia="Times New Roman" w:cs="Arial"/>
      <w:color w:val="auto"/>
      <w:sz w:val="20"/>
      <w:szCs w:val="20"/>
      <w:lang w:val="en-US" w:bidi="ar-SA" w:eastAsia="zh-CN"/>
    </w:rPr>
  </w:style>
  <w:style w:type="paragraph" w:styleId="Heading1">
    <w:name w:val="heading 1"/>
    <w:basedOn w:val="Normal"/>
    <w:next w:val="Normal"/>
    <w:qFormat/>
    <w:pPr>
      <w:keepNext w:val="true"/>
      <w:numPr>
        <w:ilvl w:val="0"/>
        <w:numId w:val="1"/>
      </w:numPr>
      <w:tabs>
        <w:tab w:val="clear" w:pos="720"/>
        <w:tab w:val="right" w:pos="9900" w:leader="none"/>
      </w:tabs>
      <w:spacing w:before="240" w:after="0"/>
      <w:outlineLvl w:val="0"/>
    </w:pPr>
    <w:rPr>
      <w:b/>
    </w:rPr>
  </w:style>
  <w:style w:type="paragraph" w:styleId="Heading2">
    <w:name w:val="heading 2"/>
    <w:basedOn w:val="Normal"/>
    <w:next w:val="Normal"/>
    <w:qFormat/>
    <w:pPr>
      <w:keepNext w:val="true"/>
      <w:numPr>
        <w:ilvl w:val="1"/>
        <w:numId w:val="1"/>
      </w:numPr>
      <w:jc w:val="both"/>
      <w:outlineLvl w:val="1"/>
    </w:pPr>
    <w:rPr>
      <w:vanish/>
      <w:color w:val="FF0000"/>
    </w:rPr>
  </w:style>
  <w:style w:type="paragraph" w:styleId="Heading3">
    <w:name w:val="heading 3"/>
    <w:basedOn w:val="Normal"/>
    <w:next w:val="Normal"/>
    <w:qFormat/>
    <w:pPr>
      <w:keepNext w:val="true"/>
      <w:numPr>
        <w:ilvl w:val="2"/>
        <w:numId w:val="1"/>
      </w:numPr>
      <w:spacing w:before="72" w:after="72"/>
      <w:jc w:val="center"/>
      <w:outlineLvl w:val="2"/>
    </w:pPr>
    <w:rPr>
      <w:b/>
      <w:bCs/>
      <w:color w:val="FFFFFF"/>
      <w:sz w:val="24"/>
    </w:rPr>
  </w:style>
  <w:style w:type="paragraph" w:styleId="Heading4">
    <w:name w:val="heading 4"/>
    <w:basedOn w:val="Normal"/>
    <w:next w:val="Normal"/>
    <w:qFormat/>
    <w:pPr>
      <w:keepNext w:val="true"/>
      <w:numPr>
        <w:ilvl w:val="3"/>
        <w:numId w:val="1"/>
      </w:numPr>
      <w:spacing w:before="20" w:after="20"/>
      <w:ind w:hanging="0" w:start="270" w:end="0"/>
      <w:outlineLvl w:val="3"/>
    </w:pPr>
    <w:rPr>
      <w:sz w:val="16"/>
      <w:lang w:val="en-GB"/>
    </w:rPr>
  </w:style>
  <w:style w:type="paragraph" w:styleId="Heading5">
    <w:name w:val="heading 5"/>
    <w:basedOn w:val="Normal"/>
    <w:next w:val="Normal"/>
    <w:qFormat/>
    <w:pPr>
      <w:keepNext w:val="true"/>
      <w:numPr>
        <w:ilvl w:val="4"/>
        <w:numId w:val="1"/>
      </w:numPr>
      <w:spacing w:before="36" w:after="36"/>
      <w:outlineLvl w:val="4"/>
    </w:pPr>
    <w:rPr>
      <w:b/>
      <w:caps/>
      <w:sz w:val="16"/>
    </w:rPr>
  </w:style>
  <w:style w:type="paragraph" w:styleId="Heading6">
    <w:name w:val="heading 6"/>
    <w:basedOn w:val="Normal"/>
    <w:next w:val="Normal"/>
    <w:qFormat/>
    <w:pPr>
      <w:keepNext w:val="true"/>
      <w:numPr>
        <w:ilvl w:val="5"/>
        <w:numId w:val="1"/>
      </w:numPr>
      <w:ind w:hanging="2880" w:start="2880" w:end="0"/>
      <w:outlineLvl w:val="5"/>
    </w:pPr>
    <w:rPr>
      <w:rFonts w:ascii="Times New Roman" w:hAnsi="Times New Roman" w:cs="Times New Roman"/>
      <w:color w:val="000000"/>
      <w:sz w:val="24"/>
    </w:rPr>
  </w:style>
  <w:style w:type="paragraph" w:styleId="Heading7">
    <w:name w:val="heading 7"/>
    <w:basedOn w:val="Normal"/>
    <w:next w:val="Normal"/>
    <w:qFormat/>
    <w:pPr>
      <w:keepNext w:val="true"/>
      <w:numPr>
        <w:ilvl w:val="6"/>
        <w:numId w:val="1"/>
      </w:numPr>
      <w:spacing w:before="300" w:after="0"/>
      <w:outlineLvl w:val="6"/>
    </w:pPr>
    <w:rPr>
      <w:b/>
    </w:rPr>
  </w:style>
  <w:style w:type="paragraph" w:styleId="Heading8">
    <w:name w:val="heading 8"/>
    <w:basedOn w:val="Normal"/>
    <w:next w:val="Normal"/>
    <w:qFormat/>
    <w:pPr>
      <w:keepNext w:val="true"/>
      <w:numPr>
        <w:ilvl w:val="7"/>
        <w:numId w:val="1"/>
      </w:numPr>
      <w:outlineLvl w:val="7"/>
    </w:pPr>
    <w:rPr>
      <w:b/>
      <w:sz w:val="28"/>
    </w:rPr>
  </w:style>
  <w:style w:type="paragraph" w:styleId="Heading9">
    <w:name w:val="heading 9"/>
    <w:basedOn w:val="Normal"/>
    <w:next w:val="Normal"/>
    <w:qFormat/>
    <w:pPr>
      <w:keepNext w:val="true"/>
      <w:numPr>
        <w:ilvl w:val="8"/>
        <w:numId w:val="1"/>
      </w:numPr>
      <w:ind w:hanging="2880" w:start="2880" w:end="0"/>
      <w:outlineLvl w:val="8"/>
    </w:pPr>
    <w:rPr>
      <w:b/>
      <w:color w:val="000000"/>
      <w:sz w:val="28"/>
    </w:rPr>
  </w:style>
  <w:style w:type="character" w:styleId="WW8Num5z0">
    <w:name w:val="WW8Num5z0"/>
    <w:qFormat/>
    <w:rPr>
      <w:rFonts w:ascii="Wingdings" w:hAnsi="Wingdings" w:cs="Wingdings"/>
    </w:rPr>
  </w:style>
  <w:style w:type="character" w:styleId="WW8Num6z0">
    <w:name w:val="WW8Num6z0"/>
    <w:qFormat/>
    <w:rPr>
      <w:rFonts w:ascii="Wingdings" w:hAnsi="Wingdings" w:cs="Wingdings"/>
    </w:rPr>
  </w:style>
  <w:style w:type="character" w:styleId="WW8Num7z0">
    <w:name w:val="WW8Num7z0"/>
    <w:qFormat/>
    <w:rPr>
      <w:rFonts w:ascii="Wingdings" w:hAnsi="Wingdings" w:cs="Wingdings"/>
    </w:rPr>
  </w:style>
  <w:style w:type="character" w:styleId="WW8Num8z0">
    <w:name w:val="WW8Num8z0"/>
    <w:qFormat/>
    <w:rPr>
      <w:rFonts w:ascii="Wingdings" w:hAnsi="Wingdings" w:cs="Wingdings"/>
    </w:rPr>
  </w:style>
  <w:style w:type="character" w:styleId="WW8Num10z0">
    <w:name w:val="WW8Num10z0"/>
    <w:qFormat/>
    <w:rPr>
      <w:rFonts w:ascii="Wingdings" w:hAnsi="Wingdings" w:cs="Wingdings"/>
    </w:rPr>
  </w:style>
  <w:style w:type="character" w:styleId="WW8Num13z0">
    <w:name w:val="WW8Num13z0"/>
    <w:qFormat/>
    <w:rPr>
      <w:rFonts w:ascii="Wingdings" w:hAnsi="Wingdings" w:cs="Wingdings"/>
    </w:rPr>
  </w:style>
  <w:style w:type="character" w:styleId="WW8Num14z0">
    <w:name w:val="WW8Num14z0"/>
    <w:qFormat/>
    <w:rPr>
      <w:rFonts w:ascii="Wingdings" w:hAnsi="Wingdings" w:cs="Wingdings"/>
      <w:b w:val="false"/>
      <w:i w:val="false"/>
      <w:sz w:val="14"/>
      <w:u w:val="none"/>
    </w:rPr>
  </w:style>
  <w:style w:type="character" w:styleId="WW8Num15z0">
    <w:name w:val="WW8Num15z0"/>
    <w:qFormat/>
    <w:rPr>
      <w:rFonts w:ascii="Symbol" w:hAnsi="Symbol" w:cs="Symbol"/>
    </w:rPr>
  </w:style>
  <w:style w:type="character" w:styleId="WW8Num17z0">
    <w:name w:val="WW8Num17z0"/>
    <w:qFormat/>
    <w:rPr>
      <w:rFonts w:ascii="Wingdings" w:hAnsi="Wingdings" w:cs="Wingdings"/>
      <w:b/>
      <w:i/>
      <w:sz w:val="24"/>
    </w:rPr>
  </w:style>
  <w:style w:type="character" w:styleId="WW8Num18z0">
    <w:name w:val="WW8Num18z0"/>
    <w:qFormat/>
    <w:rPr>
      <w:rFonts w:ascii="Symbol" w:hAnsi="Symbol" w:cs="Symbol"/>
    </w:rPr>
  </w:style>
  <w:style w:type="character" w:styleId="WW8Num19z0">
    <w:name w:val="WW8Num19z0"/>
    <w:qFormat/>
    <w:rPr>
      <w:rFonts w:ascii="Symbol" w:hAnsi="Symbol" w:cs="Symbol"/>
    </w:rPr>
  </w:style>
  <w:style w:type="character" w:styleId="WW8Num21z0">
    <w:name w:val="WW8Num21z0"/>
    <w:qFormat/>
    <w:rPr>
      <w:rFonts w:ascii="Symbol" w:hAnsi="Symbol" w:cs="Symbol"/>
    </w:rPr>
  </w:style>
  <w:style w:type="character" w:styleId="WW8Num22z0">
    <w:name w:val="WW8Num22z0"/>
    <w:qFormat/>
    <w:rPr/>
  </w:style>
  <w:style w:type="character" w:styleId="WW8Num23z0">
    <w:name w:val="WW8Num23z0"/>
    <w:qFormat/>
    <w:rPr>
      <w:rFonts w:ascii="Symbol" w:hAnsi="Symbol" w:cs="Symbol"/>
    </w:rPr>
  </w:style>
  <w:style w:type="character" w:styleId="WW8Num24z0">
    <w:name w:val="WW8Num24z0"/>
    <w:qFormat/>
    <w:rPr/>
  </w:style>
  <w:style w:type="character" w:styleId="WW8Num25z0">
    <w:name w:val="WW8Num25z0"/>
    <w:qFormat/>
    <w:rPr/>
  </w:style>
  <w:style w:type="character" w:styleId="WW8Num27z0">
    <w:name w:val="WW8Num27z0"/>
    <w:qFormat/>
    <w:rPr/>
  </w:style>
  <w:style w:type="character" w:styleId="WW8Num28z0">
    <w:name w:val="WW8Num28z0"/>
    <w:qFormat/>
    <w:rPr/>
  </w:style>
  <w:style w:type="character" w:styleId="WW8Num30z0">
    <w:name w:val="WW8Num30z0"/>
    <w:qFormat/>
    <w:rPr/>
  </w:style>
  <w:style w:type="character" w:styleId="WW8Num31z0">
    <w:name w:val="WW8Num31z0"/>
    <w:qFormat/>
    <w:rPr>
      <w:rFonts w:ascii="Symbol" w:hAnsi="Symbol" w:cs="Symbol"/>
    </w:rPr>
  </w:style>
  <w:style w:type="character" w:styleId="WW8Num34z0">
    <w:name w:val="WW8Num34z0"/>
    <w:qFormat/>
    <w:rPr>
      <w:rFonts w:ascii="Symbol" w:hAnsi="Symbol" w:cs="Symbol"/>
    </w:rPr>
  </w:style>
  <w:style w:type="character" w:styleId="WW8Num36z0">
    <w:name w:val="WW8Num36z0"/>
    <w:qFormat/>
    <w:rPr>
      <w:rFonts w:ascii="Symbol" w:hAnsi="Symbol" w:cs="Symbol"/>
      <w:b w:val="false"/>
      <w:i w:val="false"/>
      <w:sz w:val="20"/>
    </w:rPr>
  </w:style>
  <w:style w:type="character" w:styleId="WW8Num37z0">
    <w:name w:val="WW8Num37z0"/>
    <w:qFormat/>
    <w:rPr>
      <w:rFonts w:ascii="Symbol" w:hAnsi="Symbol" w:cs="Symbol"/>
    </w:rPr>
  </w:style>
  <w:style w:type="character" w:styleId="WW8Num38z0">
    <w:name w:val="WW8Num38z0"/>
    <w:qFormat/>
    <w:rPr>
      <w:rFonts w:ascii="Symbol" w:hAnsi="Symbol" w:cs="Symbol"/>
    </w:rPr>
  </w:style>
  <w:style w:type="character" w:styleId="WW8Num40z0">
    <w:name w:val="WW8Num40z0"/>
    <w:qFormat/>
    <w:rPr>
      <w:rFonts w:ascii="Wingdings" w:hAnsi="Wingdings" w:cs="Wingdings"/>
    </w:rPr>
  </w:style>
  <w:style w:type="character" w:styleId="WW8Num40z1">
    <w:name w:val="WW8Num40z1"/>
    <w:qFormat/>
    <w:rPr>
      <w:rFonts w:ascii="Courier New" w:hAnsi="Courier New" w:cs="Courier New"/>
    </w:rPr>
  </w:style>
  <w:style w:type="character" w:styleId="WW8Num40z3">
    <w:name w:val="WW8Num40z3"/>
    <w:qFormat/>
    <w:rPr>
      <w:rFonts w:ascii="Symbol" w:hAnsi="Symbol" w:cs="Symbol"/>
    </w:rPr>
  </w:style>
  <w:style w:type="character" w:styleId="WW8Num41z0">
    <w:name w:val="WW8Num41z0"/>
    <w:qFormat/>
    <w:rPr>
      <w:rFonts w:ascii="Wingdings" w:hAnsi="Wingdings" w:cs="Wingdings"/>
      <w:b/>
      <w:i/>
      <w:sz w:val="24"/>
    </w:rPr>
  </w:style>
  <w:style w:type="character" w:styleId="WW8Num42z0">
    <w:name w:val="WW8Num42z0"/>
    <w:qFormat/>
    <w:rPr>
      <w:rFonts w:ascii="Symbol" w:hAnsi="Symbol" w:cs="Symbol"/>
      <w:sz w:val="14"/>
    </w:rPr>
  </w:style>
  <w:style w:type="character" w:styleId="WW8Num43z0">
    <w:name w:val="WW8Num43z0"/>
    <w:qFormat/>
    <w:rPr>
      <w:rFonts w:ascii="Wingdings" w:hAnsi="Wingdings" w:cs="Wingdings"/>
    </w:rPr>
  </w:style>
  <w:style w:type="character" w:styleId="WW8Num44z0">
    <w:name w:val="WW8Num44z0"/>
    <w:qFormat/>
    <w:rPr>
      <w:rFonts w:ascii="Symbol" w:hAnsi="Symbol" w:cs="Symbol"/>
    </w:rPr>
  </w:style>
  <w:style w:type="character" w:styleId="WW8Num45z0">
    <w:name w:val="WW8Num45z0"/>
    <w:qFormat/>
    <w:rPr>
      <w:rFonts w:ascii="Wingdings" w:hAnsi="Wingdings" w:cs="Wingdings"/>
      <w:color w:val="auto"/>
      <w:sz w:val="20"/>
    </w:rPr>
  </w:style>
  <w:style w:type="character" w:styleId="WW8Num46z0">
    <w:name w:val="WW8Num46z0"/>
    <w:qFormat/>
    <w:rPr>
      <w:rFonts w:ascii="Symbol" w:hAnsi="Symbol" w:cs="Symbol"/>
    </w:rPr>
  </w:style>
  <w:style w:type="character" w:styleId="WW8Num47z0">
    <w:name w:val="WW8Num47z0"/>
    <w:qFormat/>
    <w:rPr>
      <w:rFonts w:ascii="Symbol" w:hAnsi="Symbol" w:cs="Symbol"/>
    </w:rPr>
  </w:style>
  <w:style w:type="character" w:styleId="WW8Num48z0">
    <w:name w:val="WW8Num48z0"/>
    <w:qFormat/>
    <w:rPr/>
  </w:style>
  <w:style w:type="character" w:styleId="WW8Num49z0">
    <w:name w:val="WW8Num49z0"/>
    <w:qFormat/>
    <w:rPr>
      <w:rFonts w:ascii="Wingdings" w:hAnsi="Wingdings" w:cs="Wingdings"/>
      <w:b w:val="false"/>
      <w:i w:val="false"/>
      <w:color w:val="auto"/>
      <w:sz w:val="12"/>
      <w:u w:val="none"/>
      <w:vertAlign w:val="superscript"/>
    </w:rPr>
  </w:style>
  <w:style w:type="character" w:styleId="WW8Num50z0">
    <w:name w:val="WW8Num50z0"/>
    <w:qFormat/>
    <w:rPr>
      <w:rFonts w:ascii="Symbol" w:hAnsi="Symbol" w:cs="Symbol"/>
      <w:u w:val="none"/>
      <w:vertAlign w:val="superscript"/>
    </w:rPr>
  </w:style>
  <w:style w:type="character" w:styleId="WW8Num52z0">
    <w:name w:val="WW8Num52z0"/>
    <w:qFormat/>
    <w:rPr>
      <w:rFonts w:ascii="Symbol" w:hAnsi="Symbol" w:cs="Symbol"/>
      <w:b w:val="false"/>
      <w:i w:val="false"/>
      <w:color w:val="auto"/>
      <w:sz w:val="28"/>
      <w:u w:val="none"/>
      <w:vertAlign w:val="superscript"/>
    </w:rPr>
  </w:style>
  <w:style w:type="character" w:styleId="WW8Num54z0">
    <w:name w:val="WW8Num54z0"/>
    <w:qFormat/>
    <w:rPr>
      <w:rFonts w:ascii="Symbol" w:hAnsi="Symbol" w:cs="Symbol"/>
    </w:rPr>
  </w:style>
  <w:style w:type="character" w:styleId="WW8Num55z0">
    <w:name w:val="WW8Num55z0"/>
    <w:qFormat/>
    <w:rPr>
      <w:rFonts w:ascii="Times New Roman" w:hAnsi="Times New Roman" w:cs="Times New Roman"/>
      <w:b w:val="false"/>
      <w:i w:val="false"/>
      <w:color w:val="auto"/>
      <w:sz w:val="24"/>
      <w:vertAlign w:val="subscript"/>
    </w:rPr>
  </w:style>
  <w:style w:type="character" w:styleId="WW8Num56z0">
    <w:name w:val="WW8Num56z0"/>
    <w:qFormat/>
    <w:rPr/>
  </w:style>
  <w:style w:type="character" w:styleId="WW8Num59z0">
    <w:name w:val="WW8Num59z0"/>
    <w:qFormat/>
    <w:rPr/>
  </w:style>
  <w:style w:type="character" w:styleId="WW8Num60z0">
    <w:name w:val="WW8Num60z0"/>
    <w:qFormat/>
    <w:rPr>
      <w:rFonts w:ascii="Symbol" w:hAnsi="Symbol" w:cs="Symbol"/>
      <w:color w:val="auto"/>
      <w:u w:val="none"/>
      <w:vertAlign w:val="superscript"/>
    </w:rPr>
  </w:style>
  <w:style w:type="character" w:styleId="WW8Num61z0">
    <w:name w:val="WW8Num61z0"/>
    <w:qFormat/>
    <w:rPr>
      <w:rFonts w:ascii="Symbol" w:hAnsi="Symbol" w:cs="Symbol"/>
    </w:rPr>
  </w:style>
  <w:style w:type="character" w:styleId="WW8Num62z0">
    <w:name w:val="WW8Num62z0"/>
    <w:qFormat/>
    <w:rPr>
      <w:rFonts w:ascii="Symbol" w:hAnsi="Symbol" w:cs="Symbol"/>
    </w:rPr>
  </w:style>
  <w:style w:type="character" w:styleId="WW8Num63z0">
    <w:name w:val="WW8Num63z0"/>
    <w:qFormat/>
    <w:rPr>
      <w:rFonts w:ascii="Symbol" w:hAnsi="Symbol" w:cs="Symbol"/>
    </w:rPr>
  </w:style>
  <w:style w:type="character" w:styleId="WW8Num64z0">
    <w:name w:val="WW8Num64z0"/>
    <w:qFormat/>
    <w:rPr>
      <w:rFonts w:ascii="Symbol" w:hAnsi="Symbol" w:cs="Symbol"/>
    </w:rPr>
  </w:style>
  <w:style w:type="character" w:styleId="WW8Num65z0">
    <w:name w:val="WW8Num65z0"/>
    <w:qFormat/>
    <w:rPr>
      <w:rFonts w:ascii="Wingdings" w:hAnsi="Wingdings" w:cs="Wingdings"/>
      <w:b/>
      <w:i w:val="false"/>
      <w:color w:val="auto"/>
      <w:sz w:val="28"/>
      <w:u w:val="none"/>
    </w:rPr>
  </w:style>
  <w:style w:type="character" w:styleId="WW8Num68z0">
    <w:name w:val="WW8Num68z0"/>
    <w:qFormat/>
    <w:rPr/>
  </w:style>
  <w:style w:type="character" w:styleId="WW8Num69z0">
    <w:name w:val="WW8Num69z0"/>
    <w:qFormat/>
    <w:rPr/>
  </w:style>
  <w:style w:type="character" w:styleId="WW8Num70z0">
    <w:name w:val="WW8Num70z0"/>
    <w:qFormat/>
    <w:rPr/>
  </w:style>
  <w:style w:type="character" w:styleId="WW8Num71z0">
    <w:name w:val="WW8Num71z0"/>
    <w:qFormat/>
    <w:rPr/>
  </w:style>
  <w:style w:type="character" w:styleId="WW8Num72z0">
    <w:name w:val="WW8Num72z0"/>
    <w:qFormat/>
    <w:rPr>
      <w:caps w:val="false"/>
      <w:smallCaps w:val="false"/>
      <w:strike w:val="false"/>
      <w:dstrike w:val="false"/>
      <w:outline w:val="false"/>
      <w:shadow w:val="false"/>
      <w:vanish w:val="false"/>
      <w:color w:val="auto"/>
      <w:kern w:val="0"/>
      <w:position w:val="0"/>
      <w:sz w:val="24"/>
      <w:vertAlign w:val="baseline"/>
    </w:rPr>
  </w:style>
  <w:style w:type="character" w:styleId="WW8Num73z0">
    <w:name w:val="WW8Num73z0"/>
    <w:qFormat/>
    <w:rPr>
      <w:rFonts w:ascii="Symbol" w:hAnsi="Symbol" w:cs="Symbol"/>
    </w:rPr>
  </w:style>
  <w:style w:type="character" w:styleId="WW8Num74z0">
    <w:name w:val="WW8Num74z0"/>
    <w:qFormat/>
    <w:rPr/>
  </w:style>
  <w:style w:type="character" w:styleId="WW8Num75z0">
    <w:name w:val="WW8Num75z0"/>
    <w:qFormat/>
    <w:rPr>
      <w:rFonts w:ascii="Wingdings" w:hAnsi="Wingdings" w:cs="Wingdings"/>
      <w:b w:val="false"/>
      <w:i w:val="false"/>
      <w:color w:val="auto"/>
      <w:sz w:val="10"/>
      <w:u w:val="none"/>
      <w:vertAlign w:val="superscript"/>
    </w:rPr>
  </w:style>
  <w:style w:type="character" w:styleId="WW8Num76z0">
    <w:name w:val="WW8Num76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vertAlign w:val="baseline"/>
    </w:rPr>
  </w:style>
  <w:style w:type="character" w:styleId="WW8Num78z0">
    <w:name w:val="WW8Num78z0"/>
    <w:qFormat/>
    <w:rPr>
      <w:rFonts w:ascii="Wingdings" w:hAnsi="Wingdings" w:cs="Wingdings"/>
      <w:b w:val="false"/>
      <w:i/>
      <w:color w:val="auto"/>
      <w:sz w:val="16"/>
      <w:u w:val="none"/>
    </w:rPr>
  </w:style>
  <w:style w:type="character" w:styleId="WW8Num80z0">
    <w:name w:val="WW8Num80z0"/>
    <w:qFormat/>
    <w:rPr>
      <w:rFonts w:ascii="Wingdings" w:hAnsi="Wingdings" w:cs="Wingdings"/>
      <w:b w:val="false"/>
      <w:i w:val="false"/>
      <w:color w:val="000000"/>
      <w:sz w:val="10"/>
      <w:u w:val="none"/>
      <w:vertAlign w:val="superscript"/>
    </w:rPr>
  </w:style>
  <w:style w:type="character" w:styleId="WW8Num80z1">
    <w:name w:val="WW8Num80z1"/>
    <w:qFormat/>
    <w:rPr>
      <w:rFonts w:ascii="Courier New" w:hAnsi="Courier New" w:cs="Courier New"/>
    </w:rPr>
  </w:style>
  <w:style w:type="character" w:styleId="WW8Num80z2">
    <w:name w:val="WW8Num80z2"/>
    <w:qFormat/>
    <w:rPr>
      <w:rFonts w:ascii="Wingdings" w:hAnsi="Wingdings" w:cs="Wingdings"/>
    </w:rPr>
  </w:style>
  <w:style w:type="character" w:styleId="WW8Num80z3">
    <w:name w:val="WW8Num80z3"/>
    <w:qFormat/>
    <w:rPr>
      <w:rFonts w:ascii="Symbol" w:hAnsi="Symbol" w:cs="Symbol"/>
    </w:rPr>
  </w:style>
  <w:style w:type="character" w:styleId="WW8Num81z0">
    <w:name w:val="WW8Num81z0"/>
    <w:qFormat/>
    <w:rPr>
      <w:rFonts w:ascii="Symbol" w:hAnsi="Symbol" w:cs="Symbol"/>
    </w:rPr>
  </w:style>
  <w:style w:type="character" w:styleId="WW8Num82z0">
    <w:name w:val="WW8Num82z0"/>
    <w:qFormat/>
    <w:rPr>
      <w:rFonts w:ascii="Symbol" w:hAnsi="Symbol" w:cs="Symbol"/>
    </w:rPr>
  </w:style>
  <w:style w:type="character" w:styleId="WW8Num83z0">
    <w:name w:val="WW8Num83z0"/>
    <w:qFormat/>
    <w:rPr>
      <w:rFonts w:ascii="Wingdings" w:hAnsi="Wingdings" w:cs="Wingdings"/>
    </w:rPr>
  </w:style>
  <w:style w:type="character" w:styleId="WW8Num84z0">
    <w:name w:val="WW8Num84z0"/>
    <w:qFormat/>
    <w:rPr>
      <w:rFonts w:ascii="Symbol" w:hAnsi="Symbol" w:cs="Symbol"/>
    </w:rPr>
  </w:style>
  <w:style w:type="character" w:styleId="WW8Num85z0">
    <w:name w:val="WW8Num85z0"/>
    <w:qFormat/>
    <w:rPr/>
  </w:style>
  <w:style w:type="character" w:styleId="WW8Num86z0">
    <w:name w:val="WW8Num86z0"/>
    <w:qFormat/>
    <w:rPr>
      <w:rFonts w:ascii="Symbol" w:hAnsi="Symbol" w:cs="Symbol"/>
    </w:rPr>
  </w:style>
  <w:style w:type="character" w:styleId="WW8Num86z1">
    <w:name w:val="WW8Num86z1"/>
    <w:qFormat/>
    <w:rPr>
      <w:rFonts w:ascii="Courier New" w:hAnsi="Courier New" w:cs="Courier New"/>
    </w:rPr>
  </w:style>
  <w:style w:type="character" w:styleId="WW8Num86z2">
    <w:name w:val="WW8Num86z2"/>
    <w:qFormat/>
    <w:rPr>
      <w:rFonts w:ascii="Wingdings" w:hAnsi="Wingdings" w:cs="Wingdings"/>
    </w:rPr>
  </w:style>
  <w:style w:type="character" w:styleId="WW8Num87z0">
    <w:name w:val="WW8Num87z0"/>
    <w:qFormat/>
    <w:rPr>
      <w:rFonts w:ascii="Symbol" w:hAnsi="Symbol" w:cs="Symbol"/>
    </w:rPr>
  </w:style>
  <w:style w:type="character" w:styleId="WW8Num90z0">
    <w:name w:val="WW8Num90z0"/>
    <w:qFormat/>
    <w:rPr>
      <w:rFonts w:ascii="Symbol" w:hAnsi="Symbol" w:cs="Symbol"/>
    </w:rPr>
  </w:style>
  <w:style w:type="character" w:styleId="WW8Num91z0">
    <w:name w:val="WW8Num91z0"/>
    <w:qFormat/>
    <w:rPr>
      <w:rFonts w:ascii="Symbol" w:hAnsi="Symbol" w:cs="Symbol"/>
    </w:rPr>
  </w:style>
  <w:style w:type="character" w:styleId="WW8Num93z0">
    <w:name w:val="WW8Num93z0"/>
    <w:qFormat/>
    <w:rPr>
      <w:rFonts w:ascii="Wingdings" w:hAnsi="Wingdings" w:cs="Wingdings"/>
      <w:b w:val="false"/>
      <w:i w:val="false"/>
      <w:color w:val="auto"/>
      <w:sz w:val="10"/>
      <w:u w:val="none"/>
      <w:vertAlign w:val="superscript"/>
    </w:rPr>
  </w:style>
  <w:style w:type="character" w:styleId="WW8Num94z0">
    <w:name w:val="WW8Num94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95z0">
    <w:name w:val="WW8Num95z0"/>
    <w:qFormat/>
    <w:rPr>
      <w:rFonts w:ascii="Symbol" w:hAnsi="Symbol" w:cs="Symbol"/>
    </w:rPr>
  </w:style>
  <w:style w:type="character" w:styleId="WW8Num96z0">
    <w:name w:val="WW8Num96z0"/>
    <w:qFormat/>
    <w:rPr>
      <w:rFonts w:ascii="Wingdings" w:hAnsi="Wingdings" w:cs="Wingdings"/>
      <w:b w:val="false"/>
      <w:i w:val="false"/>
      <w:color w:val="auto"/>
      <w:sz w:val="24"/>
      <w:u w:val="none"/>
    </w:rPr>
  </w:style>
  <w:style w:type="character" w:styleId="WW8Num97z0">
    <w:name w:val="WW8Num97z0"/>
    <w:qFormat/>
    <w:rPr/>
  </w:style>
  <w:style w:type="character" w:styleId="WW8Num98z0">
    <w:name w:val="WW8Num98z0"/>
    <w:qFormat/>
    <w:rPr>
      <w:rFonts w:ascii="Symbol" w:hAnsi="Symbol" w:cs="Symbol"/>
    </w:rPr>
  </w:style>
  <w:style w:type="character" w:styleId="WW8Num99z0">
    <w:name w:val="WW8Num99z0"/>
    <w:qFormat/>
    <w:rPr/>
  </w:style>
  <w:style w:type="character" w:styleId="WW8Num102z0">
    <w:name w:val="WW8Num102z0"/>
    <w:qFormat/>
    <w:rPr>
      <w:rFonts w:ascii="Symbol" w:hAnsi="Symbol" w:cs="Symbol"/>
      <w:sz w:val="18"/>
    </w:rPr>
  </w:style>
  <w:style w:type="character" w:styleId="WW8Num103z0">
    <w:name w:val="WW8Num103z0"/>
    <w:qFormat/>
    <w:rPr>
      <w:rFonts w:ascii="Symbol" w:hAnsi="Symbol" w:cs="Symbol"/>
    </w:rPr>
  </w:style>
  <w:style w:type="character" w:styleId="WW8Num104z0">
    <w:name w:val="WW8Num104z0"/>
    <w:qFormat/>
    <w:rPr/>
  </w:style>
  <w:style w:type="character" w:styleId="WW8Num107z0">
    <w:name w:val="WW8Num107z0"/>
    <w:qFormat/>
    <w:rPr/>
  </w:style>
  <w:style w:type="character" w:styleId="WW8Num108z0">
    <w:name w:val="WW8Num108z0"/>
    <w:qFormat/>
    <w:rPr>
      <w:rFonts w:ascii="Wingdings" w:hAnsi="Wingdings" w:cs="Wingdings"/>
      <w:b w:val="false"/>
      <w:i w:val="false"/>
      <w:color w:val="auto"/>
      <w:sz w:val="20"/>
      <w:u w:val="none"/>
    </w:rPr>
  </w:style>
  <w:style w:type="character" w:styleId="WW8Num110z0">
    <w:name w:val="WW8Num110z0"/>
    <w:qFormat/>
    <w:rPr>
      <w:rFonts w:ascii="Times New Roman" w:hAnsi="Times New Roman" w:cs="Times New Roman"/>
      <w:b w:val="false"/>
      <w:i w:val="false"/>
      <w:color w:val="auto"/>
      <w:kern w:val="0"/>
      <w:position w:val="0"/>
      <w:sz w:val="24"/>
      <w:u w:val="none"/>
      <w:vertAlign w:val="baseline"/>
    </w:rPr>
  </w:style>
  <w:style w:type="character" w:styleId="WW8Num111z0">
    <w:name w:val="WW8Num111z0"/>
    <w:qFormat/>
    <w:rPr/>
  </w:style>
  <w:style w:type="character" w:styleId="WW8Num113z0">
    <w:name w:val="WW8Num113z0"/>
    <w:qFormat/>
    <w:rPr/>
  </w:style>
  <w:style w:type="character" w:styleId="WW8Num115z0">
    <w:name w:val="WW8Num115z0"/>
    <w:qFormat/>
    <w:rPr>
      <w:rFonts w:ascii="Symbol" w:hAnsi="Symbol" w:cs="Symbol"/>
      <w:b w:val="false"/>
      <w:i w:val="false"/>
      <w:sz w:val="20"/>
    </w:rPr>
  </w:style>
  <w:style w:type="character" w:styleId="WW8Num116z0">
    <w:name w:val="WW8Num116z0"/>
    <w:qFormat/>
    <w:rPr>
      <w:rFonts w:ascii="Symbol" w:hAnsi="Symbol" w:cs="Symbol"/>
    </w:rPr>
  </w:style>
  <w:style w:type="character" w:styleId="WW8Num117z0">
    <w:name w:val="WW8Num117z0"/>
    <w:qFormat/>
    <w:rPr>
      <w:rFonts w:ascii="NewspaperPi BT;Symbol" w:hAnsi="NewspaperPi BT;Symbol" w:cs="NewspaperPi BT;Symbol"/>
      <w:b w:val="false"/>
      <w:i w:val="false"/>
      <w:kern w:val="0"/>
      <w:position w:val="0"/>
      <w:sz w:val="20"/>
      <w:sz w:val="20"/>
      <w:vertAlign w:val="baseline"/>
    </w:rPr>
  </w:style>
  <w:style w:type="character" w:styleId="WW8Num119z0">
    <w:name w:val="WW8Num119z0"/>
    <w:qFormat/>
    <w:rPr>
      <w:rFonts w:ascii="Symbol" w:hAnsi="Symbol" w:cs="Symbol"/>
    </w:rPr>
  </w:style>
  <w:style w:type="character" w:styleId="WW8Num121z0">
    <w:name w:val="WW8Num121z0"/>
    <w:qFormat/>
    <w:rPr>
      <w:rFonts w:ascii="Symbol" w:hAnsi="Symbol" w:cs="Symbol"/>
    </w:rPr>
  </w:style>
  <w:style w:type="character" w:styleId="WW8Num122z0">
    <w:name w:val="WW8Num122z0"/>
    <w:qFormat/>
    <w:rPr>
      <w:rFonts w:ascii="Wingdings" w:hAnsi="Wingdings" w:cs="Wingdings"/>
      <w:caps w:val="false"/>
      <w:smallCaps w:val="false"/>
      <w:strike w:val="false"/>
      <w:dstrike w:val="false"/>
      <w:outline w:val="false"/>
      <w:shadow w:val="false"/>
      <w:vanish w:val="false"/>
      <w:color w:val="000000"/>
      <w:position w:val="0"/>
      <w:sz w:val="20"/>
      <w:sz w:val="20"/>
      <w:vertAlign w:val="baseline"/>
    </w:rPr>
  </w:style>
  <w:style w:type="character" w:styleId="WW8Num122z1">
    <w:name w:val="WW8Num122z1"/>
    <w:qFormat/>
    <w:rPr>
      <w:rFonts w:ascii="Courier New" w:hAnsi="Courier New" w:cs="Courier New"/>
    </w:rPr>
  </w:style>
  <w:style w:type="character" w:styleId="WW8Num122z2">
    <w:name w:val="WW8Num122z2"/>
    <w:qFormat/>
    <w:rPr>
      <w:rFonts w:ascii="Wingdings" w:hAnsi="Wingdings" w:cs="Wingdings"/>
    </w:rPr>
  </w:style>
  <w:style w:type="character" w:styleId="WW8Num122z3">
    <w:name w:val="WW8Num122z3"/>
    <w:qFormat/>
    <w:rPr>
      <w:rFonts w:ascii="Symbol" w:hAnsi="Symbol" w:cs="Symbol"/>
    </w:rPr>
  </w:style>
  <w:style w:type="character" w:styleId="WW8Num123z0">
    <w:name w:val="WW8Num123z0"/>
    <w:qFormat/>
    <w:rPr>
      <w:rFonts w:ascii="Symbol" w:hAnsi="Symbol" w:cs="Symbol"/>
    </w:rPr>
  </w:style>
  <w:style w:type="character" w:styleId="WW8Num125z0">
    <w:name w:val="WW8Num125z0"/>
    <w:qFormat/>
    <w:rPr/>
  </w:style>
  <w:style w:type="character" w:styleId="WW8Num127z0">
    <w:name w:val="WW8Num127z0"/>
    <w:qFormat/>
    <w:rPr>
      <w:rFonts w:ascii="Symbol" w:hAnsi="Symbol" w:cs="Symbol"/>
      <w:color w:val="auto"/>
    </w:rPr>
  </w:style>
  <w:style w:type="character" w:styleId="WW8Num127z1">
    <w:name w:val="WW8Num127z1"/>
    <w:qFormat/>
    <w:rPr>
      <w:rFonts w:ascii="Courier New" w:hAnsi="Courier New" w:cs="Courier New"/>
    </w:rPr>
  </w:style>
  <w:style w:type="character" w:styleId="WW8Num127z2">
    <w:name w:val="WW8Num127z2"/>
    <w:qFormat/>
    <w:rPr>
      <w:rFonts w:ascii="Wingdings" w:hAnsi="Wingdings" w:cs="Wingdings"/>
    </w:rPr>
  </w:style>
  <w:style w:type="character" w:styleId="WW8Num127z3">
    <w:name w:val="WW8Num127z3"/>
    <w:qFormat/>
    <w:rPr>
      <w:rFonts w:ascii="Symbol" w:hAnsi="Symbol" w:cs="Symbol"/>
    </w:rPr>
  </w:style>
  <w:style w:type="character" w:styleId="WW8Num128z0">
    <w:name w:val="WW8Num128z0"/>
    <w:qFormat/>
    <w:rPr>
      <w:rFonts w:ascii="Wingdings" w:hAnsi="Wingdings" w:cs="Wingdings"/>
    </w:rPr>
  </w:style>
  <w:style w:type="character" w:styleId="WW8Num129z0">
    <w:name w:val="WW8Num129z0"/>
    <w:qFormat/>
    <w:rPr/>
  </w:style>
  <w:style w:type="character" w:styleId="WW8Num131z0">
    <w:name w:val="WW8Num131z0"/>
    <w:qFormat/>
    <w:rPr>
      <w:rFonts w:ascii="Wingdings" w:hAnsi="Wingdings" w:cs="Wingdings"/>
      <w:b w:val="false"/>
      <w:i w:val="false"/>
      <w:color w:val="auto"/>
      <w:sz w:val="24"/>
    </w:rPr>
  </w:style>
  <w:style w:type="character" w:styleId="WW8Num132z0">
    <w:name w:val="WW8Num132z0"/>
    <w:qFormat/>
    <w:rPr>
      <w:rFonts w:ascii="Wingdings" w:hAnsi="Wingdings" w:cs="Wingdings"/>
      <w:sz w:val="28"/>
    </w:rPr>
  </w:style>
  <w:style w:type="character" w:styleId="WW8Num133z0">
    <w:name w:val="WW8Num133z0"/>
    <w:qFormat/>
    <w:rPr>
      <w:rFonts w:ascii="Symbol" w:hAnsi="Symbol" w:cs="Symbol"/>
    </w:rPr>
  </w:style>
  <w:style w:type="character" w:styleId="WW8Num134z0">
    <w:name w:val="WW8Num134z0"/>
    <w:qFormat/>
    <w:rPr>
      <w:rFonts w:ascii="Symbol" w:hAnsi="Symbol" w:cs="Symbol"/>
    </w:rPr>
  </w:style>
  <w:style w:type="character" w:styleId="WW8Num135z0">
    <w:name w:val="WW8Num135z0"/>
    <w:qFormat/>
    <w:rPr/>
  </w:style>
  <w:style w:type="character" w:styleId="WW8Num136z0">
    <w:name w:val="WW8Num136z0"/>
    <w:qFormat/>
    <w:rPr>
      <w:rFonts w:ascii="Wingdings" w:hAnsi="Wingdings" w:cs="Wingdings"/>
      <w:color w:val="auto"/>
      <w:sz w:val="20"/>
    </w:rPr>
  </w:style>
  <w:style w:type="character" w:styleId="WW8Num137z0">
    <w:name w:val="WW8Num137z0"/>
    <w:qFormat/>
    <w:rPr/>
  </w:style>
  <w:style w:type="character" w:styleId="WW8Num138z0">
    <w:name w:val="WW8Num138z0"/>
    <w:qFormat/>
    <w:rPr>
      <w:rFonts w:ascii="Symbol" w:hAnsi="Symbol" w:cs="Symbol"/>
    </w:rPr>
  </w:style>
  <w:style w:type="character" w:styleId="WW8Num140z0">
    <w:name w:val="WW8Num140z0"/>
    <w:qFormat/>
    <w:rPr>
      <w:rFonts w:ascii="Symbol" w:hAnsi="Symbol" w:cs="Symbol"/>
    </w:rPr>
  </w:style>
  <w:style w:type="character" w:styleId="WW8Num141z0">
    <w:name w:val="WW8Num141z0"/>
    <w:qFormat/>
    <w:rPr>
      <w:rFonts w:ascii="Symbol" w:hAnsi="Symbol" w:cs="Symbol"/>
    </w:rPr>
  </w:style>
  <w:style w:type="character" w:styleId="WW8Num142z0">
    <w:name w:val="WW8Num142z0"/>
    <w:qFormat/>
    <w:rPr>
      <w:rFonts w:ascii="Symbol" w:hAnsi="Symbol" w:cs="Symbol"/>
    </w:rPr>
  </w:style>
  <w:style w:type="character" w:styleId="WW8Num143z0">
    <w:name w:val="WW8Num143z0"/>
    <w:qFormat/>
    <w:rPr>
      <w:rFonts w:ascii="Wingdings" w:hAnsi="Wingdings" w:cs="Wingdings"/>
      <w:b w:val="false"/>
      <w:i w:val="false"/>
      <w:color w:val="auto"/>
      <w:sz w:val="28"/>
      <w:u w:val="none"/>
      <w:vertAlign w:val="superscript"/>
    </w:rPr>
  </w:style>
  <w:style w:type="character" w:styleId="WW8Num144z0">
    <w:name w:val="WW8Num144z0"/>
    <w:qFormat/>
    <w:rPr>
      <w:rFonts w:ascii="Wingdings" w:hAnsi="Wingdings" w:cs="Wingdings"/>
    </w:rPr>
  </w:style>
  <w:style w:type="character" w:styleId="WW8Num145z0">
    <w:name w:val="WW8Num145z0"/>
    <w:qFormat/>
    <w:rPr>
      <w:rFonts w:ascii="Symbol" w:hAnsi="Symbol" w:cs="Symbol"/>
    </w:rPr>
  </w:style>
  <w:style w:type="character" w:styleId="WW8Num146z0">
    <w:name w:val="WW8Num146z0"/>
    <w:qFormat/>
    <w:rPr>
      <w:rFonts w:ascii="Symbol" w:hAnsi="Symbol" w:cs="Symbol"/>
    </w:rPr>
  </w:style>
  <w:style w:type="character" w:styleId="WW8Num147z0">
    <w:name w:val="WW8Num147z0"/>
    <w:qFormat/>
    <w:rPr>
      <w:rFonts w:ascii="Symbol" w:hAnsi="Symbol" w:cs="Symbol"/>
    </w:rPr>
  </w:style>
  <w:style w:type="character" w:styleId="WW8Num148z0">
    <w:name w:val="WW8Num148z0"/>
    <w:qFormat/>
    <w:rPr>
      <w:rFonts w:ascii="Wingdings" w:hAnsi="Wingdings" w:cs="Wingdings"/>
      <w:b w:val="false"/>
      <w:i w:val="false"/>
      <w:color w:val="auto"/>
      <w:sz w:val="28"/>
      <w:u w:val="none"/>
    </w:rPr>
  </w:style>
  <w:style w:type="character" w:styleId="WW8Num150z0">
    <w:name w:val="WW8Num150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151z0">
    <w:name w:val="WW8Num151z0"/>
    <w:qFormat/>
    <w:rPr/>
  </w:style>
  <w:style w:type="character" w:styleId="WW8Num152z0">
    <w:name w:val="WW8Num152z0"/>
    <w:qFormat/>
    <w:rPr>
      <w:rFonts w:ascii="Wingdings" w:hAnsi="Wingdings" w:cs="Wingdings"/>
      <w:b w:val="false"/>
      <w:i w:val="false"/>
      <w:color w:val="auto"/>
      <w:sz w:val="10"/>
      <w:u w:val="none"/>
      <w:vertAlign w:val="superscript"/>
    </w:rPr>
  </w:style>
  <w:style w:type="character" w:styleId="WW8Num153z0">
    <w:name w:val="WW8Num153z0"/>
    <w:qFormat/>
    <w:rPr>
      <w:rFonts w:ascii="Symbol" w:hAnsi="Symbol" w:cs="Symbol"/>
    </w:rPr>
  </w:style>
  <w:style w:type="character" w:styleId="WW8Num154z0">
    <w:name w:val="WW8Num154z0"/>
    <w:qFormat/>
    <w:rPr>
      <w:rFonts w:ascii="Times New Roman" w:hAnsi="Times New Roman" w:cs="Times New Roman"/>
      <w:b w:val="false"/>
      <w:i w:val="false"/>
      <w:color w:val="auto"/>
      <w:sz w:val="24"/>
    </w:rPr>
  </w:style>
  <w:style w:type="character" w:styleId="WW8Num155z0">
    <w:name w:val="WW8Num155z0"/>
    <w:qFormat/>
    <w:rPr>
      <w:rFonts w:ascii="NewspaperPi BT;Symbol" w:hAnsi="NewspaperPi BT;Symbol" w:cs="NewspaperPi BT;Symbol"/>
      <w:b w:val="false"/>
      <w:i w:val="false"/>
      <w:sz w:val="18"/>
    </w:rPr>
  </w:style>
  <w:style w:type="character" w:styleId="WW8Num156z0">
    <w:name w:val="WW8Num156z0"/>
    <w:qFormat/>
    <w:rPr>
      <w:rFonts w:ascii="Wingdings" w:hAnsi="Wingdings" w:cs="Wingdings"/>
      <w:b w:val="false"/>
      <w:i w:val="false"/>
      <w:color w:val="auto"/>
      <w:sz w:val="10"/>
      <w:u w:val="none"/>
      <w:vertAlign w:val="superscript"/>
    </w:rPr>
  </w:style>
  <w:style w:type="character" w:styleId="WW8Num159z0">
    <w:name w:val="WW8Num159z0"/>
    <w:qFormat/>
    <w:rPr>
      <w:rFonts w:ascii="Symbol" w:hAnsi="Symbol" w:cs="Symbol"/>
    </w:rPr>
  </w:style>
  <w:style w:type="character" w:styleId="WW8Num160z0">
    <w:name w:val="WW8Num160z0"/>
    <w:qFormat/>
    <w:rPr>
      <w:rFonts w:ascii="Wingdings" w:hAnsi="Wingdings" w:cs="Wingdings"/>
      <w:b w:val="false"/>
      <w:i w:val="false"/>
      <w:color w:val="auto"/>
      <w:sz w:val="20"/>
      <w:u w:val="none"/>
    </w:rPr>
  </w:style>
  <w:style w:type="character" w:styleId="WW8Num161z0">
    <w:name w:val="WW8Num161z0"/>
    <w:qFormat/>
    <w:rPr>
      <w:rFonts w:ascii="Symbol" w:hAnsi="Symbol" w:cs="Symbol"/>
    </w:rPr>
  </w:style>
  <w:style w:type="character" w:styleId="WW8Num162z0">
    <w:name w:val="WW8Num162z0"/>
    <w:qFormat/>
    <w:rPr>
      <w:rFonts w:ascii="Symbol" w:hAnsi="Symbol" w:cs="Symbol"/>
    </w:rPr>
  </w:style>
  <w:style w:type="character" w:styleId="WW8Num163z0">
    <w:name w:val="WW8Num163z0"/>
    <w:qFormat/>
    <w:rPr>
      <w:rFonts w:ascii="Wingdings" w:hAnsi="Wingdings" w:cs="Wingdings"/>
      <w:b w:val="false"/>
      <w:i/>
      <w:color w:val="auto"/>
      <w:sz w:val="16"/>
      <w:u w:val="none"/>
    </w:rPr>
  </w:style>
  <w:style w:type="character" w:styleId="WW8Num164z0">
    <w:name w:val="WW8Num164z0"/>
    <w:qFormat/>
    <w:rPr>
      <w:rFonts w:ascii="Symbol" w:hAnsi="Symbol" w:cs="Symbol"/>
    </w:rPr>
  </w:style>
  <w:style w:type="character" w:styleId="WW8Num165z0">
    <w:name w:val="WW8Num165z0"/>
    <w:qFormat/>
    <w:rPr>
      <w:rFonts w:ascii="Symbol" w:hAnsi="Symbol" w:cs="Symbol"/>
    </w:rPr>
  </w:style>
  <w:style w:type="character" w:styleId="WW8Num166z0">
    <w:name w:val="WW8Num166z0"/>
    <w:qFormat/>
    <w:rPr>
      <w:rFonts w:ascii="Symbol" w:hAnsi="Symbol" w:cs="Symbol"/>
    </w:rPr>
  </w:style>
  <w:style w:type="character" w:styleId="WW8Num167z0">
    <w:name w:val="WW8Num167z0"/>
    <w:qFormat/>
    <w:rPr/>
  </w:style>
  <w:style w:type="character" w:styleId="WW8Num168z0">
    <w:name w:val="WW8Num168z0"/>
    <w:qFormat/>
    <w:rPr>
      <w:rFonts w:ascii="Wingdings" w:hAnsi="Wingdings" w:cs="Wingdings"/>
      <w:sz w:val="16"/>
    </w:rPr>
  </w:style>
  <w:style w:type="character" w:styleId="WW8Num170z0">
    <w:name w:val="WW8Num170z0"/>
    <w:qFormat/>
    <w:rPr/>
  </w:style>
  <w:style w:type="character" w:styleId="WW8Num171z0">
    <w:name w:val="WW8Num171z0"/>
    <w:qFormat/>
    <w:rPr>
      <w:rFonts w:ascii="Symbol" w:hAnsi="Symbol" w:cs="Symbol"/>
    </w:rPr>
  </w:style>
  <w:style w:type="character" w:styleId="WW8Num173z0">
    <w:name w:val="WW8Num173z0"/>
    <w:qFormat/>
    <w:rPr/>
  </w:style>
  <w:style w:type="character" w:styleId="WW8Num176z0">
    <w:name w:val="WW8Num176z0"/>
    <w:qFormat/>
    <w:rPr>
      <w:rFonts w:ascii="Symbol" w:hAnsi="Symbol" w:cs="Symbol"/>
      <w:sz w:val="18"/>
    </w:rPr>
  </w:style>
  <w:style w:type="character" w:styleId="WW8Num177z0">
    <w:name w:val="WW8Num177z0"/>
    <w:qFormat/>
    <w:rPr>
      <w:rFonts w:ascii="Symbol" w:hAnsi="Symbol" w:cs="Symbol"/>
    </w:rPr>
  </w:style>
  <w:style w:type="character" w:styleId="WW8Num180z0">
    <w:name w:val="WW8Num180z0"/>
    <w:qFormat/>
    <w:rPr>
      <w:rFonts w:ascii="Symbol" w:hAnsi="Symbol" w:cs="Symbol"/>
    </w:rPr>
  </w:style>
  <w:style w:type="character" w:styleId="WW8Num181z0">
    <w:name w:val="WW8Num181z0"/>
    <w:qFormat/>
    <w:rPr>
      <w:rFonts w:ascii="Wingdings" w:hAnsi="Wingdings" w:cs="Wingdings"/>
      <w:b w:val="false"/>
      <w:i w:val="false"/>
      <w:color w:val="auto"/>
      <w:sz w:val="10"/>
      <w:u w:val="none"/>
      <w:vertAlign w:val="superscript"/>
    </w:rPr>
  </w:style>
  <w:style w:type="character" w:styleId="WW8Num183z0">
    <w:name w:val="WW8Num183z0"/>
    <w:qFormat/>
    <w:rPr>
      <w:rFonts w:ascii="Wingdings" w:hAnsi="Wingdings" w:cs="Wingdings"/>
      <w:b w:val="false"/>
      <w:i w:val="false"/>
      <w:color w:val="auto"/>
      <w:sz w:val="12"/>
      <w:u w:val="none"/>
      <w:vertAlign w:val="superscript"/>
    </w:rPr>
  </w:style>
  <w:style w:type="character" w:styleId="WW8Num184z0">
    <w:name w:val="WW8Num184z0"/>
    <w:qFormat/>
    <w:rPr>
      <w:rFonts w:ascii="Symbol" w:hAnsi="Symbol" w:cs="Symbol"/>
    </w:rPr>
  </w:style>
  <w:style w:type="character" w:styleId="WW8Num186z0">
    <w:name w:val="WW8Num186z0"/>
    <w:qFormat/>
    <w:rPr>
      <w:rFonts w:ascii="Symbol" w:hAnsi="Symbol" w:cs="Symbol"/>
      <w:color w:val="auto"/>
    </w:rPr>
  </w:style>
  <w:style w:type="character" w:styleId="WW8Num188z0">
    <w:name w:val="WW8Num188z0"/>
    <w:qFormat/>
    <w:rPr>
      <w:rFonts w:ascii="Wingdings" w:hAnsi="Wingdings" w:cs="Wingdings"/>
    </w:rPr>
  </w:style>
  <w:style w:type="character" w:styleId="WW8Num190z0">
    <w:name w:val="WW8Num190z0"/>
    <w:qFormat/>
    <w:rPr/>
  </w:style>
  <w:style w:type="character" w:styleId="WW8Num193z0">
    <w:name w:val="WW8Num193z0"/>
    <w:qFormat/>
    <w:rPr/>
  </w:style>
  <w:style w:type="character" w:styleId="WW8Num195z0">
    <w:name w:val="WW8Num195z0"/>
    <w:qFormat/>
    <w:rPr/>
  </w:style>
  <w:style w:type="character" w:styleId="WW8Num196z0">
    <w:name w:val="WW8Num196z0"/>
    <w:qFormat/>
    <w:rPr/>
  </w:style>
  <w:style w:type="character" w:styleId="WW8Num197z0">
    <w:name w:val="WW8Num197z0"/>
    <w:qFormat/>
    <w:rPr>
      <w:rFonts w:ascii="Symbol" w:hAnsi="Symbol" w:cs="Symbol"/>
    </w:rPr>
  </w:style>
  <w:style w:type="character" w:styleId="WW8Num198z0">
    <w:name w:val="WW8Num198z0"/>
    <w:qFormat/>
    <w:rPr>
      <w:rFonts w:ascii="Wingdings 3" w:hAnsi="Wingdings 3" w:cs="Wingdings 3"/>
      <w:b w:val="false"/>
      <w:i w:val="false"/>
      <w:sz w:val="24"/>
    </w:rPr>
  </w:style>
  <w:style w:type="character" w:styleId="WW8Num199z0">
    <w:name w:val="WW8Num199z0"/>
    <w:qFormat/>
    <w:rPr>
      <w:rFonts w:ascii="Symbol" w:hAnsi="Symbol" w:cs="Symbol"/>
      <w:color w:val="auto"/>
      <w:sz w:val="24"/>
    </w:rPr>
  </w:style>
  <w:style w:type="character" w:styleId="WW8Num200z0">
    <w:name w:val="WW8Num200z0"/>
    <w:qFormat/>
    <w:rPr>
      <w:rFonts w:ascii="Symbol" w:hAnsi="Symbol" w:cs="Symbol"/>
    </w:rPr>
  </w:style>
  <w:style w:type="character" w:styleId="WW8Num201z0">
    <w:name w:val="WW8Num201z0"/>
    <w:qFormat/>
    <w:rPr>
      <w:rFonts w:ascii="Wingdings" w:hAnsi="Wingdings" w:cs="Wingdings"/>
    </w:rPr>
  </w:style>
  <w:style w:type="character" w:styleId="WW8Num202z0">
    <w:name w:val="WW8Num202z0"/>
    <w:qFormat/>
    <w:rPr>
      <w:rFonts w:ascii="Symbol" w:hAnsi="Symbol" w:cs="Symbol"/>
    </w:rPr>
  </w:style>
  <w:style w:type="character" w:styleId="WW8Num203z0">
    <w:name w:val="WW8Num203z0"/>
    <w:qFormat/>
    <w:rPr>
      <w:rFonts w:ascii="Symbol" w:hAnsi="Symbol" w:cs="Symbol"/>
    </w:rPr>
  </w:style>
  <w:style w:type="character" w:styleId="WW8Num204z0">
    <w:name w:val="WW8Num204z0"/>
    <w:qFormat/>
    <w:rPr>
      <w:rFonts w:ascii="Symbol" w:hAnsi="Symbol" w:cs="Symbol"/>
    </w:rPr>
  </w:style>
  <w:style w:type="character" w:styleId="WW8Num205z0">
    <w:name w:val="WW8Num205z0"/>
    <w:qFormat/>
    <w:rPr/>
  </w:style>
  <w:style w:type="character" w:styleId="WW8Num206z0">
    <w:name w:val="WW8Num206z0"/>
    <w:qFormat/>
    <w:rPr/>
  </w:style>
  <w:style w:type="character" w:styleId="WW8Num207z0">
    <w:name w:val="WW8Num207z0"/>
    <w:qFormat/>
    <w:rPr>
      <w:rFonts w:ascii="Symbol" w:hAnsi="Symbol" w:cs="Symbol"/>
    </w:rPr>
  </w:style>
  <w:style w:type="character" w:styleId="WW8Num208z0">
    <w:name w:val="WW8Num208z0"/>
    <w:qFormat/>
    <w:rPr/>
  </w:style>
  <w:style w:type="character" w:styleId="WW8Num209z0">
    <w:name w:val="WW8Num209z0"/>
    <w:qFormat/>
    <w:rPr>
      <w:rFonts w:ascii="Symbol" w:hAnsi="Symbol" w:cs="Symbol"/>
      <w:color w:val="000000"/>
      <w:position w:val="0"/>
      <w:sz w:val="24"/>
      <w:u w:val="none"/>
      <w:vertAlign w:val="baseline"/>
    </w:rPr>
  </w:style>
  <w:style w:type="character" w:styleId="WW8Num209z1">
    <w:name w:val="WW8Num209z1"/>
    <w:qFormat/>
    <w:rPr>
      <w:rFonts w:ascii="Courier New" w:hAnsi="Courier New" w:cs="Courier New"/>
    </w:rPr>
  </w:style>
  <w:style w:type="character" w:styleId="WW8Num209z2">
    <w:name w:val="WW8Num209z2"/>
    <w:qFormat/>
    <w:rPr>
      <w:rFonts w:ascii="Wingdings" w:hAnsi="Wingdings" w:cs="Wingdings"/>
    </w:rPr>
  </w:style>
  <w:style w:type="character" w:styleId="WW8Num209z3">
    <w:name w:val="WW8Num209z3"/>
    <w:qFormat/>
    <w:rPr>
      <w:rFonts w:ascii="Symbol" w:hAnsi="Symbol" w:cs="Symbol"/>
    </w:rPr>
  </w:style>
  <w:style w:type="character" w:styleId="WW8Num210z0">
    <w:name w:val="WW8Num210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211z0">
    <w:name w:val="WW8Num211z0"/>
    <w:qFormat/>
    <w:rPr>
      <w:rFonts w:ascii="Wingdings" w:hAnsi="Wingdings" w:cs="Wingdings"/>
    </w:rPr>
  </w:style>
  <w:style w:type="character" w:styleId="WW8Num212z0">
    <w:name w:val="WW8Num212z0"/>
    <w:qFormat/>
    <w:rPr>
      <w:rFonts w:ascii="Symbol" w:hAnsi="Symbol" w:cs="Symbol"/>
    </w:rPr>
  </w:style>
  <w:style w:type="character" w:styleId="WW8Num213z0">
    <w:name w:val="WW8Num213z0"/>
    <w:qFormat/>
    <w:rPr>
      <w:rFonts w:ascii="Symbol" w:hAnsi="Symbol" w:cs="Symbol"/>
    </w:rPr>
  </w:style>
  <w:style w:type="character" w:styleId="WW8Num214z0">
    <w:name w:val="WW8Num214z0"/>
    <w:qFormat/>
    <w:rPr>
      <w:rFonts w:ascii="Times New Roman" w:hAnsi="Times New Roman" w:cs="Times New Roman"/>
      <w:b/>
      <w:i w:val="false"/>
      <w:sz w:val="28"/>
    </w:rPr>
  </w:style>
  <w:style w:type="character" w:styleId="WW8Num214z1">
    <w:name w:val="WW8Num214z1"/>
    <w:qFormat/>
    <w:rPr>
      <w:rFonts w:ascii="Times New Roman" w:hAnsi="Times New Roman" w:cs="Times New Roman"/>
      <w:b/>
      <w:i w:val="false"/>
      <w:sz w:val="24"/>
    </w:rPr>
  </w:style>
  <w:style w:type="character" w:styleId="WW8Num214z3">
    <w:name w:val="WW8Num214z3"/>
    <w:qFormat/>
    <w:rPr>
      <w:rFonts w:ascii="Times New Roman" w:hAnsi="Times New Roman" w:cs="Times New Roman"/>
      <w:b w:val="false"/>
      <w:i/>
      <w:sz w:val="24"/>
    </w:rPr>
  </w:style>
  <w:style w:type="character" w:styleId="WW8Num214z4">
    <w:name w:val="WW8Num214z4"/>
    <w:qFormat/>
    <w:rPr>
      <w:rFonts w:ascii="Times New Roman" w:hAnsi="Times New Roman" w:cs="Times New Roman"/>
      <w:b w:val="false"/>
      <w:i w:val="false"/>
      <w:sz w:val="22"/>
    </w:rPr>
  </w:style>
  <w:style w:type="character" w:styleId="WW8Num214z5">
    <w:name w:val="WW8Num214z5"/>
    <w:qFormat/>
    <w:rPr>
      <w:rFonts w:ascii="Times New Roman" w:hAnsi="Times New Roman" w:cs="Times New Roman"/>
      <w:b w:val="false"/>
      <w:i w:val="false"/>
      <w:caps w:val="false"/>
      <w:smallCaps w:val="false"/>
      <w:strike w:val="false"/>
      <w:dstrike w:val="false"/>
      <w:shadow w:val="false"/>
      <w:vanish w:val="false"/>
      <w:color w:val="auto"/>
      <w:position w:val="0"/>
      <w:sz w:val="22"/>
      <w:sz w:val="22"/>
      <w:vertAlign w:val="baseline"/>
    </w:rPr>
  </w:style>
  <w:style w:type="character" w:styleId="WW8Num214z6">
    <w:name w:val="WW8Num214z6"/>
    <w:qFormat/>
    <w:rPr>
      <w:rFonts w:ascii="Wingdings" w:hAnsi="Wingdings" w:cs="Wingdings"/>
      <w:b w:val="false"/>
      <w:i w:val="false"/>
      <w:caps w:val="false"/>
      <w:smallCaps w:val="false"/>
      <w:strike w:val="false"/>
      <w:dstrike w:val="false"/>
      <w:shadow w:val="false"/>
      <w:vanish w:val="false"/>
      <w:position w:val="0"/>
      <w:sz w:val="22"/>
      <w:sz w:val="22"/>
      <w:vertAlign w:val="baseline"/>
    </w:rPr>
  </w:style>
  <w:style w:type="character" w:styleId="WW8Num215z0">
    <w:name w:val="WW8Num215z0"/>
    <w:qFormat/>
    <w:rPr/>
  </w:style>
  <w:style w:type="character" w:styleId="WW8Num216z0">
    <w:name w:val="WW8Num216z0"/>
    <w:qFormat/>
    <w:rPr>
      <w:rFonts w:ascii="Wingdings" w:hAnsi="Wingdings" w:cs="Wingdings"/>
    </w:rPr>
  </w:style>
  <w:style w:type="character" w:styleId="WW8Num217z0">
    <w:name w:val="WW8Num217z0"/>
    <w:qFormat/>
    <w:rPr/>
  </w:style>
  <w:style w:type="character" w:styleId="WW8Num218z0">
    <w:name w:val="WW8Num218z0"/>
    <w:qFormat/>
    <w:rPr>
      <w:rFonts w:ascii="Symbol" w:hAnsi="Symbol" w:cs="Symbol"/>
    </w:rPr>
  </w:style>
  <w:style w:type="character" w:styleId="WW8Num219z0">
    <w:name w:val="WW8Num219z0"/>
    <w:qFormat/>
    <w:rPr>
      <w:rFonts w:ascii="Wingdings" w:hAnsi="Wingdings" w:cs="Wingdings"/>
    </w:rPr>
  </w:style>
  <w:style w:type="character" w:styleId="WW8Num221z0">
    <w:name w:val="WW8Num221z0"/>
    <w:qFormat/>
    <w:rPr/>
  </w:style>
  <w:style w:type="character" w:styleId="WW8Num222z0">
    <w:name w:val="WW8Num222z0"/>
    <w:qFormat/>
    <w:rPr>
      <w:rFonts w:ascii="Wingdings" w:hAnsi="Wingdings" w:cs="Wingdings"/>
      <w:b w:val="false"/>
      <w:i/>
      <w:color w:val="auto"/>
      <w:sz w:val="16"/>
      <w:u w:val="none"/>
    </w:rPr>
  </w:style>
  <w:style w:type="character" w:styleId="WW8Num227z0">
    <w:name w:val="WW8Num227z0"/>
    <w:qFormat/>
    <w:rPr>
      <w:rFonts w:ascii="Wingdings" w:hAnsi="Wingdings" w:cs="Wingdings"/>
      <w:b w:val="false"/>
      <w:i w:val="false"/>
      <w:color w:val="auto"/>
      <w:sz w:val="12"/>
      <w:u w:val="none"/>
      <w:vertAlign w:val="superscript"/>
    </w:rPr>
  </w:style>
  <w:style w:type="character" w:styleId="WW8Num228z0">
    <w:name w:val="WW8Num228z0"/>
    <w:qFormat/>
    <w:rPr/>
  </w:style>
  <w:style w:type="character" w:styleId="WW8Num229z0">
    <w:name w:val="WW8Num229z0"/>
    <w:qFormat/>
    <w:rPr>
      <w:rFonts w:ascii="Wingdings" w:hAnsi="Wingdings" w:cs="Wingdings"/>
    </w:rPr>
  </w:style>
  <w:style w:type="character" w:styleId="WW8Num230z0">
    <w:name w:val="WW8Num230z0"/>
    <w:qFormat/>
    <w:rPr>
      <w:rFonts w:ascii="Symbol" w:hAnsi="Symbol" w:cs="Symbol"/>
    </w:rPr>
  </w:style>
  <w:style w:type="character" w:styleId="WW8Num231z0">
    <w:name w:val="WW8Num231z0"/>
    <w:qFormat/>
    <w:rPr>
      <w:rFonts w:ascii="Symbol" w:hAnsi="Symbol" w:cs="Symbol"/>
    </w:rPr>
  </w:style>
  <w:style w:type="character" w:styleId="WW8Num232z0">
    <w:name w:val="WW8Num232z0"/>
    <w:qFormat/>
    <w:rPr>
      <w:rFonts w:ascii="Times New Roman" w:hAnsi="Times New Roman" w:cs="Times New Roman"/>
      <w:sz w:val="24"/>
    </w:rPr>
  </w:style>
  <w:style w:type="character" w:styleId="WW8Num233z0">
    <w:name w:val="WW8Num233z0"/>
    <w:qFormat/>
    <w:rPr>
      <w:rFonts w:ascii="Symbol" w:hAnsi="Symbol" w:cs="Symbol"/>
    </w:rPr>
  </w:style>
  <w:style w:type="character" w:styleId="WW8Num234z0">
    <w:name w:val="WW8Num234z0"/>
    <w:qFormat/>
    <w:rPr>
      <w:rFonts w:ascii="Times New Roman" w:hAnsi="Times New Roman" w:cs="Times New Roman"/>
      <w:b/>
      <w:i w:val="false"/>
      <w:caps w:val="false"/>
      <w:smallCaps w:val="false"/>
      <w:strike w:val="false"/>
      <w:dstrike w:val="false"/>
      <w:outline w:val="false"/>
      <w:shadow w:val="false"/>
      <w:vanish w:val="false"/>
      <w:color w:val="auto"/>
      <w:position w:val="0"/>
      <w:sz w:val="28"/>
      <w:sz w:val="28"/>
      <w:vertAlign w:val="baseline"/>
    </w:rPr>
  </w:style>
  <w:style w:type="character" w:styleId="WW8Num234z1">
    <w:name w:val="WW8Num234z1"/>
    <w:qFormat/>
    <w:rPr>
      <w:rFonts w:ascii="Times New Roman" w:hAnsi="Times New Roman" w:cs="Times New Roman"/>
      <w:b/>
      <w:i w:val="false"/>
      <w:caps w:val="false"/>
      <w:smallCaps w:val="false"/>
      <w:strike w:val="false"/>
      <w:dstrike w:val="false"/>
      <w:outline w:val="false"/>
      <w:shadow w:val="false"/>
      <w:vanish w:val="false"/>
      <w:color w:val="auto"/>
      <w:position w:val="0"/>
      <w:sz w:val="24"/>
      <w:sz w:val="24"/>
      <w:vertAlign w:val="baseline"/>
    </w:rPr>
  </w:style>
  <w:style w:type="character" w:styleId="WW8Num234z3">
    <w:name w:val="WW8Num234z3"/>
    <w:qFormat/>
    <w:rPr>
      <w:rFonts w:ascii="Times New Roman" w:hAnsi="Times New Roman" w:cs="Times New Roman"/>
      <w:b/>
      <w:i/>
      <w:caps w:val="false"/>
      <w:smallCaps w:val="false"/>
      <w:strike w:val="false"/>
      <w:dstrike w:val="false"/>
      <w:outline w:val="false"/>
      <w:shadow w:val="false"/>
      <w:vanish w:val="false"/>
      <w:color w:val="auto"/>
      <w:position w:val="0"/>
      <w:sz w:val="24"/>
      <w:sz w:val="24"/>
      <w:vertAlign w:val="baseline"/>
    </w:rPr>
  </w:style>
  <w:style w:type="character" w:styleId="WW8Num234z4">
    <w:name w:val="WW8Num234z4"/>
    <w:qFormat/>
    <w:rPr>
      <w:b w:val="false"/>
      <w:i w:val="false"/>
      <w:sz w:val="22"/>
    </w:rPr>
  </w:style>
  <w:style w:type="character" w:styleId="WW8Num234z5">
    <w:name w:val="WW8Num234z5"/>
    <w:qFormat/>
    <w:rPr>
      <w:b w:val="false"/>
      <w:i/>
      <w:caps w:val="false"/>
      <w:smallCaps w:val="false"/>
      <w:strike w:val="false"/>
      <w:dstrike w:val="false"/>
      <w:shadow w:val="false"/>
      <w:vanish w:val="false"/>
      <w:color w:val="auto"/>
      <w:position w:val="0"/>
      <w:sz w:val="22"/>
      <w:sz w:val="22"/>
      <w:vertAlign w:val="baseline"/>
    </w:rPr>
  </w:style>
  <w:style w:type="character" w:styleId="WW8Num235z0">
    <w:name w:val="WW8Num235z0"/>
    <w:qFormat/>
    <w:rPr>
      <w:rFonts w:ascii="Wingdings" w:hAnsi="Wingdings" w:cs="Wingdings"/>
    </w:rPr>
  </w:style>
  <w:style w:type="character" w:styleId="WW8Num236z0">
    <w:name w:val="WW8Num236z0"/>
    <w:qFormat/>
    <w:rPr>
      <w:rFonts w:ascii="Wingdings" w:hAnsi="Wingdings" w:cs="Wingdings"/>
      <w:b w:val="false"/>
      <w:i/>
      <w:color w:val="auto"/>
      <w:sz w:val="16"/>
      <w:u w:val="none"/>
    </w:rPr>
  </w:style>
  <w:style w:type="character" w:styleId="WW8Num237z0">
    <w:name w:val="WW8Num237z0"/>
    <w:qFormat/>
    <w:rPr>
      <w:rFonts w:ascii="Symbol" w:hAnsi="Symbol" w:cs="Symbol"/>
    </w:rPr>
  </w:style>
  <w:style w:type="character" w:styleId="WW8Num238z0">
    <w:name w:val="WW8Num238z0"/>
    <w:qFormat/>
    <w:rPr>
      <w:rFonts w:ascii="Wingdings" w:hAnsi="Wingdings" w:cs="Wingdings"/>
      <w:sz w:val="20"/>
    </w:rPr>
  </w:style>
  <w:style w:type="character" w:styleId="WW8Num239z0">
    <w:name w:val="WW8Num239z0"/>
    <w:qFormat/>
    <w:rPr/>
  </w:style>
  <w:style w:type="character" w:styleId="WW8Num240z0">
    <w:name w:val="WW8Num240z0"/>
    <w:qFormat/>
    <w:rPr>
      <w:rFonts w:ascii="Symbol" w:hAnsi="Symbol" w:cs="Symbol"/>
    </w:rPr>
  </w:style>
  <w:style w:type="character" w:styleId="WW8Num241z0">
    <w:name w:val="WW8Num241z0"/>
    <w:qFormat/>
    <w:rPr>
      <w:rFonts w:ascii="Symbol" w:hAnsi="Symbol" w:cs="Symbol"/>
    </w:rPr>
  </w:style>
  <w:style w:type="character" w:styleId="WW8Num243z0">
    <w:name w:val="WW8Num243z0"/>
    <w:qFormat/>
    <w:rPr>
      <w:rFonts w:ascii="Symbol" w:hAnsi="Symbol" w:cs="Symbol"/>
    </w:rPr>
  </w:style>
  <w:style w:type="character" w:styleId="WW8Num244z0">
    <w:name w:val="WW8Num244z0"/>
    <w:qFormat/>
    <w:rPr>
      <w:rFonts w:ascii="Symbol" w:hAnsi="Symbol" w:cs="Symbol"/>
      <w:color w:val="auto"/>
      <w:position w:val="0"/>
      <w:sz w:val="24"/>
      <w:u w:val="none"/>
      <w:vertAlign w:val="baseline"/>
    </w:rPr>
  </w:style>
  <w:style w:type="character" w:styleId="WW8Num245z0">
    <w:name w:val="WW8Num245z0"/>
    <w:qFormat/>
    <w:rPr/>
  </w:style>
  <w:style w:type="character" w:styleId="WW8Num246z0">
    <w:name w:val="WW8Num246z0"/>
    <w:qFormat/>
    <w:rPr>
      <w:b/>
    </w:rPr>
  </w:style>
  <w:style w:type="character" w:styleId="WW8Num247z0">
    <w:name w:val="WW8Num247z0"/>
    <w:qFormat/>
    <w:rPr/>
  </w:style>
  <w:style w:type="character" w:styleId="WW8Num248z0">
    <w:name w:val="WW8Num248z0"/>
    <w:qFormat/>
    <w:rPr/>
  </w:style>
  <w:style w:type="character" w:styleId="WW8Num251z0">
    <w:name w:val="WW8Num251z0"/>
    <w:qFormat/>
    <w:rPr>
      <w:rFonts w:ascii="Wingdings" w:hAnsi="Wingdings" w:cs="Wingdings"/>
      <w:caps w:val="false"/>
      <w:smallCaps w:val="false"/>
      <w:strike w:val="false"/>
      <w:dstrike w:val="false"/>
      <w:outline w:val="false"/>
      <w:shadow w:val="false"/>
      <w:vanish w:val="false"/>
      <w:color w:val="000000"/>
      <w:position w:val="0"/>
      <w:sz w:val="20"/>
      <w:sz w:val="20"/>
      <w:vertAlign w:val="baseline"/>
    </w:rPr>
  </w:style>
  <w:style w:type="character" w:styleId="WW8Num251z1">
    <w:name w:val="WW8Num251z1"/>
    <w:qFormat/>
    <w:rPr>
      <w:rFonts w:ascii="Courier New" w:hAnsi="Courier New" w:cs="Courier New"/>
    </w:rPr>
  </w:style>
  <w:style w:type="character" w:styleId="WW8Num251z2">
    <w:name w:val="WW8Num251z2"/>
    <w:qFormat/>
    <w:rPr>
      <w:rFonts w:ascii="Wingdings" w:hAnsi="Wingdings" w:cs="Wingdings"/>
    </w:rPr>
  </w:style>
  <w:style w:type="character" w:styleId="WW8Num251z3">
    <w:name w:val="WW8Num251z3"/>
    <w:qFormat/>
    <w:rPr>
      <w:rFonts w:ascii="Symbol" w:hAnsi="Symbol" w:cs="Symbol"/>
    </w:rPr>
  </w:style>
  <w:style w:type="character" w:styleId="WW8Num252z0">
    <w:name w:val="WW8Num252z0"/>
    <w:qFormat/>
    <w:rPr/>
  </w:style>
  <w:style w:type="character" w:styleId="WW8Num255z0">
    <w:name w:val="WW8Num255z0"/>
    <w:qFormat/>
    <w:rPr>
      <w:rFonts w:ascii="Symbol" w:hAnsi="Symbol" w:cs="Symbol"/>
    </w:rPr>
  </w:style>
  <w:style w:type="character" w:styleId="WW8Num256z0">
    <w:name w:val="WW8Num256z0"/>
    <w:qFormat/>
    <w:rPr/>
  </w:style>
  <w:style w:type="character" w:styleId="WW8Num257z0">
    <w:name w:val="WW8Num257z0"/>
    <w:qFormat/>
    <w:rPr>
      <w:rFonts w:ascii="Symbol" w:hAnsi="Symbol" w:cs="Symbol"/>
    </w:rPr>
  </w:style>
  <w:style w:type="character" w:styleId="WW8Num258z0">
    <w:name w:val="WW8Num258z0"/>
    <w:qFormat/>
    <w:rPr>
      <w:rFonts w:ascii="Wingdings" w:hAnsi="Wingdings" w:cs="Wingdings"/>
    </w:rPr>
  </w:style>
  <w:style w:type="character" w:styleId="WW8Num260z0">
    <w:name w:val="WW8Num260z0"/>
    <w:qFormat/>
    <w:rPr>
      <w:rFonts w:ascii="Symbol" w:hAnsi="Symbol" w:cs="Symbol"/>
    </w:rPr>
  </w:style>
  <w:style w:type="character" w:styleId="WW8Num261z0">
    <w:name w:val="WW8Num261z0"/>
    <w:qFormat/>
    <w:rPr>
      <w:rFonts w:ascii="Symbol" w:hAnsi="Symbol" w:cs="Symbol"/>
    </w:rPr>
  </w:style>
  <w:style w:type="character" w:styleId="WW8Num263z0">
    <w:name w:val="WW8Num263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264z0">
    <w:name w:val="WW8Num264z0"/>
    <w:qFormat/>
    <w:rPr>
      <w:rFonts w:ascii="Symbol" w:hAnsi="Symbol" w:cs="Symbol"/>
    </w:rPr>
  </w:style>
  <w:style w:type="character" w:styleId="WW8Num265z0">
    <w:name w:val="WW8Num265z0"/>
    <w:qFormat/>
    <w:rPr>
      <w:rFonts w:ascii="Wingdings" w:hAnsi="Wingdings" w:cs="Wingdings"/>
    </w:rPr>
  </w:style>
  <w:style w:type="character" w:styleId="WW8Num266z0">
    <w:name w:val="WW8Num266z0"/>
    <w:qFormat/>
    <w:rPr>
      <w:rFonts w:ascii="Wingdings" w:hAnsi="Wingdings" w:cs="Wingdings"/>
      <w:b w:val="false"/>
      <w:i w:val="false"/>
      <w:color w:val="auto"/>
      <w:sz w:val="28"/>
      <w:u w:val="none"/>
      <w:vertAlign w:val="superscript"/>
    </w:rPr>
  </w:style>
  <w:style w:type="character" w:styleId="WW8Num267z0">
    <w:name w:val="WW8Num267z0"/>
    <w:qFormat/>
    <w:rPr>
      <w:rFonts w:ascii="Symbol" w:hAnsi="Symbol" w:cs="Symbol"/>
    </w:rPr>
  </w:style>
  <w:style w:type="character" w:styleId="WW8Num268z0">
    <w:name w:val="WW8Num268z0"/>
    <w:qFormat/>
    <w:rPr/>
  </w:style>
  <w:style w:type="character" w:styleId="WW8Num269z0">
    <w:name w:val="WW8Num269z0"/>
    <w:qFormat/>
    <w:rPr>
      <w:rFonts w:ascii="Wingdings" w:hAnsi="Wingdings" w:cs="Wingdings"/>
      <w:b w:val="false"/>
      <w:i w:val="false"/>
      <w:color w:val="auto"/>
      <w:sz w:val="10"/>
      <w:u w:val="none"/>
      <w:vertAlign w:val="superscript"/>
    </w:rPr>
  </w:style>
  <w:style w:type="character" w:styleId="WW8Num270z0">
    <w:name w:val="WW8Num270z0"/>
    <w:qFormat/>
    <w:rPr>
      <w:rFonts w:ascii="Wingdings" w:hAnsi="Wingdings" w:cs="Wingdings"/>
      <w:b w:val="false"/>
      <w:i w:val="false"/>
      <w:color w:val="000000"/>
      <w:kern w:val="0"/>
      <w:position w:val="0"/>
      <w:sz w:val="14"/>
      <w:sz w:val="14"/>
      <w:u w:val="none"/>
      <w:vertAlign w:val="baseline"/>
    </w:rPr>
  </w:style>
  <w:style w:type="character" w:styleId="WW8Num270z1">
    <w:name w:val="WW8Num270z1"/>
    <w:qFormat/>
    <w:rPr>
      <w:rFonts w:ascii="Courier New" w:hAnsi="Courier New" w:cs="Courier New"/>
    </w:rPr>
  </w:style>
  <w:style w:type="character" w:styleId="WW8Num270z2">
    <w:name w:val="WW8Num270z2"/>
    <w:qFormat/>
    <w:rPr>
      <w:rFonts w:ascii="Wingdings" w:hAnsi="Wingdings" w:cs="Wingdings"/>
    </w:rPr>
  </w:style>
  <w:style w:type="character" w:styleId="WW8Num270z3">
    <w:name w:val="WW8Num270z3"/>
    <w:qFormat/>
    <w:rPr>
      <w:rFonts w:ascii="Symbol" w:hAnsi="Symbol" w:cs="Symbol"/>
    </w:rPr>
  </w:style>
  <w:style w:type="character" w:styleId="WW8Num272z0">
    <w:name w:val="WW8Num272z0"/>
    <w:qFormat/>
    <w:rPr>
      <w:rFonts w:ascii="Symbol" w:hAnsi="Symbol" w:cs="Symbol"/>
      <w:color w:val="auto"/>
      <w:sz w:val="28"/>
    </w:rPr>
  </w:style>
  <w:style w:type="character" w:styleId="WW8Num273z0">
    <w:name w:val="WW8Num273z0"/>
    <w:qFormat/>
    <w:rPr>
      <w:rFonts w:ascii="Wingdings" w:hAnsi="Wingdings" w:cs="Wingdings"/>
      <w:b w:val="false"/>
      <w:i w:val="false"/>
      <w:color w:val="auto"/>
      <w:sz w:val="28"/>
      <w:u w:val="none"/>
    </w:rPr>
  </w:style>
  <w:style w:type="character" w:styleId="WW8Num275z0">
    <w:name w:val="WW8Num275z0"/>
    <w:qFormat/>
    <w:rPr>
      <w:rFonts w:ascii="Symbol" w:hAnsi="Symbol" w:cs="Symbol"/>
    </w:rPr>
  </w:style>
  <w:style w:type="character" w:styleId="WW8Num276z0">
    <w:name w:val="WW8Num276z0"/>
    <w:qFormat/>
    <w:rPr>
      <w:rFonts w:ascii="Symbol" w:hAnsi="Symbol" w:cs="Symbol"/>
    </w:rPr>
  </w:style>
  <w:style w:type="character" w:styleId="WW8Num278z0">
    <w:name w:val="WW8Num278z0"/>
    <w:qFormat/>
    <w:rPr/>
  </w:style>
  <w:style w:type="character" w:styleId="WW8Num279z0">
    <w:name w:val="WW8Num279z0"/>
    <w:qFormat/>
    <w:rPr>
      <w:rFonts w:ascii="Symbol" w:hAnsi="Symbol" w:cs="Symbol"/>
    </w:rPr>
  </w:style>
  <w:style w:type="character" w:styleId="WW8Num280z0">
    <w:name w:val="WW8Num280z0"/>
    <w:qFormat/>
    <w:rPr>
      <w:rFonts w:ascii="Symbol" w:hAnsi="Symbol" w:cs="Symbol"/>
      <w:caps w:val="false"/>
      <w:smallCaps w:val="false"/>
      <w:strike w:val="false"/>
      <w:dstrike w:val="false"/>
      <w:outline w:val="false"/>
      <w:shadow w:val="false"/>
      <w:vanish w:val="false"/>
      <w:color w:val="auto"/>
      <w:kern w:val="0"/>
      <w:position w:val="0"/>
      <w:sz w:val="24"/>
      <w:u w:val="none"/>
      <w:vertAlign w:val="baseline"/>
    </w:rPr>
  </w:style>
  <w:style w:type="character" w:styleId="WW8Num281z0">
    <w:name w:val="WW8Num281z0"/>
    <w:qFormat/>
    <w:rPr>
      <w:i/>
    </w:rPr>
  </w:style>
  <w:style w:type="character" w:styleId="WW8Num282z0">
    <w:name w:val="WW8Num282z0"/>
    <w:qFormat/>
    <w:rPr>
      <w:rFonts w:ascii="Symbol" w:hAnsi="Symbol" w:cs="Symbol"/>
    </w:rPr>
  </w:style>
  <w:style w:type="character" w:styleId="WW8Num283z0">
    <w:name w:val="WW8Num283z0"/>
    <w:qFormat/>
    <w:rPr>
      <w:rFonts w:ascii="Symbol" w:hAnsi="Symbol" w:cs="Symbol"/>
    </w:rPr>
  </w:style>
  <w:style w:type="character" w:styleId="WW8Num284z0">
    <w:name w:val="WW8Num284z0"/>
    <w:qFormat/>
    <w:rPr/>
  </w:style>
  <w:style w:type="character" w:styleId="WW8Num284z2">
    <w:name w:val="WW8Num284z2"/>
    <w:qFormat/>
    <w:rPr>
      <w:b/>
      <w:i w:val="false"/>
    </w:rPr>
  </w:style>
  <w:style w:type="character" w:styleId="WW8Num285z0">
    <w:name w:val="WW8Num285z0"/>
    <w:qFormat/>
    <w:rPr>
      <w:rFonts w:ascii="Symbol" w:hAnsi="Symbol" w:cs="Symbol"/>
      <w:b w:val="false"/>
      <w:i w:val="false"/>
      <w:sz w:val="20"/>
    </w:rPr>
  </w:style>
  <w:style w:type="character" w:styleId="WW8Num286z0">
    <w:name w:val="WW8Num286z0"/>
    <w:qFormat/>
    <w:rPr/>
  </w:style>
  <w:style w:type="character" w:styleId="WW8Num288z0">
    <w:name w:val="WW8Num288z0"/>
    <w:qFormat/>
    <w:rPr>
      <w:rFonts w:ascii="Symbol" w:hAnsi="Symbol" w:cs="Symbol"/>
    </w:rPr>
  </w:style>
  <w:style w:type="character" w:styleId="WW8Num289z0">
    <w:name w:val="WW8Num289z0"/>
    <w:qFormat/>
    <w:rPr>
      <w:rFonts w:ascii="Symbol" w:hAnsi="Symbol" w:cs="Symbol"/>
    </w:rPr>
  </w:style>
  <w:style w:type="character" w:styleId="WW8Num291z0">
    <w:name w:val="WW8Num291z0"/>
    <w:qFormat/>
    <w:rPr>
      <w:rFonts w:ascii="Wingdings" w:hAnsi="Wingdings" w:cs="Wingdings"/>
      <w:color w:val="auto"/>
    </w:rPr>
  </w:style>
  <w:style w:type="character" w:styleId="WW8Num292z0">
    <w:name w:val="WW8Num292z0"/>
    <w:qFormat/>
    <w:rPr>
      <w:caps w:val="false"/>
      <w:smallCaps w:val="false"/>
      <w:strike w:val="false"/>
      <w:dstrike w:val="false"/>
      <w:outline w:val="false"/>
      <w:shadow w:val="false"/>
      <w:vanish w:val="false"/>
      <w:color w:val="auto"/>
      <w:kern w:val="0"/>
      <w:position w:val="0"/>
      <w:sz w:val="24"/>
      <w:vertAlign w:val="baseline"/>
    </w:rPr>
  </w:style>
  <w:style w:type="character" w:styleId="WW8Num293z0">
    <w:name w:val="WW8Num293z0"/>
    <w:qFormat/>
    <w:rPr>
      <w:rFonts w:ascii="Wingdings" w:hAnsi="Wingdings" w:cs="Wingdings"/>
      <w:b w:val="false"/>
      <w:i/>
      <w:color w:val="auto"/>
      <w:sz w:val="16"/>
      <w:u w:val="none"/>
    </w:rPr>
  </w:style>
  <w:style w:type="character" w:styleId="WW8Num294z0">
    <w:name w:val="WW8Num294z0"/>
    <w:qFormat/>
    <w:rPr>
      <w:rFonts w:ascii="Symbol" w:hAnsi="Symbol" w:cs="Symbol"/>
    </w:rPr>
  </w:style>
  <w:style w:type="character" w:styleId="WW8Num295z0">
    <w:name w:val="WW8Num295z0"/>
    <w:qFormat/>
    <w:rPr/>
  </w:style>
  <w:style w:type="character" w:styleId="WW8Num296z0">
    <w:name w:val="WW8Num296z0"/>
    <w:qFormat/>
    <w:rPr/>
  </w:style>
  <w:style w:type="character" w:styleId="WW8Num297z0">
    <w:name w:val="WW8Num297z0"/>
    <w:qFormat/>
    <w:rPr>
      <w:rFonts w:ascii="Symbol" w:hAnsi="Symbol" w:cs="Symbol"/>
    </w:rPr>
  </w:style>
  <w:style w:type="character" w:styleId="WW8Num299z0">
    <w:name w:val="WW8Num299z0"/>
    <w:qFormat/>
    <w:rPr>
      <w:rFonts w:ascii="Symbol" w:hAnsi="Symbol" w:cs="Symbol"/>
    </w:rPr>
  </w:style>
  <w:style w:type="character" w:styleId="WW8Num300z0">
    <w:name w:val="WW8Num300z0"/>
    <w:qFormat/>
    <w:rPr/>
  </w:style>
  <w:style w:type="character" w:styleId="WW8Num301z0">
    <w:name w:val="WW8Num301z0"/>
    <w:qFormat/>
    <w:rPr>
      <w:rFonts w:ascii="Symbol" w:hAnsi="Symbol" w:cs="Symbol"/>
    </w:rPr>
  </w:style>
  <w:style w:type="character" w:styleId="WW8Num303z0">
    <w:name w:val="WW8Num303z0"/>
    <w:qFormat/>
    <w:rPr>
      <w:rFonts w:ascii="Symbol" w:hAnsi="Symbol" w:cs="Symbol"/>
    </w:rPr>
  </w:style>
  <w:style w:type="character" w:styleId="WW8Num305z0">
    <w:name w:val="WW8Num305z0"/>
    <w:qFormat/>
    <w:rPr>
      <w:rFonts w:ascii="Symbol" w:hAnsi="Symbol" w:cs="Symbol"/>
    </w:rPr>
  </w:style>
  <w:style w:type="character" w:styleId="WW8Num306z0">
    <w:name w:val="WW8Num306z0"/>
    <w:qFormat/>
    <w:rPr>
      <w:rFonts w:ascii="Symbol" w:hAnsi="Symbol" w:cs="Symbol"/>
    </w:rPr>
  </w:style>
  <w:style w:type="character" w:styleId="WW8Num307z0">
    <w:name w:val="WW8Num307z0"/>
    <w:qFormat/>
    <w:rPr/>
  </w:style>
  <w:style w:type="character" w:styleId="WW8Num309z0">
    <w:name w:val="WW8Num309z0"/>
    <w:qFormat/>
    <w:rPr/>
  </w:style>
  <w:style w:type="character" w:styleId="WW8Num311z0">
    <w:name w:val="WW8Num311z0"/>
    <w:qFormat/>
    <w:rPr>
      <w:rFonts w:ascii="Symbol" w:hAnsi="Symbol" w:cs="Symbol"/>
    </w:rPr>
  </w:style>
  <w:style w:type="character" w:styleId="WW8Num314z0">
    <w:name w:val="WW8Num314z0"/>
    <w:qFormat/>
    <w:rPr>
      <w:rFonts w:ascii="Wingdings 3" w:hAnsi="Wingdings 3" w:cs="Wingdings 3"/>
      <w:b w:val="false"/>
      <w:i w:val="false"/>
      <w:sz w:val="32"/>
      <w:vertAlign w:val="subscript"/>
    </w:rPr>
  </w:style>
  <w:style w:type="character" w:styleId="WW8Num315z0">
    <w:name w:val="WW8Num315z0"/>
    <w:qFormat/>
    <w:rPr>
      <w:i w:val="false"/>
    </w:rPr>
  </w:style>
  <w:style w:type="character" w:styleId="WW8Num316z0">
    <w:name w:val="WW8Num316z0"/>
    <w:qFormat/>
    <w:rPr/>
  </w:style>
  <w:style w:type="character" w:styleId="WW8Num317z0">
    <w:name w:val="WW8Num317z0"/>
    <w:qFormat/>
    <w:rPr/>
  </w:style>
  <w:style w:type="character" w:styleId="WW8Num318z0">
    <w:name w:val="WW8Num318z0"/>
    <w:qFormat/>
    <w:rPr>
      <w:rFonts w:ascii="Symbol" w:hAnsi="Symbol" w:cs="Symbol"/>
    </w:rPr>
  </w:style>
  <w:style w:type="character" w:styleId="WW8Num319z0">
    <w:name w:val="WW8Num319z0"/>
    <w:qFormat/>
    <w:rPr>
      <w:rFonts w:ascii="Symbol" w:hAnsi="Symbol" w:cs="Symbol"/>
    </w:rPr>
  </w:style>
  <w:style w:type="character" w:styleId="WW8Num320z0">
    <w:name w:val="WW8Num320z0"/>
    <w:qFormat/>
    <w:rPr>
      <w:rFonts w:ascii="Symbol" w:hAnsi="Symbol" w:cs="Symbol"/>
    </w:rPr>
  </w:style>
  <w:style w:type="character" w:styleId="WW8Num322z0">
    <w:name w:val="WW8Num322z0"/>
    <w:qFormat/>
    <w:rPr/>
  </w:style>
  <w:style w:type="character" w:styleId="WW8Num323z0">
    <w:name w:val="WW8Num323z0"/>
    <w:qFormat/>
    <w:rPr/>
  </w:style>
  <w:style w:type="character" w:styleId="WW8Num324z0">
    <w:name w:val="WW8Num324z0"/>
    <w:qFormat/>
    <w:rPr>
      <w:rFonts w:ascii="Symbol" w:hAnsi="Symbol" w:cs="Symbol"/>
    </w:rPr>
  </w:style>
  <w:style w:type="character" w:styleId="WW8Num325z0">
    <w:name w:val="WW8Num325z0"/>
    <w:qFormat/>
    <w:rPr/>
  </w:style>
  <w:style w:type="character" w:styleId="WW8Num326z0">
    <w:name w:val="WW8Num326z0"/>
    <w:qFormat/>
    <w:rPr>
      <w:rFonts w:ascii="Symbol" w:hAnsi="Symbol" w:cs="Symbol"/>
    </w:rPr>
  </w:style>
  <w:style w:type="character" w:styleId="WW8Num327z0">
    <w:name w:val="WW8Num327z0"/>
    <w:qFormat/>
    <w:rPr>
      <w:rFonts w:ascii="Symbol" w:hAnsi="Symbol" w:cs="Symbol"/>
    </w:rPr>
  </w:style>
  <w:style w:type="character" w:styleId="WW8Num329z0">
    <w:name w:val="WW8Num329z0"/>
    <w:qFormat/>
    <w:rPr/>
  </w:style>
  <w:style w:type="character" w:styleId="WW8Num330z0">
    <w:name w:val="WW8Num330z0"/>
    <w:qFormat/>
    <w:rPr>
      <w:rFonts w:ascii="Wingdings" w:hAnsi="Wingdings" w:cs="Wingdings"/>
      <w:sz w:val="16"/>
    </w:rPr>
  </w:style>
  <w:style w:type="character" w:styleId="WW8Num331z0">
    <w:name w:val="WW8Num331z0"/>
    <w:qFormat/>
    <w:rPr>
      <w:rFonts w:ascii="Symbol" w:hAnsi="Symbol" w:cs="Symbol"/>
    </w:rPr>
  </w:style>
  <w:style w:type="character" w:styleId="WW8Num333z0">
    <w:name w:val="WW8Num333z0"/>
    <w:qFormat/>
    <w:rPr>
      <w:rFonts w:ascii="Symbol" w:hAnsi="Symbol" w:cs="Symbol"/>
    </w:rPr>
  </w:style>
  <w:style w:type="character" w:styleId="WW8Num334z0">
    <w:name w:val="WW8Num334z0"/>
    <w:qFormat/>
    <w:rPr>
      <w:rFonts w:ascii="Symbol" w:hAnsi="Symbol" w:cs="Symbol"/>
    </w:rPr>
  </w:style>
  <w:style w:type="character" w:styleId="WW8Num335z0">
    <w:name w:val="WW8Num335z0"/>
    <w:qFormat/>
    <w:rPr>
      <w:rFonts w:ascii="Wingdings" w:hAnsi="Wingdings" w:cs="Wingdings"/>
      <w:color w:val="auto"/>
      <w:sz w:val="20"/>
    </w:rPr>
  </w:style>
  <w:style w:type="character" w:styleId="WW8Num336z0">
    <w:name w:val="WW8Num336z0"/>
    <w:qFormat/>
    <w:rPr>
      <w:rFonts w:ascii="Symbol" w:hAnsi="Symbol" w:cs="Symbol"/>
    </w:rPr>
  </w:style>
  <w:style w:type="character" w:styleId="WW8Num338z0">
    <w:name w:val="WW8Num338z0"/>
    <w:qFormat/>
    <w:rPr>
      <w:rFonts w:ascii="Symbol" w:hAnsi="Symbol" w:cs="Symbol"/>
    </w:rPr>
  </w:style>
  <w:style w:type="character" w:styleId="WW8Num339z0">
    <w:name w:val="WW8Num339z0"/>
    <w:qFormat/>
    <w:rPr>
      <w:rFonts w:ascii="Arial" w:hAnsi="Arial" w:cs="Arial"/>
      <w:b/>
      <w:i/>
      <w:color w:val="auto"/>
      <w:sz w:val="24"/>
      <w:u w:val="none"/>
    </w:rPr>
  </w:style>
  <w:style w:type="character" w:styleId="WW8Num340z0">
    <w:name w:val="WW8Num340z0"/>
    <w:qFormat/>
    <w:rPr>
      <w:rFonts w:ascii="Times New Roman" w:hAnsi="Times New Roman" w:cs="Times New Roman"/>
      <w:b w:val="false"/>
      <w:i w:val="false"/>
      <w:color w:val="auto"/>
      <w:sz w:val="24"/>
    </w:rPr>
  </w:style>
  <w:style w:type="character" w:styleId="WW8Num341z0">
    <w:name w:val="WW8Num341z0"/>
    <w:qFormat/>
    <w:rPr>
      <w:rFonts w:ascii="Symbol" w:hAnsi="Symbol" w:cs="Symbol"/>
    </w:rPr>
  </w:style>
  <w:style w:type="character" w:styleId="WW8Num342z0">
    <w:name w:val="WW8Num342z0"/>
    <w:qFormat/>
    <w:rPr/>
  </w:style>
  <w:style w:type="character" w:styleId="WW8Num344z0">
    <w:name w:val="WW8Num344z0"/>
    <w:qFormat/>
    <w:rPr/>
  </w:style>
  <w:style w:type="character" w:styleId="WW8Num345z0">
    <w:name w:val="WW8Num345z0"/>
    <w:qFormat/>
    <w:rPr>
      <w:rFonts w:ascii="Symbol" w:hAnsi="Symbol" w:cs="Symbol"/>
    </w:rPr>
  </w:style>
  <w:style w:type="character" w:styleId="WW8Num346z0">
    <w:name w:val="WW8Num346z0"/>
    <w:qFormat/>
    <w:rPr>
      <w:rFonts w:ascii="Symbol" w:hAnsi="Symbol" w:cs="Symbol"/>
    </w:rPr>
  </w:style>
  <w:style w:type="character" w:styleId="WW8Num347z0">
    <w:name w:val="WW8Num347z0"/>
    <w:qFormat/>
    <w:rPr>
      <w:rFonts w:ascii="Symbol" w:hAnsi="Symbol" w:cs="Symbol"/>
    </w:rPr>
  </w:style>
  <w:style w:type="character" w:styleId="WW8Num349z0">
    <w:name w:val="WW8Num349z0"/>
    <w:qFormat/>
    <w:rPr/>
  </w:style>
  <w:style w:type="character" w:styleId="WW8Num350z0">
    <w:name w:val="WW8Num350z0"/>
    <w:qFormat/>
    <w:rPr/>
  </w:style>
  <w:style w:type="character" w:styleId="WW8Num351z0">
    <w:name w:val="WW8Num351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352z0">
    <w:name w:val="WW8Num352z0"/>
    <w:qFormat/>
    <w:rPr/>
  </w:style>
  <w:style w:type="character" w:styleId="WW8Num354z0">
    <w:name w:val="WW8Num354z0"/>
    <w:qFormat/>
    <w:rPr/>
  </w:style>
  <w:style w:type="character" w:styleId="WW8Num355z0">
    <w:name w:val="WW8Num355z0"/>
    <w:qFormat/>
    <w:rPr>
      <w:rFonts w:ascii="Symbol" w:hAnsi="Symbol" w:cs="Symbol"/>
    </w:rPr>
  </w:style>
  <w:style w:type="character" w:styleId="WW8Num357z0">
    <w:name w:val="WW8Num357z0"/>
    <w:qFormat/>
    <w:rPr>
      <w:rFonts w:ascii="Wingdings" w:hAnsi="Wingdings" w:cs="Wingdings"/>
    </w:rPr>
  </w:style>
  <w:style w:type="character" w:styleId="WW8Num358z0">
    <w:name w:val="WW8Num358z0"/>
    <w:qFormat/>
    <w:rPr>
      <w:rFonts w:ascii="Symbol" w:hAnsi="Symbol" w:cs="Symbol"/>
    </w:rPr>
  </w:style>
  <w:style w:type="character" w:styleId="WW8Num359z0">
    <w:name w:val="WW8Num359z0"/>
    <w:qFormat/>
    <w:rPr>
      <w:rFonts w:ascii="Symbol" w:hAnsi="Symbol" w:cs="Symbol"/>
    </w:rPr>
  </w:style>
  <w:style w:type="character" w:styleId="WW8Num360z0">
    <w:name w:val="WW8Num360z0"/>
    <w:qFormat/>
    <w:rPr>
      <w:rFonts w:ascii="NewspaperPi BT;Symbol" w:hAnsi="NewspaperPi BT;Symbol" w:cs="NewspaperPi BT;Symbol"/>
      <w:b w:val="false"/>
      <w:i w:val="false"/>
      <w:sz w:val="18"/>
    </w:rPr>
  </w:style>
  <w:style w:type="character" w:styleId="WW8Num362z0">
    <w:name w:val="WW8Num362z0"/>
    <w:qFormat/>
    <w:rPr>
      <w:rFonts w:ascii="Symbol" w:hAnsi="Symbol" w:cs="Symbol"/>
    </w:rPr>
  </w:style>
  <w:style w:type="character" w:styleId="WW8Num363z0">
    <w:name w:val="WW8Num363z0"/>
    <w:qFormat/>
    <w:rPr/>
  </w:style>
  <w:style w:type="character" w:styleId="WW8Num365z0">
    <w:name w:val="WW8Num365z0"/>
    <w:qFormat/>
    <w:rPr>
      <w:rFonts w:ascii="Symbol" w:hAnsi="Symbol" w:cs="Symbol"/>
    </w:rPr>
  </w:style>
  <w:style w:type="character" w:styleId="WW8Num366z0">
    <w:name w:val="WW8Num366z0"/>
    <w:qFormat/>
    <w:rPr>
      <w:rFonts w:ascii="Symbol" w:hAnsi="Symbol" w:cs="Symbol"/>
    </w:rPr>
  </w:style>
  <w:style w:type="character" w:styleId="WW8Num369z0">
    <w:name w:val="WW8Num369z0"/>
    <w:qFormat/>
    <w:rPr>
      <w:rFonts w:ascii="Symbol" w:hAnsi="Symbol" w:cs="Symbol"/>
    </w:rPr>
  </w:style>
  <w:style w:type="character" w:styleId="WW8Num371z0">
    <w:name w:val="WW8Num371z0"/>
    <w:qFormat/>
    <w:rPr>
      <w:rFonts w:ascii="Wingdings" w:hAnsi="Wingdings" w:cs="Wingdings"/>
    </w:rPr>
  </w:style>
  <w:style w:type="character" w:styleId="WW8Num372z0">
    <w:name w:val="WW8Num372z0"/>
    <w:qFormat/>
    <w:rPr>
      <w:rFonts w:ascii="Wingdings" w:hAnsi="Wingdings" w:cs="Wingdings"/>
    </w:rPr>
  </w:style>
  <w:style w:type="character" w:styleId="WW8Num373z0">
    <w:name w:val="WW8Num373z0"/>
    <w:qFormat/>
    <w:rPr/>
  </w:style>
  <w:style w:type="character" w:styleId="WW8Num375z0">
    <w:name w:val="WW8Num375z0"/>
    <w:qFormat/>
    <w:rPr>
      <w:rFonts w:ascii="Symbol" w:hAnsi="Symbol" w:cs="Symbol"/>
    </w:rPr>
  </w:style>
  <w:style w:type="character" w:styleId="WW8Num377z0">
    <w:name w:val="WW8Num377z0"/>
    <w:qFormat/>
    <w:rPr/>
  </w:style>
  <w:style w:type="character" w:styleId="WW8Num378z0">
    <w:name w:val="WW8Num378z0"/>
    <w:qFormat/>
    <w:rPr>
      <w:rFonts w:ascii="Symbol" w:hAnsi="Symbol" w:cs="Symbol"/>
    </w:rPr>
  </w:style>
  <w:style w:type="character" w:styleId="WW8Num380z0">
    <w:name w:val="WW8Num380z0"/>
    <w:qFormat/>
    <w:rPr>
      <w:caps w:val="false"/>
      <w:smallCaps w:val="false"/>
      <w:strike w:val="false"/>
      <w:dstrike w:val="false"/>
      <w:outline w:val="false"/>
      <w:shadow w:val="false"/>
      <w:vanish w:val="false"/>
      <w:color w:val="000000"/>
      <w:kern w:val="0"/>
      <w:position w:val="0"/>
      <w:sz w:val="24"/>
      <w:vertAlign w:val="baseline"/>
    </w:rPr>
  </w:style>
  <w:style w:type="character" w:styleId="WW8Num381z0">
    <w:name w:val="WW8Num381z0"/>
    <w:qFormat/>
    <w:rPr>
      <w:rFonts w:ascii="NewspaperPi BT;Symbol" w:hAnsi="NewspaperPi BT;Symbol" w:cs="NewspaperPi BT;Symbol"/>
      <w:b w:val="false"/>
      <w:i w:val="false"/>
      <w:sz w:val="18"/>
    </w:rPr>
  </w:style>
  <w:style w:type="character" w:styleId="WW8Num382z0">
    <w:name w:val="WW8Num382z0"/>
    <w:qFormat/>
    <w:rPr/>
  </w:style>
  <w:style w:type="character" w:styleId="WW8Num383z0">
    <w:name w:val="WW8Num383z0"/>
    <w:qFormat/>
    <w:rPr/>
  </w:style>
  <w:style w:type="character" w:styleId="WW8Num384z0">
    <w:name w:val="WW8Num384z0"/>
    <w:qFormat/>
    <w:rPr>
      <w:rFonts w:ascii="Symbol" w:hAnsi="Symbol" w:cs="Symbol"/>
    </w:rPr>
  </w:style>
  <w:style w:type="character" w:styleId="WW8Num387z0">
    <w:name w:val="WW8Num387z0"/>
    <w:qFormat/>
    <w:rPr>
      <w:rFonts w:ascii="Symbol" w:hAnsi="Symbol" w:cs="Symbol"/>
    </w:rPr>
  </w:style>
  <w:style w:type="character" w:styleId="WW8Num389z0">
    <w:name w:val="WW8Num389z0"/>
    <w:qFormat/>
    <w:rPr>
      <w:caps w:val="false"/>
      <w:smallCaps w:val="false"/>
      <w:strike w:val="false"/>
      <w:dstrike w:val="false"/>
      <w:shadow w:val="false"/>
      <w:vanish w:val="false"/>
      <w:position w:val="0"/>
      <w:sz w:val="24"/>
      <w:vertAlign w:val="baseline"/>
    </w:rPr>
  </w:style>
  <w:style w:type="character" w:styleId="WW8Num391z0">
    <w:name w:val="WW8Num391z0"/>
    <w:qFormat/>
    <w:rPr>
      <w:rFonts w:ascii="Symbol" w:hAnsi="Symbol" w:cs="Symbol"/>
      <w:sz w:val="12"/>
    </w:rPr>
  </w:style>
  <w:style w:type="character" w:styleId="WW8Num393z0">
    <w:name w:val="WW8Num393z0"/>
    <w:qFormat/>
    <w:rPr>
      <w:rFonts w:ascii="Wingdings" w:hAnsi="Wingdings" w:cs="Wingdings"/>
      <w:sz w:val="16"/>
    </w:rPr>
  </w:style>
  <w:style w:type="character" w:styleId="WW8Num394z0">
    <w:name w:val="WW8Num394z0"/>
    <w:qFormat/>
    <w:rPr>
      <w:rFonts w:ascii="Symbol" w:hAnsi="Symbol" w:cs="Symbol"/>
    </w:rPr>
  </w:style>
  <w:style w:type="character" w:styleId="WW8Num395z0">
    <w:name w:val="WW8Num395z0"/>
    <w:qFormat/>
    <w:rPr/>
  </w:style>
  <w:style w:type="character" w:styleId="WW8Num396z0">
    <w:name w:val="WW8Num396z0"/>
    <w:qFormat/>
    <w:rPr>
      <w:caps w:val="false"/>
      <w:smallCaps w:val="false"/>
      <w:strike w:val="false"/>
      <w:dstrike w:val="false"/>
      <w:outline w:val="false"/>
      <w:shadow w:val="false"/>
      <w:vanish w:val="false"/>
      <w:color w:val="auto"/>
      <w:kern w:val="0"/>
      <w:position w:val="0"/>
      <w:sz w:val="24"/>
      <w:vertAlign w:val="baseline"/>
    </w:rPr>
  </w:style>
  <w:style w:type="character" w:styleId="WW8Num397z0">
    <w:name w:val="WW8Num397z0"/>
    <w:qFormat/>
    <w:rPr>
      <w:rFonts w:ascii="Symbol" w:hAnsi="Symbol" w:cs="Symbol"/>
    </w:rPr>
  </w:style>
  <w:style w:type="character" w:styleId="WW8Num398z0">
    <w:name w:val="WW8Num398z0"/>
    <w:qFormat/>
    <w:rPr/>
  </w:style>
  <w:style w:type="character" w:styleId="WW8Num398z2">
    <w:name w:val="WW8Num398z2"/>
    <w:qFormat/>
    <w:rPr>
      <w:b/>
      <w:i w:val="false"/>
    </w:rPr>
  </w:style>
  <w:style w:type="character" w:styleId="WW8Num399z0">
    <w:name w:val="WW8Num399z0"/>
    <w:qFormat/>
    <w:rPr>
      <w:rFonts w:ascii="Wingdings" w:hAnsi="Wingdings" w:cs="Wingdings"/>
      <w:sz w:val="16"/>
    </w:rPr>
  </w:style>
  <w:style w:type="character" w:styleId="WW8Num402z0">
    <w:name w:val="WW8Num402z0"/>
    <w:qFormat/>
    <w:rPr>
      <w:rFonts w:ascii="Symbol" w:hAnsi="Symbol" w:cs="Symbol"/>
    </w:rPr>
  </w:style>
  <w:style w:type="character" w:styleId="WW8Num403z0">
    <w:name w:val="WW8Num403z0"/>
    <w:qFormat/>
    <w:rPr>
      <w:rFonts w:ascii="Wingdings" w:hAnsi="Wingdings" w:cs="Wingdings"/>
      <w:b/>
      <w:i/>
      <w:sz w:val="24"/>
    </w:rPr>
  </w:style>
  <w:style w:type="character" w:styleId="WW8Num404z0">
    <w:name w:val="WW8Num404z0"/>
    <w:qFormat/>
    <w:rPr>
      <w:rFonts w:ascii="Symbol" w:hAnsi="Symbol" w:cs="Symbol"/>
    </w:rPr>
  </w:style>
  <w:style w:type="character" w:styleId="WW8Num405z0">
    <w:name w:val="WW8Num405z0"/>
    <w:qFormat/>
    <w:rPr>
      <w:i/>
    </w:rPr>
  </w:style>
  <w:style w:type="character" w:styleId="WW8Num407z0">
    <w:name w:val="WW8Num407z0"/>
    <w:qFormat/>
    <w:rPr>
      <w:rFonts w:ascii="Symbol" w:hAnsi="Symbol" w:cs="Symbol"/>
    </w:rPr>
  </w:style>
  <w:style w:type="character" w:styleId="WW8Num408z0">
    <w:name w:val="WW8Num408z0"/>
    <w:qFormat/>
    <w:rPr>
      <w:rFonts w:ascii="Wingdings" w:hAnsi="Wingdings" w:cs="Wingdings"/>
    </w:rPr>
  </w:style>
  <w:style w:type="character" w:styleId="WW8Num409z0">
    <w:name w:val="WW8Num409z0"/>
    <w:qFormat/>
    <w:rPr>
      <w:rFonts w:ascii="Wingdings" w:hAnsi="Wingdings" w:cs="Wingdings"/>
      <w:sz w:val="20"/>
    </w:rPr>
  </w:style>
  <w:style w:type="character" w:styleId="WW8Num410z0">
    <w:name w:val="WW8Num410z0"/>
    <w:qFormat/>
    <w:rPr>
      <w:rFonts w:ascii="Symbol" w:hAnsi="Symbol" w:cs="Symbol"/>
    </w:rPr>
  </w:style>
  <w:style w:type="character" w:styleId="WW8Num412z0">
    <w:name w:val="WW8Num412z0"/>
    <w:qFormat/>
    <w:rPr>
      <w:rFonts w:ascii="Wingdings" w:hAnsi="Wingdings" w:cs="Wingdings"/>
      <w:color w:val="auto"/>
      <w:sz w:val="20"/>
    </w:rPr>
  </w:style>
  <w:style w:type="character" w:styleId="WW8Num413z0">
    <w:name w:val="WW8Num413z0"/>
    <w:qFormat/>
    <w:rPr>
      <w:rFonts w:ascii="Wingdings" w:hAnsi="Wingdings" w:cs="Wingdings"/>
      <w:b w:val="false"/>
      <w:i w:val="false"/>
      <w:color w:val="auto"/>
      <w:sz w:val="10"/>
      <w:u w:val="none"/>
      <w:vertAlign w:val="superscript"/>
    </w:rPr>
  </w:style>
  <w:style w:type="character" w:styleId="WW8Num414z0">
    <w:name w:val="WW8Num414z0"/>
    <w:qFormat/>
    <w:rPr/>
  </w:style>
  <w:style w:type="character" w:styleId="WW8Num415z0">
    <w:name w:val="WW8Num415z0"/>
    <w:qFormat/>
    <w:rPr/>
  </w:style>
  <w:style w:type="character" w:styleId="WW8Num416z0">
    <w:name w:val="WW8Num416z0"/>
    <w:qFormat/>
    <w:rPr>
      <w:rFonts w:ascii="Symbol" w:hAnsi="Symbol" w:cs="Symbol"/>
    </w:rPr>
  </w:style>
  <w:style w:type="character" w:styleId="WW8Num417z0">
    <w:name w:val="WW8Num417z0"/>
    <w:qFormat/>
    <w:rPr>
      <w:rFonts w:ascii="Wingdings" w:hAnsi="Wingdings" w:cs="Wingdings"/>
      <w:b w:val="false"/>
      <w:i w:val="false"/>
      <w:color w:val="auto"/>
      <w:sz w:val="28"/>
      <w:u w:val="none"/>
    </w:rPr>
  </w:style>
  <w:style w:type="character" w:styleId="WW8Num418z0">
    <w:name w:val="WW8Num418z0"/>
    <w:qFormat/>
    <w:rPr/>
  </w:style>
  <w:style w:type="character" w:styleId="WW8Num419z0">
    <w:name w:val="WW8Num419z0"/>
    <w:qFormat/>
    <w:rPr>
      <w:rFonts w:ascii="Symbol" w:hAnsi="Symbol" w:cs="Symbol"/>
    </w:rPr>
  </w:style>
  <w:style w:type="character" w:styleId="WW8Num421z0">
    <w:name w:val="WW8Num421z0"/>
    <w:qFormat/>
    <w:rPr/>
  </w:style>
  <w:style w:type="character" w:styleId="WW8Num422z0">
    <w:name w:val="WW8Num422z0"/>
    <w:qFormat/>
    <w:rPr/>
  </w:style>
  <w:style w:type="character" w:styleId="WW8Num423z0">
    <w:name w:val="WW8Num423z0"/>
    <w:qFormat/>
    <w:rPr>
      <w:rFonts w:ascii="Wingdings" w:hAnsi="Wingdings" w:cs="Wingdings"/>
      <w:b w:val="false"/>
      <w:i w:val="false"/>
      <w:color w:val="auto"/>
      <w:kern w:val="0"/>
      <w:position w:val="0"/>
      <w:sz w:val="24"/>
      <w:u w:val="none"/>
      <w:vertAlign w:val="baseline"/>
    </w:rPr>
  </w:style>
  <w:style w:type="character" w:styleId="WW8Num424z0">
    <w:name w:val="WW8Num424z0"/>
    <w:qFormat/>
    <w:rPr>
      <w:rFonts w:ascii="Wingdings" w:hAnsi="Wingdings" w:cs="Wingdings"/>
    </w:rPr>
  </w:style>
  <w:style w:type="character" w:styleId="WW8Num425z0">
    <w:name w:val="WW8Num425z0"/>
    <w:qFormat/>
    <w:rPr>
      <w:rFonts w:ascii="Symbol" w:hAnsi="Symbol" w:cs="Symbol"/>
    </w:rPr>
  </w:style>
  <w:style w:type="character" w:styleId="WW8Num427z0">
    <w:name w:val="WW8Num427z0"/>
    <w:qFormat/>
    <w:rPr>
      <w:rFonts w:ascii="Wingdings" w:hAnsi="Wingdings" w:cs="Wingdings"/>
      <w:b w:val="false"/>
      <w:i w:val="false"/>
      <w:color w:val="000000"/>
      <w:kern w:val="0"/>
      <w:position w:val="0"/>
      <w:sz w:val="24"/>
      <w:u w:val="none"/>
      <w:vertAlign w:val="baseline"/>
    </w:rPr>
  </w:style>
  <w:style w:type="character" w:styleId="WW8Num427z1">
    <w:name w:val="WW8Num427z1"/>
    <w:qFormat/>
    <w:rPr>
      <w:rFonts w:ascii="Courier New" w:hAnsi="Courier New" w:cs="Courier New"/>
    </w:rPr>
  </w:style>
  <w:style w:type="character" w:styleId="WW8Num427z2">
    <w:name w:val="WW8Num427z2"/>
    <w:qFormat/>
    <w:rPr>
      <w:rFonts w:ascii="Wingdings" w:hAnsi="Wingdings" w:cs="Wingdings"/>
    </w:rPr>
  </w:style>
  <w:style w:type="character" w:styleId="WW8Num427z3">
    <w:name w:val="WW8Num427z3"/>
    <w:qFormat/>
    <w:rPr>
      <w:rFonts w:ascii="Symbol" w:hAnsi="Symbol" w:cs="Symbol"/>
    </w:rPr>
  </w:style>
  <w:style w:type="character" w:styleId="WW8Num429z0">
    <w:name w:val="WW8Num429z0"/>
    <w:qFormat/>
    <w:rPr/>
  </w:style>
  <w:style w:type="character" w:styleId="WW8Num430z0">
    <w:name w:val="WW8Num430z0"/>
    <w:qFormat/>
    <w:rPr/>
  </w:style>
  <w:style w:type="character" w:styleId="WW8Num431z0">
    <w:name w:val="WW8Num431z0"/>
    <w:qFormat/>
    <w:rPr>
      <w:rFonts w:ascii="Symbol" w:hAnsi="Symbol" w:cs="Symbol"/>
    </w:rPr>
  </w:style>
  <w:style w:type="character" w:styleId="WW8Num432z0">
    <w:name w:val="WW8Num432z0"/>
    <w:qFormat/>
    <w:rPr>
      <w:rFonts w:ascii="Symbol" w:hAnsi="Symbol" w:cs="Symbol"/>
    </w:rPr>
  </w:style>
  <w:style w:type="character" w:styleId="WW8Num433z0">
    <w:name w:val="WW8Num433z0"/>
    <w:qFormat/>
    <w:rPr>
      <w:rFonts w:ascii="Wingdings" w:hAnsi="Wingdings" w:cs="Wingdings"/>
      <w:b w:val="false"/>
      <w:i/>
      <w:color w:val="auto"/>
      <w:sz w:val="16"/>
      <w:u w:val="none"/>
    </w:rPr>
  </w:style>
  <w:style w:type="character" w:styleId="WW8Num434z0">
    <w:name w:val="WW8Num434z0"/>
    <w:qFormat/>
    <w:rPr>
      <w:rFonts w:ascii="Symbol" w:hAnsi="Symbol" w:cs="Symbol"/>
      <w:b w:val="false"/>
      <w:i w:val="false"/>
      <w:sz w:val="20"/>
    </w:rPr>
  </w:style>
  <w:style w:type="character" w:styleId="WW8Num435z0">
    <w:name w:val="WW8Num435z0"/>
    <w:qFormat/>
    <w:rPr>
      <w:rFonts w:ascii="Symbol" w:hAnsi="Symbol" w:cs="Symbol"/>
    </w:rPr>
  </w:style>
  <w:style w:type="character" w:styleId="WW8Num436z0">
    <w:name w:val="WW8Num436z0"/>
    <w:qFormat/>
    <w:rPr>
      <w:rFonts w:ascii="Symbol" w:hAnsi="Symbol" w:cs="Symbol"/>
    </w:rPr>
  </w:style>
  <w:style w:type="character" w:styleId="WW8Num437z0">
    <w:name w:val="WW8Num437z0"/>
    <w:qFormat/>
    <w:rPr>
      <w:rFonts w:ascii="Symbol" w:hAnsi="Symbol" w:cs="Symbol"/>
    </w:rPr>
  </w:style>
  <w:style w:type="character" w:styleId="WW8Num438z0">
    <w:name w:val="WW8Num438z0"/>
    <w:qFormat/>
    <w:rPr>
      <w:rFonts w:ascii="Times New Roman" w:hAnsi="Times New Roman" w:cs="Times New Roman"/>
      <w:b/>
      <w:i w:val="false"/>
      <w:sz w:val="28"/>
    </w:rPr>
  </w:style>
  <w:style w:type="character" w:styleId="WW8Num438z1">
    <w:name w:val="WW8Num438z1"/>
    <w:qFormat/>
    <w:rPr>
      <w:rFonts w:ascii="Times New Roman" w:hAnsi="Times New Roman" w:cs="Times New Roman"/>
      <w:b/>
      <w:i w:val="false"/>
      <w:sz w:val="24"/>
    </w:rPr>
  </w:style>
  <w:style w:type="character" w:styleId="WW8Num438z3">
    <w:name w:val="WW8Num438z3"/>
    <w:qFormat/>
    <w:rPr>
      <w:rFonts w:ascii="Times New Roman" w:hAnsi="Times New Roman" w:cs="Times New Roman"/>
      <w:b w:val="false"/>
      <w:i/>
      <w:sz w:val="24"/>
    </w:rPr>
  </w:style>
  <w:style w:type="character" w:styleId="WW8Num438z4">
    <w:name w:val="WW8Num438z4"/>
    <w:qFormat/>
    <w:rPr>
      <w:rFonts w:ascii="Times New Roman" w:hAnsi="Times New Roman" w:cs="Times New Roman"/>
      <w:b w:val="false"/>
      <w:i w:val="false"/>
      <w:sz w:val="22"/>
    </w:rPr>
  </w:style>
  <w:style w:type="character" w:styleId="WW8Num438z5">
    <w:name w:val="WW8Num438z5"/>
    <w:qFormat/>
    <w:rPr>
      <w:rFonts w:ascii="Times New Roman" w:hAnsi="Times New Roman" w:cs="Times New Roman"/>
      <w:b w:val="false"/>
      <w:i w:val="false"/>
      <w:caps w:val="false"/>
      <w:smallCaps w:val="false"/>
      <w:strike w:val="false"/>
      <w:dstrike w:val="false"/>
      <w:shadow w:val="false"/>
      <w:vanish w:val="false"/>
      <w:color w:val="auto"/>
      <w:position w:val="0"/>
      <w:sz w:val="22"/>
      <w:sz w:val="22"/>
      <w:vertAlign w:val="baseline"/>
    </w:rPr>
  </w:style>
  <w:style w:type="character" w:styleId="WW8Num438z6">
    <w:name w:val="WW8Num438z6"/>
    <w:qFormat/>
    <w:rPr>
      <w:rFonts w:ascii="Wingdings" w:hAnsi="Wingdings" w:cs="Wingdings"/>
    </w:rPr>
  </w:style>
  <w:style w:type="character" w:styleId="WW8Num440z0">
    <w:name w:val="WW8Num440z0"/>
    <w:qFormat/>
    <w:rPr>
      <w:rFonts w:ascii="Wingdings" w:hAnsi="Wingdings" w:cs="Wingdings"/>
      <w:b w:val="false"/>
      <w:i w:val="false"/>
      <w:caps w:val="false"/>
      <w:smallCaps w:val="false"/>
      <w:strike w:val="false"/>
      <w:dstrike w:val="false"/>
      <w:outline w:val="false"/>
      <w:shadow w:val="false"/>
      <w:vanish w:val="false"/>
      <w:color w:val="auto"/>
      <w:kern w:val="0"/>
      <w:position w:val="0"/>
      <w:sz w:val="12"/>
      <w:sz w:val="12"/>
      <w:u w:val="none"/>
      <w:vertAlign w:val="baseline"/>
    </w:rPr>
  </w:style>
  <w:style w:type="character" w:styleId="WW8Num441z0">
    <w:name w:val="WW8Num441z0"/>
    <w:qFormat/>
    <w:rPr>
      <w:rFonts w:ascii="Symbol" w:hAnsi="Symbol" w:cs="Symbol"/>
    </w:rPr>
  </w:style>
  <w:style w:type="character" w:styleId="WW8Num444z0">
    <w:name w:val="WW8Num444z0"/>
    <w:qFormat/>
    <w:rPr/>
  </w:style>
  <w:style w:type="character" w:styleId="WW8Num445z0">
    <w:name w:val="WW8Num445z0"/>
    <w:qFormat/>
    <w:rPr/>
  </w:style>
  <w:style w:type="character" w:styleId="WW8Num446z0">
    <w:name w:val="WW8Num446z0"/>
    <w:qFormat/>
    <w:rPr>
      <w:rFonts w:ascii="Symbol" w:hAnsi="Symbol" w:cs="Symbol"/>
    </w:rPr>
  </w:style>
  <w:style w:type="character" w:styleId="WW8Num447z0">
    <w:name w:val="WW8Num447z0"/>
    <w:qFormat/>
    <w:rPr>
      <w:rFonts w:ascii="Times New Roman" w:hAnsi="Times New Roman" w:cs="Times New Roman"/>
      <w:b/>
      <w:i w:val="false"/>
      <w:sz w:val="26"/>
    </w:rPr>
  </w:style>
  <w:style w:type="character" w:styleId="WW8Num448z0">
    <w:name w:val="WW8Num448z0"/>
    <w:qFormat/>
    <w:rPr>
      <w:rFonts w:ascii="Symbol" w:hAnsi="Symbol" w:cs="Symbol"/>
      <w:u w:val="none"/>
      <w:vertAlign w:val="superscript"/>
    </w:rPr>
  </w:style>
  <w:style w:type="character" w:styleId="WW8Num449z0">
    <w:name w:val="WW8Num449z0"/>
    <w:qFormat/>
    <w:rPr>
      <w:rFonts w:ascii="Wingdings" w:hAnsi="Wingdings" w:cs="Wingdings"/>
      <w:b w:val="false"/>
      <w:i w:val="false"/>
      <w:color w:val="auto"/>
      <w:sz w:val="20"/>
      <w:u w:val="none"/>
      <w:vertAlign w:val="superscript"/>
    </w:rPr>
  </w:style>
  <w:style w:type="character" w:styleId="WW8Num450z0">
    <w:name w:val="WW8Num450z0"/>
    <w:qFormat/>
    <w:rPr>
      <w:rFonts w:ascii="Symbol" w:hAnsi="Symbol" w:cs="Symbol"/>
    </w:rPr>
  </w:style>
  <w:style w:type="character" w:styleId="WW8Num452z0">
    <w:name w:val="WW8Num452z0"/>
    <w:qFormat/>
    <w:rPr/>
  </w:style>
  <w:style w:type="character" w:styleId="WW8Num453z0">
    <w:name w:val="WW8Num453z0"/>
    <w:qFormat/>
    <w:rPr>
      <w:rFonts w:ascii="Symbol" w:hAnsi="Symbol" w:cs="Symbol"/>
    </w:rPr>
  </w:style>
  <w:style w:type="character" w:styleId="WW8Num454z0">
    <w:name w:val="WW8Num454z0"/>
    <w:qFormat/>
    <w:rPr>
      <w:rFonts w:ascii="Wingdings" w:hAnsi="Wingdings" w:cs="Wingdings"/>
      <w:b w:val="false"/>
      <w:i w:val="false"/>
      <w:color w:val="auto"/>
      <w:position w:val="0"/>
      <w:sz w:val="20"/>
      <w:sz w:val="20"/>
      <w:u w:val="none"/>
      <w:vertAlign w:val="baseline"/>
    </w:rPr>
  </w:style>
  <w:style w:type="character" w:styleId="WW8Num455z0">
    <w:name w:val="WW8Num455z0"/>
    <w:qFormat/>
    <w:rPr>
      <w:rFonts w:ascii="Wingdings 3" w:hAnsi="Wingdings 3" w:cs="Wingdings 3"/>
      <w:b w:val="false"/>
      <w:i w:val="false"/>
      <w:color w:val="008000"/>
      <w:sz w:val="32"/>
      <w:vertAlign w:val="subscript"/>
    </w:rPr>
  </w:style>
  <w:style w:type="character" w:styleId="WW8Num456z0">
    <w:name w:val="WW8Num456z0"/>
    <w:qFormat/>
    <w:rPr>
      <w:rFonts w:ascii="Symbol" w:hAnsi="Symbol" w:cs="Symbol"/>
    </w:rPr>
  </w:style>
  <w:style w:type="character" w:styleId="WW8Num457z0">
    <w:name w:val="WW8Num457z0"/>
    <w:qFormat/>
    <w:rPr>
      <w:rFonts w:ascii="Symbol" w:hAnsi="Symbol" w:cs="Symbol"/>
      <w:vertAlign w:val="superscript"/>
    </w:rPr>
  </w:style>
  <w:style w:type="character" w:styleId="WW8Num458z0">
    <w:name w:val="WW8Num458z0"/>
    <w:qFormat/>
    <w:rPr>
      <w:rFonts w:ascii="Symbol" w:hAnsi="Symbol" w:cs="Symbol"/>
    </w:rPr>
  </w:style>
  <w:style w:type="character" w:styleId="WW8Num459z0">
    <w:name w:val="WW8Num459z0"/>
    <w:qFormat/>
    <w:rPr>
      <w:rFonts w:ascii="Symbol" w:hAnsi="Symbol" w:cs="Symbol"/>
    </w:rPr>
  </w:style>
  <w:style w:type="character" w:styleId="WW8Num460z0">
    <w:name w:val="WW8Num460z0"/>
    <w:qFormat/>
    <w:rPr>
      <w:rFonts w:ascii="Symbol" w:hAnsi="Symbol" w:cs="Symbol"/>
    </w:rPr>
  </w:style>
  <w:style w:type="character" w:styleId="WW8Num462z0">
    <w:name w:val="WW8Num462z0"/>
    <w:qFormat/>
    <w:rPr>
      <w:rFonts w:ascii="Symbol" w:hAnsi="Symbol" w:cs="Symbol"/>
    </w:rPr>
  </w:style>
  <w:style w:type="character" w:styleId="WW8Num463z0">
    <w:name w:val="WW8Num463z0"/>
    <w:qFormat/>
    <w:rPr>
      <w:rFonts w:ascii="Wingdings" w:hAnsi="Wingdings" w:cs="Wingdings"/>
      <w:b w:val="false"/>
      <w:i w:val="false"/>
      <w:color w:val="auto"/>
      <w:sz w:val="20"/>
      <w:u w:val="none"/>
      <w:vertAlign w:val="superscript"/>
    </w:rPr>
  </w:style>
  <w:style w:type="character" w:styleId="WW8Num464z0">
    <w:name w:val="WW8Num464z0"/>
    <w:qFormat/>
    <w:rPr>
      <w:rFonts w:ascii="Wingdings" w:hAnsi="Wingdings" w:cs="Wingdings"/>
    </w:rPr>
  </w:style>
  <w:style w:type="character" w:styleId="WW8Num465z0">
    <w:name w:val="WW8Num465z0"/>
    <w:qFormat/>
    <w:rPr>
      <w:rFonts w:ascii="Wingdings" w:hAnsi="Wingdings" w:cs="Wingdings"/>
    </w:rPr>
  </w:style>
  <w:style w:type="character" w:styleId="WW8Num466z0">
    <w:name w:val="WW8Num466z0"/>
    <w:qFormat/>
    <w:rPr>
      <w:caps w:val="false"/>
      <w:smallCaps w:val="false"/>
      <w:strike w:val="false"/>
      <w:dstrike w:val="false"/>
      <w:outline w:val="false"/>
      <w:shadow w:val="false"/>
      <w:vanish w:val="false"/>
      <w:color w:val="auto"/>
      <w:kern w:val="0"/>
      <w:position w:val="0"/>
      <w:sz w:val="24"/>
      <w:vertAlign w:val="baseline"/>
    </w:rPr>
  </w:style>
  <w:style w:type="character" w:styleId="WW8Num467z0">
    <w:name w:val="WW8Num467z0"/>
    <w:qFormat/>
    <w:rPr>
      <w:caps w:val="false"/>
      <w:smallCaps w:val="false"/>
      <w:strike w:val="false"/>
      <w:dstrike w:val="false"/>
      <w:outline w:val="false"/>
      <w:shadow w:val="false"/>
      <w:vanish w:val="false"/>
      <w:color w:val="auto"/>
      <w:kern w:val="0"/>
      <w:position w:val="0"/>
      <w:sz w:val="24"/>
      <w:vertAlign w:val="baseline"/>
    </w:rPr>
  </w:style>
  <w:style w:type="character" w:styleId="WW8Num469z0">
    <w:name w:val="WW8Num469z0"/>
    <w:qFormat/>
    <w:rPr>
      <w:rFonts w:ascii="Wingdings" w:hAnsi="Wingdings" w:cs="Wingdings"/>
      <w:b w:val="false"/>
      <w:i w:val="false"/>
      <w:sz w:val="10"/>
      <w:vertAlign w:val="superscript"/>
    </w:rPr>
  </w:style>
  <w:style w:type="character" w:styleId="WW8Num470z0">
    <w:name w:val="WW8Num470z0"/>
    <w:qFormat/>
    <w:rPr>
      <w:rFonts w:ascii="Wingdings" w:hAnsi="Wingdings" w:cs="Wingdings"/>
    </w:rPr>
  </w:style>
  <w:style w:type="character" w:styleId="WW8Num471z0">
    <w:name w:val="WW8Num471z0"/>
    <w:qFormat/>
    <w:rPr>
      <w:rFonts w:ascii="Symbol" w:hAnsi="Symbol" w:cs="Symbol"/>
    </w:rPr>
  </w:style>
  <w:style w:type="character" w:styleId="WW8Num472z0">
    <w:name w:val="WW8Num472z0"/>
    <w:qFormat/>
    <w:rPr>
      <w:rFonts w:ascii="Wingdings" w:hAnsi="Wingdings" w:cs="Wingdings"/>
      <w:b w:val="false"/>
      <w:i/>
      <w:color w:val="auto"/>
      <w:sz w:val="16"/>
      <w:u w:val="none"/>
    </w:rPr>
  </w:style>
  <w:style w:type="character" w:styleId="WW8Num473z0">
    <w:name w:val="WW8Num473z0"/>
    <w:qFormat/>
    <w:rPr/>
  </w:style>
  <w:style w:type="character" w:styleId="WW8Num474z0">
    <w:name w:val="WW8Num474z0"/>
    <w:qFormat/>
    <w:rPr>
      <w:caps w:val="false"/>
      <w:smallCaps w:val="false"/>
      <w:strike w:val="false"/>
      <w:dstrike w:val="false"/>
      <w:outline w:val="false"/>
      <w:shadow w:val="false"/>
      <w:vanish w:val="false"/>
      <w:color w:val="auto"/>
      <w:kern w:val="0"/>
      <w:position w:val="0"/>
      <w:sz w:val="24"/>
      <w:vertAlign w:val="baseline"/>
    </w:rPr>
  </w:style>
  <w:style w:type="character" w:styleId="WW8Num475z0">
    <w:name w:val="WW8Num475z0"/>
    <w:qFormat/>
    <w:rPr>
      <w:rFonts w:ascii="Symbol" w:hAnsi="Symbol" w:cs="Symbol"/>
    </w:rPr>
  </w:style>
  <w:style w:type="character" w:styleId="WW8Num476z0">
    <w:name w:val="WW8Num476z0"/>
    <w:qFormat/>
    <w:rPr>
      <w:rFonts w:ascii="Wingdings" w:hAnsi="Wingdings" w:cs="Wingdings"/>
      <w:b w:val="false"/>
      <w:i w:val="false"/>
      <w:color w:val="auto"/>
      <w:sz w:val="16"/>
      <w:u w:val="none"/>
    </w:rPr>
  </w:style>
  <w:style w:type="character" w:styleId="WW8Num477z0">
    <w:name w:val="WW8Num477z0"/>
    <w:qFormat/>
    <w:rPr>
      <w:rFonts w:ascii="Symbol" w:hAnsi="Symbol" w:cs="Symbol"/>
    </w:rPr>
  </w:style>
  <w:style w:type="character" w:styleId="WW8Num479z0">
    <w:name w:val="WW8Num479z0"/>
    <w:qFormat/>
    <w:rPr>
      <w:rFonts w:ascii="Symbol" w:hAnsi="Symbol" w:cs="Symbol"/>
      <w:color w:val="auto"/>
    </w:rPr>
  </w:style>
  <w:style w:type="character" w:styleId="WW8Num479z1">
    <w:name w:val="WW8Num479z1"/>
    <w:qFormat/>
    <w:rPr>
      <w:rFonts w:ascii="Courier New" w:hAnsi="Courier New" w:cs="Courier New"/>
    </w:rPr>
  </w:style>
  <w:style w:type="character" w:styleId="WW8Num479z2">
    <w:name w:val="WW8Num479z2"/>
    <w:qFormat/>
    <w:rPr>
      <w:rFonts w:ascii="Wingdings" w:hAnsi="Wingdings" w:cs="Wingdings"/>
    </w:rPr>
  </w:style>
  <w:style w:type="character" w:styleId="WW8Num479z3">
    <w:name w:val="WW8Num479z3"/>
    <w:qFormat/>
    <w:rPr>
      <w:rFonts w:ascii="Symbol" w:hAnsi="Symbol" w:cs="Symbol"/>
    </w:rPr>
  </w:style>
  <w:style w:type="character" w:styleId="WW8Num480z0">
    <w:name w:val="WW8Num480z0"/>
    <w:qFormat/>
    <w:rPr>
      <w:rFonts w:ascii="Symbol" w:hAnsi="Symbol" w:cs="Symbol"/>
    </w:rPr>
  </w:style>
  <w:style w:type="character" w:styleId="WW8Num481z0">
    <w:name w:val="WW8Num481z0"/>
    <w:qFormat/>
    <w:rPr>
      <w:rFonts w:ascii="Symbol" w:hAnsi="Symbol" w:cs="Symbol"/>
    </w:rPr>
  </w:style>
  <w:style w:type="character" w:styleId="WW8Num483z0">
    <w:name w:val="WW8Num483z0"/>
    <w:qFormat/>
    <w:rPr>
      <w:rFonts w:ascii="Wingdings" w:hAnsi="Wingdings" w:cs="Wingdings"/>
      <w:b w:val="false"/>
      <w:i w:val="false"/>
      <w:color w:val="auto"/>
      <w:sz w:val="24"/>
    </w:rPr>
  </w:style>
  <w:style w:type="character" w:styleId="WW8Num484z0">
    <w:name w:val="WW8Num484z0"/>
    <w:qFormat/>
    <w:rPr/>
  </w:style>
  <w:style w:type="character" w:styleId="WW8Num485z0">
    <w:name w:val="WW8Num485z0"/>
    <w:qFormat/>
    <w:rPr>
      <w:rFonts w:ascii="Wingdings" w:hAnsi="Wingdings" w:cs="Wingdings"/>
    </w:rPr>
  </w:style>
  <w:style w:type="character" w:styleId="WW8Num485z3">
    <w:name w:val="WW8Num485z3"/>
    <w:qFormat/>
    <w:rPr>
      <w:rFonts w:ascii="Symbol" w:hAnsi="Symbol" w:cs="Symbol"/>
    </w:rPr>
  </w:style>
  <w:style w:type="character" w:styleId="WW8Num486z0">
    <w:name w:val="WW8Num486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487z0">
    <w:name w:val="WW8Num487z0"/>
    <w:qFormat/>
    <w:rPr>
      <w:rFonts w:ascii="Symbol" w:hAnsi="Symbol" w:cs="Symbol"/>
    </w:rPr>
  </w:style>
  <w:style w:type="character" w:styleId="WW8Num488z0">
    <w:name w:val="WW8Num488z0"/>
    <w:qFormat/>
    <w:rPr>
      <w:rFonts w:ascii="Symbol" w:hAnsi="Symbol" w:cs="Symbol"/>
    </w:rPr>
  </w:style>
  <w:style w:type="character" w:styleId="WW8Num489z0">
    <w:name w:val="WW8Num489z0"/>
    <w:qFormat/>
    <w:rPr>
      <w:rFonts w:ascii="Times New Roman" w:hAnsi="Times New Roman" w:cs="Times New Roman"/>
      <w:b/>
      <w:i w:val="false"/>
      <w:sz w:val="28"/>
    </w:rPr>
  </w:style>
  <w:style w:type="character" w:styleId="WW8Num489z1">
    <w:name w:val="WW8Num489z1"/>
    <w:qFormat/>
    <w:rPr>
      <w:rFonts w:ascii="Times New Roman" w:hAnsi="Times New Roman" w:cs="Times New Roman"/>
      <w:b/>
      <w:i w:val="false"/>
      <w:sz w:val="24"/>
    </w:rPr>
  </w:style>
  <w:style w:type="character" w:styleId="WW8Num489z3">
    <w:name w:val="WW8Num489z3"/>
    <w:qFormat/>
    <w:rPr>
      <w:rFonts w:ascii="Times New Roman" w:hAnsi="Times New Roman" w:cs="Times New Roman"/>
      <w:b w:val="false"/>
      <w:i w:val="false"/>
      <w:sz w:val="24"/>
    </w:rPr>
  </w:style>
  <w:style w:type="character" w:styleId="WW8Num490z0">
    <w:name w:val="WW8Num490z0"/>
    <w:qFormat/>
    <w:rPr>
      <w:rFonts w:ascii="Symbol" w:hAnsi="Symbol" w:cs="Symbol"/>
      <w:color w:val="auto"/>
      <w:sz w:val="24"/>
    </w:rPr>
  </w:style>
  <w:style w:type="character" w:styleId="WW8Num491z0">
    <w:name w:val="WW8Num491z0"/>
    <w:qFormat/>
    <w:rPr/>
  </w:style>
  <w:style w:type="character" w:styleId="WW8Num492z0">
    <w:name w:val="WW8Num492z0"/>
    <w:qFormat/>
    <w:rPr>
      <w:rFonts w:ascii="Symbol" w:hAnsi="Symbol" w:cs="Symbol"/>
    </w:rPr>
  </w:style>
  <w:style w:type="character" w:styleId="WW8Num493z0">
    <w:name w:val="WW8Num493z0"/>
    <w:qFormat/>
    <w:rPr>
      <w:rFonts w:ascii="Symbol" w:hAnsi="Symbol" w:cs="Symbol"/>
    </w:rPr>
  </w:style>
  <w:style w:type="character" w:styleId="WW8Num494z0">
    <w:name w:val="WW8Num494z0"/>
    <w:qFormat/>
    <w:rPr/>
  </w:style>
  <w:style w:type="character" w:styleId="WW8Num496z0">
    <w:name w:val="WW8Num496z0"/>
    <w:qFormat/>
    <w:rPr>
      <w:rFonts w:ascii="Symbol" w:hAnsi="Symbol" w:cs="Symbol"/>
    </w:rPr>
  </w:style>
  <w:style w:type="character" w:styleId="WW8Num497z0">
    <w:name w:val="WW8Num497z0"/>
    <w:qFormat/>
    <w:rPr>
      <w:rFonts w:ascii="Symbol" w:hAnsi="Symbol" w:cs="Symbol"/>
    </w:rPr>
  </w:style>
  <w:style w:type="character" w:styleId="WW8Num498z0">
    <w:name w:val="WW8Num498z0"/>
    <w:qFormat/>
    <w:rPr>
      <w:rFonts w:ascii="Symbol" w:hAnsi="Symbol" w:cs="Symbol"/>
    </w:rPr>
  </w:style>
  <w:style w:type="character" w:styleId="WW8Num499z0">
    <w:name w:val="WW8Num499z0"/>
    <w:qFormat/>
    <w:rPr/>
  </w:style>
  <w:style w:type="character" w:styleId="WW8Num500z0">
    <w:name w:val="WW8Num500z0"/>
    <w:qFormat/>
    <w:rPr>
      <w:rFonts w:ascii="Symbol" w:hAnsi="Symbol" w:cs="Symbol"/>
    </w:rPr>
  </w:style>
  <w:style w:type="character" w:styleId="WW8Num501z0">
    <w:name w:val="WW8Num501z0"/>
    <w:qFormat/>
    <w:rPr>
      <w:rFonts w:ascii="Symbol" w:hAnsi="Symbol" w:cs="Symbol"/>
      <w:sz w:val="18"/>
    </w:rPr>
  </w:style>
  <w:style w:type="character" w:styleId="WW8Num502z0">
    <w:name w:val="WW8Num502z0"/>
    <w:qFormat/>
    <w:rPr>
      <w:rFonts w:ascii="Symbol" w:hAnsi="Symbol" w:cs="Symbol"/>
      <w:color w:val="auto"/>
    </w:rPr>
  </w:style>
  <w:style w:type="character" w:styleId="WW8Num503z0">
    <w:name w:val="WW8Num503z0"/>
    <w:qFormat/>
    <w:rPr>
      <w:rFonts w:ascii="Wingdings" w:hAnsi="Wingdings" w:cs="Wingdings"/>
      <w:b/>
      <w:i/>
      <w:sz w:val="24"/>
    </w:rPr>
  </w:style>
  <w:style w:type="character" w:styleId="WW8Num504z0">
    <w:name w:val="WW8Num504z0"/>
    <w:qFormat/>
    <w:rPr>
      <w:rFonts w:ascii="Symbol" w:hAnsi="Symbol" w:cs="Symbol"/>
    </w:rPr>
  </w:style>
  <w:style w:type="character" w:styleId="WW8Num505z0">
    <w:name w:val="WW8Num505z0"/>
    <w:qFormat/>
    <w:rPr>
      <w:rFonts w:ascii="Wingdings" w:hAnsi="Wingdings" w:cs="Wingdings"/>
    </w:rPr>
  </w:style>
  <w:style w:type="character" w:styleId="WW8Num506z0">
    <w:name w:val="WW8Num506z0"/>
    <w:qFormat/>
    <w:rPr>
      <w:caps w:val="false"/>
      <w:smallCaps w:val="false"/>
      <w:strike w:val="false"/>
      <w:dstrike w:val="false"/>
      <w:outline w:val="false"/>
      <w:shadow w:val="false"/>
      <w:vanish w:val="false"/>
      <w:color w:val="auto"/>
      <w:kern w:val="0"/>
      <w:position w:val="0"/>
      <w:sz w:val="24"/>
      <w:u w:val="none"/>
      <w:vertAlign w:val="baseline"/>
    </w:rPr>
  </w:style>
  <w:style w:type="character" w:styleId="WW8Num510z0">
    <w:name w:val="WW8Num510z0"/>
    <w:qFormat/>
    <w:rPr>
      <w:rFonts w:ascii="Wingdings" w:hAnsi="Wingdings" w:cs="Wingdings"/>
      <w:b w:val="false"/>
      <w:i w:val="false"/>
      <w:color w:val="auto"/>
      <w:sz w:val="10"/>
      <w:u w:val="none"/>
      <w:vertAlign w:val="superscript"/>
    </w:rPr>
  </w:style>
  <w:style w:type="character" w:styleId="WW8Num511z0">
    <w:name w:val="WW8Num511z0"/>
    <w:qFormat/>
    <w:rPr>
      <w:rFonts w:ascii="Symbol" w:hAnsi="Symbol" w:cs="Symbol"/>
    </w:rPr>
  </w:style>
  <w:style w:type="character" w:styleId="WW8Num513z0">
    <w:name w:val="WW8Num513z0"/>
    <w:qFormat/>
    <w:rPr/>
  </w:style>
  <w:style w:type="character" w:styleId="WW8Num515z0">
    <w:name w:val="WW8Num515z0"/>
    <w:qFormat/>
    <w:rPr>
      <w:rFonts w:ascii="Symbol" w:hAnsi="Symbol" w:cs="Symbol"/>
    </w:rPr>
  </w:style>
  <w:style w:type="character" w:styleId="WW8Num517z0">
    <w:name w:val="WW8Num517z0"/>
    <w:qFormat/>
    <w:rPr>
      <w:b/>
      <w:i w:val="false"/>
    </w:rPr>
  </w:style>
  <w:style w:type="character" w:styleId="WW8Num517z1">
    <w:name w:val="WW8Num517z1"/>
    <w:qFormat/>
    <w:rPr/>
  </w:style>
  <w:style w:type="character" w:styleId="WW8Num517z2">
    <w:name w:val="WW8Num517z2"/>
    <w:qFormat/>
    <w:rPr>
      <w:rFonts w:ascii="Arial" w:hAnsi="Arial" w:cs="Arial"/>
      <w:b w:val="false"/>
      <w:i w:val="false"/>
      <w:color w:val="000000"/>
      <w:sz w:val="16"/>
      <w:u w:val="none"/>
    </w:rPr>
  </w:style>
  <w:style w:type="character" w:styleId="WW8Num518z0">
    <w:name w:val="WW8Num518z0"/>
    <w:qFormat/>
    <w:rPr>
      <w:rFonts w:ascii="Symbol" w:hAnsi="Symbol" w:cs="Symbol"/>
    </w:rPr>
  </w:style>
  <w:style w:type="character" w:styleId="WW8Num519z0">
    <w:name w:val="WW8Num519z0"/>
    <w:qFormat/>
    <w:rPr>
      <w:rFonts w:ascii="Wingdings" w:hAnsi="Wingdings" w:cs="Wingdings"/>
      <w:b w:val="false"/>
      <w:i w:val="false"/>
      <w:color w:val="000000"/>
      <w:sz w:val="10"/>
      <w:u w:val="none"/>
      <w:vertAlign w:val="superscript"/>
    </w:rPr>
  </w:style>
  <w:style w:type="character" w:styleId="WW8Num520z0">
    <w:name w:val="WW8Num520z0"/>
    <w:qFormat/>
    <w:rPr>
      <w:rFonts w:ascii="Symbol" w:hAnsi="Symbol" w:cs="Symbol"/>
      <w:color w:val="auto"/>
      <w:u w:val="none"/>
      <w:vertAlign w:val="superscript"/>
    </w:rPr>
  </w:style>
  <w:style w:type="character" w:styleId="WW8Num521z0">
    <w:name w:val="WW8Num521z0"/>
    <w:qFormat/>
    <w:rPr>
      <w:rFonts w:ascii="Symbol" w:hAnsi="Symbol" w:cs="Symbol"/>
    </w:rPr>
  </w:style>
  <w:style w:type="character" w:styleId="WW8Num523z0">
    <w:name w:val="WW8Num523z0"/>
    <w:qFormat/>
    <w:rPr>
      <w:rFonts w:ascii="Wingdings" w:hAnsi="Wingdings" w:cs="Wingdings"/>
    </w:rPr>
  </w:style>
  <w:style w:type="character" w:styleId="WW8Num524z0">
    <w:name w:val="WW8Num524z0"/>
    <w:qFormat/>
    <w:rPr>
      <w:rFonts w:ascii="Symbol" w:hAnsi="Symbol" w:cs="Symbol"/>
    </w:rPr>
  </w:style>
  <w:style w:type="character" w:styleId="WW8Num525z0">
    <w:name w:val="WW8Num525z0"/>
    <w:qFormat/>
    <w:rPr>
      <w:rFonts w:ascii="Symbol" w:hAnsi="Symbol" w:cs="Symbol"/>
    </w:rPr>
  </w:style>
  <w:style w:type="character" w:styleId="WW8Num527z1">
    <w:name w:val="WW8Num527z1"/>
    <w:qFormat/>
    <w:rPr>
      <w:rFonts w:ascii="Wingdings" w:hAnsi="Wingdings" w:cs="Wingdings"/>
    </w:rPr>
  </w:style>
  <w:style w:type="character" w:styleId="WW8Num529z0">
    <w:name w:val="WW8Num529z0"/>
    <w:qFormat/>
    <w:rPr>
      <w:rFonts w:ascii="ZapfDingbats" w:hAnsi="ZapfDingbats" w:cs="ZapfDingbats"/>
      <w:b w:val="false"/>
      <w:i w:val="false"/>
      <w:color w:val="000000"/>
      <w:kern w:val="0"/>
      <w:position w:val="0"/>
      <w:sz w:val="24"/>
      <w:u w:val="none"/>
      <w:vertAlign w:val="baseline"/>
    </w:rPr>
  </w:style>
  <w:style w:type="character" w:styleId="WW8Num529z1">
    <w:name w:val="WW8Num529z1"/>
    <w:qFormat/>
    <w:rPr>
      <w:rFonts w:ascii="Courier New" w:hAnsi="Courier New" w:cs="Courier New"/>
    </w:rPr>
  </w:style>
  <w:style w:type="character" w:styleId="WW8Num529z2">
    <w:name w:val="WW8Num529z2"/>
    <w:qFormat/>
    <w:rPr>
      <w:rFonts w:ascii="Wingdings" w:hAnsi="Wingdings" w:cs="Wingdings"/>
    </w:rPr>
  </w:style>
  <w:style w:type="character" w:styleId="WW8Num529z3">
    <w:name w:val="WW8Num529z3"/>
    <w:qFormat/>
    <w:rPr>
      <w:rFonts w:ascii="Symbol" w:hAnsi="Symbol" w:cs="Symbol"/>
    </w:rPr>
  </w:style>
  <w:style w:type="character" w:styleId="WW8Num530z0">
    <w:name w:val="WW8Num530z0"/>
    <w:qFormat/>
    <w:rPr>
      <w:rFonts w:ascii="Symbol" w:hAnsi="Symbol" w:cs="Symbol"/>
    </w:rPr>
  </w:style>
  <w:style w:type="character" w:styleId="WW8Num531z0">
    <w:name w:val="WW8Num531z0"/>
    <w:qFormat/>
    <w:rPr>
      <w:rFonts w:ascii="Symbol" w:hAnsi="Symbol" w:cs="Symbol"/>
    </w:rPr>
  </w:style>
  <w:style w:type="character" w:styleId="WW8Num532z0">
    <w:name w:val="WW8Num532z0"/>
    <w:qFormat/>
    <w:rPr/>
  </w:style>
  <w:style w:type="character" w:styleId="WW8Num533z0">
    <w:name w:val="WW8Num533z0"/>
    <w:qFormat/>
    <w:rPr/>
  </w:style>
  <w:style w:type="character" w:styleId="WW8Num537z0">
    <w:name w:val="WW8Num537z0"/>
    <w:qFormat/>
    <w:rPr>
      <w:rFonts w:ascii="Symbol" w:hAnsi="Symbol" w:cs="Symbol"/>
    </w:rPr>
  </w:style>
  <w:style w:type="character" w:styleId="WW8Num539z0">
    <w:name w:val="WW8Num539z0"/>
    <w:qFormat/>
    <w:rPr>
      <w:rFonts w:ascii="Wingdings" w:hAnsi="Wingdings" w:cs="Wingdings"/>
      <w:b/>
      <w:i/>
      <w:sz w:val="24"/>
    </w:rPr>
  </w:style>
  <w:style w:type="character" w:styleId="WW8Num540z0">
    <w:name w:val="WW8Num540z0"/>
    <w:qFormat/>
    <w:rPr/>
  </w:style>
  <w:style w:type="character" w:styleId="WW8Num541z0">
    <w:name w:val="WW8Num541z0"/>
    <w:qFormat/>
    <w:rPr/>
  </w:style>
  <w:style w:type="character" w:styleId="WW8Num542z0">
    <w:name w:val="WW8Num542z0"/>
    <w:qFormat/>
    <w:rPr>
      <w:rFonts w:ascii="Symbol" w:hAnsi="Symbol" w:cs="Symbol"/>
    </w:rPr>
  </w:style>
  <w:style w:type="character" w:styleId="WW8Num544z0">
    <w:name w:val="WW8Num544z0"/>
    <w:qFormat/>
    <w:rPr>
      <w:rFonts w:ascii="Symbol" w:hAnsi="Symbol" w:cs="Symbol"/>
    </w:rPr>
  </w:style>
  <w:style w:type="character" w:styleId="WW8Num545z0">
    <w:name w:val="WW8Num545z0"/>
    <w:qFormat/>
    <w:rPr>
      <w:rFonts w:ascii="Symbol" w:hAnsi="Symbol" w:cs="Symbol"/>
    </w:rPr>
  </w:style>
  <w:style w:type="character" w:styleId="WW8Num546z0">
    <w:name w:val="WW8Num546z0"/>
    <w:qFormat/>
    <w:rPr>
      <w:rFonts w:ascii="Symbol" w:hAnsi="Symbol" w:cs="Symbol"/>
    </w:rPr>
  </w:style>
  <w:style w:type="character" w:styleId="WW8Num547z0">
    <w:name w:val="WW8Num547z0"/>
    <w:qFormat/>
    <w:rPr>
      <w:rFonts w:ascii="Wingdings" w:hAnsi="Wingdings" w:cs="Wingdings"/>
      <w:b w:val="false"/>
      <w:i w:val="false"/>
      <w:color w:val="auto"/>
      <w:sz w:val="20"/>
      <w:vertAlign w:val="superscript"/>
    </w:rPr>
  </w:style>
  <w:style w:type="character" w:styleId="WW8Num550z0">
    <w:name w:val="WW8Num550z0"/>
    <w:qFormat/>
    <w:rPr>
      <w:rFonts w:ascii="Symbol" w:hAnsi="Symbol" w:cs="Symbol"/>
    </w:rPr>
  </w:style>
  <w:style w:type="character" w:styleId="WW8Num551z0">
    <w:name w:val="WW8Num551z0"/>
    <w:qFormat/>
    <w:rPr>
      <w:rFonts w:ascii="Wingdings" w:hAnsi="Wingdings" w:cs="Wingdings"/>
      <w:sz w:val="16"/>
    </w:rPr>
  </w:style>
  <w:style w:type="character" w:styleId="WW8Num552z0">
    <w:name w:val="WW8Num552z0"/>
    <w:qFormat/>
    <w:rPr>
      <w:rFonts w:ascii="Symbol" w:hAnsi="Symbol" w:cs="Symbol"/>
    </w:rPr>
  </w:style>
  <w:style w:type="character" w:styleId="WW8Num553z0">
    <w:name w:val="WW8Num553z0"/>
    <w:qFormat/>
    <w:rPr>
      <w:rFonts w:ascii="Wingdings" w:hAnsi="Wingdings" w:cs="Wingdings"/>
      <w:sz w:val="16"/>
    </w:rPr>
  </w:style>
  <w:style w:type="character" w:styleId="WW8Num554z0">
    <w:name w:val="WW8Num554z0"/>
    <w:qFormat/>
    <w:rPr>
      <w:rFonts w:ascii="Symbol" w:hAnsi="Symbol" w:cs="Symbol"/>
    </w:rPr>
  </w:style>
  <w:style w:type="character" w:styleId="WW8Num555z0">
    <w:name w:val="WW8Num555z0"/>
    <w:qFormat/>
    <w:rPr>
      <w:rFonts w:ascii="Symbol" w:hAnsi="Symbol" w:cs="Symbol"/>
    </w:rPr>
  </w:style>
  <w:style w:type="character" w:styleId="WW8Num556z0">
    <w:name w:val="WW8Num556z0"/>
    <w:qFormat/>
    <w:rPr>
      <w:rFonts w:ascii="Symbol" w:hAnsi="Symbol" w:cs="Symbol"/>
    </w:rPr>
  </w:style>
  <w:style w:type="character" w:styleId="WW8Num558z0">
    <w:name w:val="WW8Num558z0"/>
    <w:qFormat/>
    <w:rPr>
      <w:rFonts w:ascii="Times New Roman" w:hAnsi="Times New Roman" w:cs="Times New Roman"/>
      <w:b/>
      <w:i w:val="false"/>
      <w:sz w:val="28"/>
    </w:rPr>
  </w:style>
  <w:style w:type="character" w:styleId="WW8Num558z1">
    <w:name w:val="WW8Num558z1"/>
    <w:qFormat/>
    <w:rPr>
      <w:rFonts w:ascii="Times New Roman" w:hAnsi="Times New Roman" w:cs="Times New Roman"/>
      <w:b/>
      <w:i w:val="false"/>
      <w:sz w:val="24"/>
    </w:rPr>
  </w:style>
  <w:style w:type="character" w:styleId="WW8Num558z3">
    <w:name w:val="WW8Num558z3"/>
    <w:qFormat/>
    <w:rPr>
      <w:rFonts w:ascii="Times New Roman" w:hAnsi="Times New Roman" w:cs="Times New Roman"/>
      <w:b w:val="false"/>
      <w:i w:val="false"/>
      <w:sz w:val="24"/>
    </w:rPr>
  </w:style>
  <w:style w:type="character" w:styleId="WW8Num559z0">
    <w:name w:val="WW8Num559z0"/>
    <w:qFormat/>
    <w:rPr>
      <w:rFonts w:ascii="Symbol" w:hAnsi="Symbol" w:cs="Symbol"/>
    </w:rPr>
  </w:style>
  <w:style w:type="character" w:styleId="WW8Num561z0">
    <w:name w:val="WW8Num561z0"/>
    <w:qFormat/>
    <w:rPr>
      <w:rFonts w:ascii="Symbol" w:hAnsi="Symbol" w:cs="Symbol"/>
    </w:rPr>
  </w:style>
  <w:style w:type="character" w:styleId="WW8Num562z0">
    <w:name w:val="WW8Num562z0"/>
    <w:qFormat/>
    <w:rPr>
      <w:i w:val="false"/>
    </w:rPr>
  </w:style>
  <w:style w:type="character" w:styleId="WW8Num563z0">
    <w:name w:val="WW8Num563z0"/>
    <w:qFormat/>
    <w:rPr>
      <w:rFonts w:ascii="Wingdings" w:hAnsi="Wingdings" w:cs="Wingdings"/>
      <w:b w:val="false"/>
      <w:i w:val="false"/>
      <w:color w:val="auto"/>
      <w:sz w:val="28"/>
      <w:u w:val="none"/>
      <w:vertAlign w:val="superscript"/>
    </w:rPr>
  </w:style>
  <w:style w:type="character" w:styleId="WW8Num564z0">
    <w:name w:val="WW8Num564z0"/>
    <w:qFormat/>
    <w:rPr>
      <w:rFonts w:ascii="Symbol" w:hAnsi="Symbol" w:cs="Symbol"/>
      <w:caps w:val="false"/>
      <w:smallCaps w:val="false"/>
      <w:strike w:val="false"/>
      <w:dstrike w:val="false"/>
      <w:outline w:val="false"/>
      <w:shadow w:val="false"/>
      <w:vanish w:val="false"/>
      <w:color w:val="auto"/>
      <w:position w:val="0"/>
      <w:sz w:val="24"/>
      <w:sz w:val="24"/>
      <w:u w:val="none"/>
      <w:vertAlign w:val="baseline"/>
    </w:rPr>
  </w:style>
  <w:style w:type="character" w:styleId="WW8Num565z0">
    <w:name w:val="WW8Num565z0"/>
    <w:qFormat/>
    <w:rPr/>
  </w:style>
  <w:style w:type="character" w:styleId="WW8Num567z0">
    <w:name w:val="WW8Num567z0"/>
    <w:qFormat/>
    <w:rPr>
      <w:rFonts w:ascii="Wingdings" w:hAnsi="Wingdings" w:cs="Wingdings"/>
      <w:b w:val="false"/>
      <w:i/>
      <w:color w:val="auto"/>
      <w:sz w:val="16"/>
      <w:u w:val="none"/>
    </w:rPr>
  </w:style>
  <w:style w:type="character" w:styleId="WW8Num568z0">
    <w:name w:val="WW8Num568z0"/>
    <w:qFormat/>
    <w:rPr/>
  </w:style>
  <w:style w:type="character" w:styleId="WW8Num573z0">
    <w:name w:val="WW8Num573z0"/>
    <w:qFormat/>
    <w:rPr>
      <w:rFonts w:ascii="Symbol" w:hAnsi="Symbol" w:cs="Symbol"/>
    </w:rPr>
  </w:style>
  <w:style w:type="character" w:styleId="WW8Num574z0">
    <w:name w:val="WW8Num574z0"/>
    <w:qFormat/>
    <w:rPr/>
  </w:style>
  <w:style w:type="character" w:styleId="WW8Num575z0">
    <w:name w:val="WW8Num575z0"/>
    <w:qFormat/>
    <w:rPr>
      <w:rFonts w:ascii="Symbol" w:hAnsi="Symbol" w:cs="Symbol"/>
    </w:rPr>
  </w:style>
  <w:style w:type="character" w:styleId="WW8Num579z0">
    <w:name w:val="WW8Num579z0"/>
    <w:qFormat/>
    <w:rPr>
      <w:rFonts w:ascii="Symbol" w:hAnsi="Symbol" w:cs="Symbol"/>
    </w:rPr>
  </w:style>
  <w:style w:type="character" w:styleId="WW8Num580z0">
    <w:name w:val="WW8Num580z0"/>
    <w:qFormat/>
    <w:rPr>
      <w:rFonts w:ascii="Symbol" w:hAnsi="Symbol" w:cs="Symbol"/>
    </w:rPr>
  </w:style>
  <w:style w:type="character" w:styleId="WW8Num581z0">
    <w:name w:val="WW8Num581z0"/>
    <w:qFormat/>
    <w:rPr/>
  </w:style>
  <w:style w:type="character" w:styleId="WW8Num582z0">
    <w:name w:val="WW8Num582z0"/>
    <w:qFormat/>
    <w:rPr>
      <w:rFonts w:ascii="Symbol" w:hAnsi="Symbol" w:cs="Symbol"/>
    </w:rPr>
  </w:style>
  <w:style w:type="character" w:styleId="WW8Num583z0">
    <w:name w:val="WW8Num583z0"/>
    <w:qFormat/>
    <w:rPr>
      <w:rFonts w:ascii="Symbol" w:hAnsi="Symbol" w:cs="Symbol"/>
    </w:rPr>
  </w:style>
  <w:style w:type="character" w:styleId="WW8Num584z0">
    <w:name w:val="WW8Num584z0"/>
    <w:qFormat/>
    <w:rPr>
      <w:rFonts w:ascii="Wingdings" w:hAnsi="Wingdings" w:cs="Wingdings"/>
      <w:b w:val="false"/>
      <w:i w:val="false"/>
      <w:color w:val="auto"/>
      <w:sz w:val="12"/>
      <w:u w:val="none"/>
      <w:vertAlign w:val="superscript"/>
    </w:rPr>
  </w:style>
  <w:style w:type="character" w:styleId="WW8Num585z0">
    <w:name w:val="WW8Num585z0"/>
    <w:qFormat/>
    <w:rPr>
      <w:rFonts w:ascii="Wingdings" w:hAnsi="Wingdings" w:cs="Wingdings"/>
    </w:rPr>
  </w:style>
  <w:style w:type="character" w:styleId="WW8Num586z0">
    <w:name w:val="WW8Num586z0"/>
    <w:qFormat/>
    <w:rPr>
      <w:rFonts w:ascii="Arial" w:hAnsi="Arial" w:cs="Arial"/>
      <w:b w:val="false"/>
      <w:i w:val="false"/>
      <w:color w:val="000000"/>
      <w:sz w:val="16"/>
      <w:u w:val="none"/>
    </w:rPr>
  </w:style>
  <w:style w:type="character" w:styleId="WW8Num586z2">
    <w:name w:val="WW8Num586z2"/>
    <w:qFormat/>
    <w:rPr/>
  </w:style>
  <w:style w:type="character" w:styleId="WW8Num587z0">
    <w:name w:val="WW8Num587z0"/>
    <w:qFormat/>
    <w:rPr>
      <w:caps w:val="false"/>
      <w:smallCaps w:val="false"/>
      <w:strike w:val="false"/>
      <w:dstrike w:val="false"/>
      <w:outline w:val="false"/>
      <w:shadow w:val="false"/>
      <w:vanish w:val="false"/>
      <w:color w:val="auto"/>
      <w:kern w:val="0"/>
      <w:position w:val="0"/>
      <w:sz w:val="24"/>
      <w:vertAlign w:val="baseline"/>
    </w:rPr>
  </w:style>
  <w:style w:type="character" w:styleId="WW8Num588z0">
    <w:name w:val="WW8Num588z0"/>
    <w:qFormat/>
    <w:rPr>
      <w:rFonts w:ascii="Times New Roman" w:hAnsi="Times New Roman" w:cs="Times New Roman"/>
      <w:b w:val="false"/>
      <w:i w:val="false"/>
      <w:color w:val="auto"/>
      <w:kern w:val="0"/>
      <w:position w:val="0"/>
      <w:sz w:val="24"/>
      <w:u w:val="none"/>
      <w:vertAlign w:val="baseline"/>
    </w:rPr>
  </w:style>
  <w:style w:type="character" w:styleId="WW8Num590z0">
    <w:name w:val="WW8Num590z0"/>
    <w:qFormat/>
    <w:rPr>
      <w:rFonts w:ascii="Times New Roman" w:hAnsi="Times New Roman" w:cs="Times New Roman"/>
      <w:b/>
      <w:i/>
      <w:sz w:val="24"/>
    </w:rPr>
  </w:style>
  <w:style w:type="character" w:styleId="WW8Num591z0">
    <w:name w:val="WW8Num591z0"/>
    <w:qFormat/>
    <w:rPr>
      <w:rFonts w:ascii="Symbol" w:hAnsi="Symbol" w:cs="Symbol"/>
    </w:rPr>
  </w:style>
  <w:style w:type="character" w:styleId="WW8Num592z0">
    <w:name w:val="WW8Num592z0"/>
    <w:qFormat/>
    <w:rPr>
      <w:rFonts w:ascii="Wingdings" w:hAnsi="Wingdings" w:cs="Wingdings"/>
      <w:b w:val="false"/>
      <w:i w:val="false"/>
      <w:color w:val="auto"/>
      <w:kern w:val="0"/>
      <w:position w:val="0"/>
      <w:sz w:val="24"/>
      <w:u w:val="none"/>
      <w:vertAlign w:val="baseline"/>
    </w:rPr>
  </w:style>
  <w:style w:type="character" w:styleId="WW8Num594z0">
    <w:name w:val="WW8Num594z0"/>
    <w:qFormat/>
    <w:rPr/>
  </w:style>
  <w:style w:type="character" w:styleId="WW8Num595z0">
    <w:name w:val="WW8Num595z0"/>
    <w:qFormat/>
    <w:rPr/>
  </w:style>
  <w:style w:type="character" w:styleId="WW8Num596z0">
    <w:name w:val="WW8Num596z0"/>
    <w:qFormat/>
    <w:rPr>
      <w:rFonts w:ascii="Wingdings" w:hAnsi="Wingdings" w:cs="Wingdings"/>
    </w:rPr>
  </w:style>
  <w:style w:type="character" w:styleId="WW8Num597z0">
    <w:name w:val="WW8Num597z0"/>
    <w:qFormat/>
    <w:rPr>
      <w:rFonts w:ascii="Symbol" w:hAnsi="Symbol" w:cs="Symbol"/>
    </w:rPr>
  </w:style>
  <w:style w:type="character" w:styleId="WW8Num598z0">
    <w:name w:val="WW8Num598z0"/>
    <w:qFormat/>
    <w:rPr>
      <w:rFonts w:ascii="Arial" w:hAnsi="Arial" w:cs="Arial"/>
      <w:b w:val="false"/>
      <w:i w:val="false"/>
      <w:color w:val="auto"/>
      <w:sz w:val="16"/>
      <w:u w:val="none"/>
    </w:rPr>
  </w:style>
  <w:style w:type="character" w:styleId="WW8Num600z0">
    <w:name w:val="WW8Num600z0"/>
    <w:qFormat/>
    <w:rPr>
      <w:rFonts w:ascii="Wingdings" w:hAnsi="Wingdings" w:cs="Wingdings"/>
    </w:rPr>
  </w:style>
  <w:style w:type="character" w:styleId="WW8Num603z0">
    <w:name w:val="WW8Num603z0"/>
    <w:qFormat/>
    <w:rPr>
      <w:rFonts w:ascii="Wingdings" w:hAnsi="Wingdings" w:cs="Wingdings"/>
      <w:b w:val="false"/>
      <w:i w:val="false"/>
      <w:color w:val="000000"/>
      <w:kern w:val="0"/>
      <w:position w:val="0"/>
      <w:sz w:val="24"/>
      <w:u w:val="none"/>
      <w:vertAlign w:val="baseline"/>
    </w:rPr>
  </w:style>
  <w:style w:type="character" w:styleId="WW8Num603z1">
    <w:name w:val="WW8Num603z1"/>
    <w:qFormat/>
    <w:rPr>
      <w:rFonts w:ascii="Courier New" w:hAnsi="Courier New" w:cs="Courier New"/>
    </w:rPr>
  </w:style>
  <w:style w:type="character" w:styleId="WW8Num603z2">
    <w:name w:val="WW8Num603z2"/>
    <w:qFormat/>
    <w:rPr>
      <w:rFonts w:ascii="Wingdings" w:hAnsi="Wingdings" w:cs="Wingdings"/>
    </w:rPr>
  </w:style>
  <w:style w:type="character" w:styleId="WW8Num603z3">
    <w:name w:val="WW8Num603z3"/>
    <w:qFormat/>
    <w:rPr>
      <w:rFonts w:ascii="Symbol" w:hAnsi="Symbol" w:cs="Symbol"/>
    </w:rPr>
  </w:style>
  <w:style w:type="character" w:styleId="WW8Num605z0">
    <w:name w:val="WW8Num605z0"/>
    <w:qFormat/>
    <w:rPr>
      <w:rFonts w:ascii="Symbol" w:hAnsi="Symbol" w:cs="Symbol"/>
    </w:rPr>
  </w:style>
  <w:style w:type="character" w:styleId="WW8Num607z0">
    <w:name w:val="WW8Num607z0"/>
    <w:qFormat/>
    <w:rPr>
      <w:rFonts w:ascii="Symbol" w:hAnsi="Symbol" w:cs="Symbol"/>
    </w:rPr>
  </w:style>
  <w:style w:type="character" w:styleId="WW8Num608z0">
    <w:name w:val="WW8Num608z0"/>
    <w:qFormat/>
    <w:rPr>
      <w:rFonts w:ascii="Symbol" w:hAnsi="Symbol" w:cs="Symbol"/>
    </w:rPr>
  </w:style>
  <w:style w:type="character" w:styleId="WW8Num609z0">
    <w:name w:val="WW8Num609z0"/>
    <w:qFormat/>
    <w:rPr>
      <w:rFonts w:ascii="Symbol" w:hAnsi="Symbol" w:cs="Symbol"/>
    </w:rPr>
  </w:style>
  <w:style w:type="character" w:styleId="WW8Num610z0">
    <w:name w:val="WW8Num610z0"/>
    <w:qFormat/>
    <w:rPr>
      <w:rFonts w:ascii="Symbol" w:hAnsi="Symbol" w:cs="Symbol"/>
    </w:rPr>
  </w:style>
  <w:style w:type="character" w:styleId="WW8Num611z0">
    <w:name w:val="WW8Num611z0"/>
    <w:qFormat/>
    <w:rPr>
      <w:rFonts w:ascii="Symbol" w:hAnsi="Symbol" w:cs="Symbol"/>
    </w:rPr>
  </w:style>
  <w:style w:type="character" w:styleId="WW8Num612z0">
    <w:name w:val="WW8Num612z0"/>
    <w:qFormat/>
    <w:rPr>
      <w:rFonts w:ascii="Wingdings" w:hAnsi="Wingdings" w:cs="Wingdings"/>
      <w:b/>
      <w:i/>
      <w:sz w:val="24"/>
    </w:rPr>
  </w:style>
  <w:style w:type="character" w:styleId="WW8Num613z0">
    <w:name w:val="WW8Num613z0"/>
    <w:qFormat/>
    <w:rPr/>
  </w:style>
  <w:style w:type="character" w:styleId="WW8Num614z0">
    <w:name w:val="WW8Num614z0"/>
    <w:qFormat/>
    <w:rPr>
      <w:rFonts w:ascii="Symbol" w:hAnsi="Symbol" w:cs="Symbol"/>
      <w:u w:val="none"/>
      <w:vertAlign w:val="superscript"/>
    </w:rPr>
  </w:style>
  <w:style w:type="character" w:styleId="WW8Num617z0">
    <w:name w:val="WW8Num617z0"/>
    <w:qFormat/>
    <w:rPr>
      <w:rFonts w:ascii="Wingdings" w:hAnsi="Wingdings" w:cs="Wingdings"/>
      <w:b w:val="false"/>
      <w:i w:val="false"/>
      <w:caps w:val="false"/>
      <w:smallCaps w:val="false"/>
      <w:strike w:val="false"/>
      <w:dstrike w:val="false"/>
      <w:outline w:val="false"/>
      <w:shadow w:val="false"/>
      <w:vanish w:val="false"/>
      <w:color w:val="auto"/>
      <w:kern w:val="0"/>
      <w:position w:val="0"/>
      <w:sz w:val="28"/>
      <w:sz w:val="28"/>
      <w:u w:val="none"/>
      <w:vertAlign w:val="baseline"/>
    </w:rPr>
  </w:style>
  <w:style w:type="character" w:styleId="WW8Num618z0">
    <w:name w:val="WW8Num618z0"/>
    <w:qFormat/>
    <w:rPr>
      <w:rFonts w:ascii="Symbol" w:hAnsi="Symbol" w:cs="Symbol"/>
    </w:rPr>
  </w:style>
  <w:style w:type="character" w:styleId="WW8Num619z0">
    <w:name w:val="WW8Num619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620z0">
    <w:name w:val="WW8Num620z0"/>
    <w:qFormat/>
    <w:rPr>
      <w:rFonts w:ascii="CommonBullets" w:hAnsi="CommonBullets" w:cs="CommonBullets"/>
      <w:b w:val="false"/>
      <w:i w:val="false"/>
      <w:color w:val="auto"/>
      <w:kern w:val="0"/>
      <w:position w:val="0"/>
      <w:sz w:val="24"/>
      <w:u w:val="none"/>
      <w:vertAlign w:val="baseline"/>
    </w:rPr>
  </w:style>
  <w:style w:type="character" w:styleId="WW8Num621z0">
    <w:name w:val="WW8Num621z0"/>
    <w:qFormat/>
    <w:rPr/>
  </w:style>
  <w:style w:type="character" w:styleId="WW8Num622z0">
    <w:name w:val="WW8Num622z0"/>
    <w:qFormat/>
    <w:rPr/>
  </w:style>
  <w:style w:type="character" w:styleId="WW8Num623z0">
    <w:name w:val="WW8Num623z0"/>
    <w:qFormat/>
    <w:rPr/>
  </w:style>
  <w:style w:type="character" w:styleId="WW8Num626z0">
    <w:name w:val="WW8Num626z0"/>
    <w:qFormat/>
    <w:rPr>
      <w:rFonts w:ascii="Symbol" w:hAnsi="Symbol" w:cs="Symbol"/>
    </w:rPr>
  </w:style>
  <w:style w:type="character" w:styleId="WW8Num627z0">
    <w:name w:val="WW8Num627z0"/>
    <w:qFormat/>
    <w:rPr>
      <w:rFonts w:ascii="Symbol" w:hAnsi="Symbol" w:cs="Symbol"/>
    </w:rPr>
  </w:style>
  <w:style w:type="character" w:styleId="WW8Num628z0">
    <w:name w:val="WW8Num628z0"/>
    <w:qFormat/>
    <w:rPr/>
  </w:style>
  <w:style w:type="character" w:styleId="WW8Num629z0">
    <w:name w:val="WW8Num629z0"/>
    <w:qFormat/>
    <w:rPr>
      <w:rFonts w:ascii="Symbol" w:hAnsi="Symbol" w:cs="Symbol"/>
    </w:rPr>
  </w:style>
  <w:style w:type="character" w:styleId="WW8Num630z0">
    <w:name w:val="WW8Num630z0"/>
    <w:qFormat/>
    <w:rPr>
      <w:rFonts w:ascii="Wingdings" w:hAnsi="Wingdings" w:cs="Wingdings"/>
      <w:b w:val="false"/>
      <w:i w:val="false"/>
      <w:color w:val="auto"/>
      <w:sz w:val="20"/>
      <w:u w:val="none"/>
    </w:rPr>
  </w:style>
  <w:style w:type="character" w:styleId="WW8Num631z0">
    <w:name w:val="WW8Num631z0"/>
    <w:qFormat/>
    <w:rPr/>
  </w:style>
  <w:style w:type="character" w:styleId="WW8Num632z0">
    <w:name w:val="WW8Num632z0"/>
    <w:qFormat/>
    <w:rPr>
      <w:rFonts w:ascii="Symbol" w:hAnsi="Symbol" w:cs="Symbol"/>
    </w:rPr>
  </w:style>
  <w:style w:type="character" w:styleId="WW8Num634z0">
    <w:name w:val="WW8Num634z0"/>
    <w:qFormat/>
    <w:rPr>
      <w:rFonts w:ascii="Wingdings" w:hAnsi="Wingdings" w:cs="Wingdings"/>
      <w:sz w:val="24"/>
    </w:rPr>
  </w:style>
  <w:style w:type="character" w:styleId="WW8Num635z0">
    <w:name w:val="WW8Num635z0"/>
    <w:qFormat/>
    <w:rPr>
      <w:rFonts w:ascii="Symbol" w:hAnsi="Symbol" w:cs="Symbol"/>
    </w:rPr>
  </w:style>
  <w:style w:type="character" w:styleId="WW8Num636z0">
    <w:name w:val="WW8Num636z0"/>
    <w:qFormat/>
    <w:rPr>
      <w:rFonts w:ascii="Symbol" w:hAnsi="Symbol" w:cs="Symbol"/>
    </w:rPr>
  </w:style>
  <w:style w:type="character" w:styleId="WW8Num637z0">
    <w:name w:val="WW8Num637z0"/>
    <w:qFormat/>
    <w:rPr/>
  </w:style>
  <w:style w:type="character" w:styleId="WW8Num640z0">
    <w:name w:val="WW8Num640z0"/>
    <w:qFormat/>
    <w:rPr>
      <w:rFonts w:ascii="Symbol" w:hAnsi="Symbol" w:cs="Symbol"/>
    </w:rPr>
  </w:style>
  <w:style w:type="character" w:styleId="WW8Num642z0">
    <w:name w:val="WW8Num642z0"/>
    <w:qFormat/>
    <w:rPr>
      <w:rFonts w:ascii="Wingdings" w:hAnsi="Wingdings" w:cs="Wingdings"/>
    </w:rPr>
  </w:style>
  <w:style w:type="character" w:styleId="WW8Num643z0">
    <w:name w:val="WW8Num643z0"/>
    <w:qFormat/>
    <w:rPr>
      <w:rFonts w:ascii="Symbol" w:hAnsi="Symbol" w:cs="Symbol"/>
      <w:color w:val="auto"/>
      <w:sz w:val="24"/>
    </w:rPr>
  </w:style>
  <w:style w:type="character" w:styleId="WW8Num644z0">
    <w:name w:val="WW8Num644z0"/>
    <w:qFormat/>
    <w:rPr>
      <w:rFonts w:ascii="Symbol" w:hAnsi="Symbol" w:cs="Symbol"/>
      <w:sz w:val="12"/>
    </w:rPr>
  </w:style>
  <w:style w:type="character" w:styleId="WW8Num645z0">
    <w:name w:val="WW8Num645z0"/>
    <w:qFormat/>
    <w:rPr>
      <w:rFonts w:ascii="Wingdings" w:hAnsi="Wingdings" w:cs="Wingdings"/>
      <w:sz w:val="10"/>
    </w:rPr>
  </w:style>
  <w:style w:type="character" w:styleId="WW8Num648z0">
    <w:name w:val="WW8Num648z0"/>
    <w:qFormat/>
    <w:rPr/>
  </w:style>
  <w:style w:type="character" w:styleId="WW8Num649z0">
    <w:name w:val="WW8Num649z0"/>
    <w:qFormat/>
    <w:rPr>
      <w:rFonts w:ascii="Wingdings" w:hAnsi="Wingdings" w:cs="Wingdings"/>
      <w:b w:val="false"/>
      <w:i w:val="false"/>
      <w:color w:val="auto"/>
      <w:sz w:val="10"/>
      <w:u w:val="none"/>
      <w:vertAlign w:val="superscript"/>
    </w:rPr>
  </w:style>
  <w:style w:type="character" w:styleId="WW8Num650z0">
    <w:name w:val="WW8Num650z0"/>
    <w:qFormat/>
    <w:rPr/>
  </w:style>
  <w:style w:type="character" w:styleId="WW8Num651z0">
    <w:name w:val="WW8Num651z0"/>
    <w:qFormat/>
    <w:rPr>
      <w:rFonts w:ascii="Symbol" w:hAnsi="Symbol" w:cs="Symbol"/>
      <w:color w:val="auto"/>
    </w:rPr>
  </w:style>
  <w:style w:type="character" w:styleId="WW8Num652z0">
    <w:name w:val="WW8Num652z0"/>
    <w:qFormat/>
    <w:rPr>
      <w:rFonts w:ascii="Wingdings" w:hAnsi="Wingdings" w:cs="Wingdings"/>
      <w:b w:val="false"/>
      <w:i w:val="false"/>
      <w:caps w:val="false"/>
      <w:smallCaps w:val="false"/>
      <w:strike w:val="false"/>
      <w:dstrike w:val="false"/>
      <w:outline w:val="false"/>
      <w:shadow w:val="false"/>
      <w:vanish w:val="false"/>
      <w:color w:val="auto"/>
      <w:kern w:val="0"/>
      <w:position w:val="0"/>
      <w:sz w:val="20"/>
      <w:sz w:val="20"/>
      <w:u w:val="none"/>
      <w:vertAlign w:val="baseline"/>
    </w:rPr>
  </w:style>
  <w:style w:type="character" w:styleId="WW8Num654z0">
    <w:name w:val="WW8Num654z0"/>
    <w:qFormat/>
    <w:rPr>
      <w:rFonts w:ascii="Symbol" w:hAnsi="Symbol" w:cs="Symbol"/>
    </w:rPr>
  </w:style>
  <w:style w:type="character" w:styleId="WW8Num656z0">
    <w:name w:val="WW8Num656z0"/>
    <w:qFormat/>
    <w:rPr>
      <w:rFonts w:ascii="Symbol" w:hAnsi="Symbol" w:cs="Symbol"/>
    </w:rPr>
  </w:style>
  <w:style w:type="character" w:styleId="WW8Num658z0">
    <w:name w:val="WW8Num658z0"/>
    <w:qFormat/>
    <w:rPr>
      <w:rFonts w:ascii="Wingdings" w:hAnsi="Wingdings" w:cs="Wingdings"/>
      <w:b w:val="false"/>
      <w:i w:val="false"/>
      <w:color w:val="auto"/>
      <w:sz w:val="16"/>
      <w:u w:val="none"/>
    </w:rPr>
  </w:style>
  <w:style w:type="character" w:styleId="WW8Num659z0">
    <w:name w:val="WW8Num659z0"/>
    <w:qFormat/>
    <w:rPr>
      <w:rFonts w:ascii="Wingdings" w:hAnsi="Wingdings" w:cs="Wingdings"/>
    </w:rPr>
  </w:style>
  <w:style w:type="character" w:styleId="WW8Num659z1">
    <w:name w:val="WW8Num659z1"/>
    <w:qFormat/>
    <w:rPr>
      <w:rFonts w:ascii="Courier New" w:hAnsi="Courier New" w:cs="Courier New"/>
    </w:rPr>
  </w:style>
  <w:style w:type="character" w:styleId="WW8Num659z3">
    <w:name w:val="WW8Num659z3"/>
    <w:qFormat/>
    <w:rPr>
      <w:rFonts w:ascii="Symbol" w:hAnsi="Symbol" w:cs="Symbol"/>
    </w:rPr>
  </w:style>
  <w:style w:type="character" w:styleId="WW8Num665z0">
    <w:name w:val="WW8Num665z0"/>
    <w:qFormat/>
    <w:rPr>
      <w:rFonts w:ascii="Symbol" w:hAnsi="Symbol" w:cs="Symbol"/>
    </w:rPr>
  </w:style>
  <w:style w:type="character" w:styleId="WW8Num666z0">
    <w:name w:val="WW8Num666z0"/>
    <w:qFormat/>
    <w:rPr>
      <w:rFonts w:ascii="Symbol" w:hAnsi="Symbol" w:cs="Symbol"/>
      <w:vertAlign w:val="superscript"/>
    </w:rPr>
  </w:style>
  <w:style w:type="character" w:styleId="WW8Num667z0">
    <w:name w:val="WW8Num667z0"/>
    <w:qFormat/>
    <w:rPr/>
  </w:style>
  <w:style w:type="character" w:styleId="WW8Num668z0">
    <w:name w:val="WW8Num668z0"/>
    <w:qFormat/>
    <w:rPr>
      <w:rFonts w:ascii="Symbol" w:hAnsi="Symbol" w:cs="Symbol"/>
    </w:rPr>
  </w:style>
  <w:style w:type="character" w:styleId="WW8Num669z0">
    <w:name w:val="WW8Num669z0"/>
    <w:qFormat/>
    <w:rPr>
      <w:rFonts w:ascii="Wingdings" w:hAnsi="Wingdings" w:cs="Wingdings"/>
      <w:b/>
      <w:i w:val="false"/>
      <w:sz w:val="28"/>
    </w:rPr>
  </w:style>
  <w:style w:type="character" w:styleId="WW8Num670z0">
    <w:name w:val="WW8Num670z0"/>
    <w:qFormat/>
    <w:rPr/>
  </w:style>
  <w:style w:type="character" w:styleId="WW8Num671z0">
    <w:name w:val="WW8Num671z0"/>
    <w:qFormat/>
    <w:rPr>
      <w:rFonts w:ascii="Symbol" w:hAnsi="Symbol" w:cs="Symbol"/>
    </w:rPr>
  </w:style>
  <w:style w:type="character" w:styleId="WW8Num672z0">
    <w:name w:val="WW8Num672z0"/>
    <w:qFormat/>
    <w:rPr>
      <w:rFonts w:ascii="Times New Roman" w:hAnsi="Times New Roman" w:cs="Times New Roman"/>
      <w:b w:val="false"/>
      <w:i w:val="false"/>
      <w:color w:val="auto"/>
      <w:sz w:val="24"/>
      <w:vertAlign w:val="subscript"/>
    </w:rPr>
  </w:style>
  <w:style w:type="character" w:styleId="WW8Num674z0">
    <w:name w:val="WW8Num674z0"/>
    <w:qFormat/>
    <w:rPr>
      <w:rFonts w:ascii="Symbol" w:hAnsi="Symbol" w:cs="Symbol"/>
    </w:rPr>
  </w:style>
  <w:style w:type="character" w:styleId="WW8Num675z0">
    <w:name w:val="WW8Num675z0"/>
    <w:qFormat/>
    <w:rPr>
      <w:rFonts w:ascii="Symbol" w:hAnsi="Symbol" w:cs="Symbol"/>
    </w:rPr>
  </w:style>
  <w:style w:type="character" w:styleId="WW8Num676z0">
    <w:name w:val="WW8Num676z0"/>
    <w:qFormat/>
    <w:rPr>
      <w:rFonts w:ascii="Wingdings" w:hAnsi="Wingdings" w:cs="Wingdings"/>
      <w:b w:val="false"/>
      <w:i w:val="false"/>
      <w:sz w:val="28"/>
      <w:u w:val="none"/>
    </w:rPr>
  </w:style>
  <w:style w:type="character" w:styleId="WW8Num677z0">
    <w:name w:val="WW8Num677z0"/>
    <w:qFormat/>
    <w:rPr>
      <w:rFonts w:ascii="Times New Roman" w:hAnsi="Times New Roman" w:cs="Times New Roman"/>
    </w:rPr>
  </w:style>
  <w:style w:type="character" w:styleId="WW8Num678z0">
    <w:name w:val="WW8Num678z0"/>
    <w:qFormat/>
    <w:rPr>
      <w:rFonts w:ascii="Wingdings" w:hAnsi="Wingdings" w:cs="Wingdings"/>
      <w:b w:val="false"/>
      <w:i w:val="false"/>
      <w:sz w:val="12"/>
      <w:u w:val="none"/>
      <w:vertAlign w:val="superscript"/>
    </w:rPr>
  </w:style>
  <w:style w:type="character" w:styleId="WW8Num679z0">
    <w:name w:val="WW8Num679z0"/>
    <w:qFormat/>
    <w:rPr>
      <w:rFonts w:ascii="Wingdings" w:hAnsi="Wingdings" w:cs="Wingdings"/>
      <w:sz w:val="16"/>
    </w:rPr>
  </w:style>
  <w:style w:type="character" w:styleId="WW8Num680z0">
    <w:name w:val="WW8Num680z0"/>
    <w:qFormat/>
    <w:rPr>
      <w:rFonts w:ascii="Symbol" w:hAnsi="Symbol" w:cs="Symbol"/>
    </w:rPr>
  </w:style>
  <w:style w:type="character" w:styleId="WW8Num681z0">
    <w:name w:val="WW8Num681z0"/>
    <w:qFormat/>
    <w:rPr>
      <w:rFonts w:ascii="Wingdings" w:hAnsi="Wingdings" w:cs="Wingdings"/>
      <w:b w:val="false"/>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682z0">
    <w:name w:val="WW8Num682z0"/>
    <w:qFormat/>
    <w:rPr>
      <w:rFonts w:ascii="Wingdings" w:hAnsi="Wingdings" w:cs="Wingdings"/>
      <w:b w:val="false"/>
      <w:i w:val="false"/>
      <w:color w:val="auto"/>
      <w:position w:val="0"/>
      <w:sz w:val="12"/>
      <w:sz w:val="12"/>
      <w:u w:val="none"/>
      <w:vertAlign w:val="baseline"/>
    </w:rPr>
  </w:style>
  <w:style w:type="character" w:styleId="WW8Num683z0">
    <w:name w:val="WW8Num683z0"/>
    <w:qFormat/>
    <w:rPr>
      <w:rFonts w:ascii="Wingdings" w:hAnsi="Wingdings" w:cs="Wingdings"/>
      <w:b w:val="false"/>
      <w:i w:val="false"/>
      <w:color w:val="auto"/>
      <w:sz w:val="12"/>
      <w:u w:val="none"/>
      <w:vertAlign w:val="superscript"/>
    </w:rPr>
  </w:style>
  <w:style w:type="character" w:styleId="WW8Num685z0">
    <w:name w:val="WW8Num685z0"/>
    <w:qFormat/>
    <w:rPr>
      <w:rFonts w:ascii="Symbol" w:hAnsi="Symbol" w:cs="Symbol"/>
    </w:rPr>
  </w:style>
  <w:style w:type="character" w:styleId="WW8Num686z0">
    <w:name w:val="WW8Num686z0"/>
    <w:qFormat/>
    <w:rPr>
      <w:rFonts w:ascii="Wingdings" w:hAnsi="Wingdings" w:cs="Wingdings"/>
      <w:b w:val="false"/>
      <w:i w:val="false"/>
      <w:color w:val="auto"/>
      <w:sz w:val="20"/>
      <w:u w:val="none"/>
      <w:vertAlign w:val="superscript"/>
    </w:rPr>
  </w:style>
  <w:style w:type="character" w:styleId="WW8Num687z0">
    <w:name w:val="WW8Num687z0"/>
    <w:qFormat/>
    <w:rPr>
      <w:rFonts w:ascii="Wingdings" w:hAnsi="Wingdings" w:cs="Wingdings"/>
      <w:sz w:val="16"/>
    </w:rPr>
  </w:style>
  <w:style w:type="character" w:styleId="WW8Num689z0">
    <w:name w:val="WW8Num689z0"/>
    <w:qFormat/>
    <w:rPr>
      <w:rFonts w:ascii="Wingdings" w:hAnsi="Wingdings" w:cs="Wingdings"/>
      <w:b w:val="false"/>
      <w:i w:val="false"/>
      <w:sz w:val="28"/>
    </w:rPr>
  </w:style>
  <w:style w:type="character" w:styleId="WW8Num690z0">
    <w:name w:val="WW8Num690z0"/>
    <w:qFormat/>
    <w:rPr>
      <w:rFonts w:ascii="Symbol" w:hAnsi="Symbol" w:cs="Symbol"/>
    </w:rPr>
  </w:style>
  <w:style w:type="character" w:styleId="WW8Num691z0">
    <w:name w:val="WW8Num691z0"/>
    <w:qFormat/>
    <w:rPr>
      <w:rFonts w:ascii="Symbol" w:hAnsi="Symbol" w:cs="Symbol"/>
    </w:rPr>
  </w:style>
  <w:style w:type="character" w:styleId="WW8Num692z0">
    <w:name w:val="WW8Num692z0"/>
    <w:qFormat/>
    <w:rPr>
      <w:rFonts w:ascii="Symbol" w:hAnsi="Symbol" w:cs="Symbol"/>
    </w:rPr>
  </w:style>
  <w:style w:type="character" w:styleId="WW8Num694z0">
    <w:name w:val="WW8Num694z0"/>
    <w:qFormat/>
    <w:rPr>
      <w:rFonts w:ascii="Symbol" w:hAnsi="Symbol" w:cs="Symbol"/>
    </w:rPr>
  </w:style>
  <w:style w:type="character" w:styleId="WW8Num695z0">
    <w:name w:val="WW8Num695z0"/>
    <w:qFormat/>
    <w:rPr/>
  </w:style>
  <w:style w:type="character" w:styleId="WW8Num697z0">
    <w:name w:val="WW8Num697z0"/>
    <w:qFormat/>
    <w:rPr>
      <w:rFonts w:ascii="Wingdings 3" w:hAnsi="Wingdings 3" w:cs="Wingdings 3"/>
      <w:b w:val="false"/>
      <w:i w:val="false"/>
      <w:color w:val="800000"/>
      <w:position w:val="0"/>
      <w:sz w:val="32"/>
      <w:sz w:val="32"/>
      <w:vertAlign w:val="baseline"/>
    </w:rPr>
  </w:style>
  <w:style w:type="character" w:styleId="WW8Num698z0">
    <w:name w:val="WW8Num698z0"/>
    <w:qFormat/>
    <w:rPr/>
  </w:style>
  <w:style w:type="character" w:styleId="WW8Num699z0">
    <w:name w:val="WW8Num699z0"/>
    <w:qFormat/>
    <w:rPr>
      <w:rFonts w:ascii="Wingdings" w:hAnsi="Wingdings" w:cs="Wingdings"/>
      <w:color w:val="auto"/>
    </w:rPr>
  </w:style>
  <w:style w:type="character" w:styleId="WW8Num700z0">
    <w:name w:val="WW8Num700z0"/>
    <w:qFormat/>
    <w:rPr/>
  </w:style>
  <w:style w:type="character" w:styleId="WW8Num702z0">
    <w:name w:val="WW8Num702z0"/>
    <w:qFormat/>
    <w:rPr>
      <w:rFonts w:ascii="Symbol" w:hAnsi="Symbol" w:cs="Symbol"/>
    </w:rPr>
  </w:style>
  <w:style w:type="character" w:styleId="WW8Num703z0">
    <w:name w:val="WW8Num703z0"/>
    <w:qFormat/>
    <w:rPr>
      <w:rFonts w:ascii="Symbol" w:hAnsi="Symbol" w:cs="Symbol"/>
    </w:rPr>
  </w:style>
  <w:style w:type="character" w:styleId="WW8Num707z0">
    <w:name w:val="WW8Num707z0"/>
    <w:qFormat/>
    <w:rPr>
      <w:rFonts w:ascii="Wingdings" w:hAnsi="Wingdings" w:cs="Wingdings"/>
      <w:b w:val="false"/>
      <w:i w:val="false"/>
      <w:color w:val="auto"/>
      <w:sz w:val="12"/>
      <w:u w:val="none"/>
      <w:vertAlign w:val="superscript"/>
    </w:rPr>
  </w:style>
  <w:style w:type="character" w:styleId="WW8Num710z0">
    <w:name w:val="WW8Num710z0"/>
    <w:qFormat/>
    <w:rPr>
      <w:rFonts w:ascii="Wingdings" w:hAnsi="Wingdings" w:cs="Wingdings"/>
    </w:rPr>
  </w:style>
  <w:style w:type="character" w:styleId="WW8Num711z0">
    <w:name w:val="WW8Num711z0"/>
    <w:qFormat/>
    <w:rPr>
      <w:rFonts w:ascii="Symbol" w:hAnsi="Symbol" w:cs="Symbol"/>
    </w:rPr>
  </w:style>
  <w:style w:type="character" w:styleId="WW8Num715z0">
    <w:name w:val="WW8Num715z0"/>
    <w:qFormat/>
    <w:rPr/>
  </w:style>
  <w:style w:type="character" w:styleId="WW8Num716z0">
    <w:name w:val="WW8Num716z0"/>
    <w:qFormat/>
    <w:rPr>
      <w:rFonts w:ascii="Symbol" w:hAnsi="Symbol" w:cs="Symbol"/>
    </w:rPr>
  </w:style>
  <w:style w:type="character" w:styleId="WW8Num718z0">
    <w:name w:val="WW8Num718z0"/>
    <w:qFormat/>
    <w:rPr/>
  </w:style>
  <w:style w:type="character" w:styleId="WW8Num720z0">
    <w:name w:val="WW8Num720z0"/>
    <w:qFormat/>
    <w:rPr>
      <w:rFonts w:ascii="Symbol" w:hAnsi="Symbol" w:cs="Symbol"/>
    </w:rPr>
  </w:style>
  <w:style w:type="character" w:styleId="WW8Num722z0">
    <w:name w:val="WW8Num722z0"/>
    <w:qFormat/>
    <w:rPr>
      <w:rFonts w:ascii="Symbol" w:hAnsi="Symbol" w:cs="Symbol"/>
    </w:rPr>
  </w:style>
  <w:style w:type="character" w:styleId="WW8Num723z0">
    <w:name w:val="WW8Num723z0"/>
    <w:qFormat/>
    <w:rPr>
      <w:caps w:val="false"/>
      <w:smallCaps w:val="false"/>
      <w:strike w:val="false"/>
      <w:dstrike w:val="false"/>
      <w:outline w:val="false"/>
      <w:shadow w:val="false"/>
      <w:vanish w:val="false"/>
      <w:color w:val="000000"/>
      <w:kern w:val="0"/>
      <w:position w:val="0"/>
      <w:sz w:val="24"/>
      <w:vertAlign w:val="baseline"/>
    </w:rPr>
  </w:style>
  <w:style w:type="character" w:styleId="WW8Num723z1">
    <w:name w:val="WW8Num723z1"/>
    <w:qFormat/>
    <w:rPr/>
  </w:style>
  <w:style w:type="character" w:styleId="WW8Num724z0">
    <w:name w:val="WW8Num724z0"/>
    <w:qFormat/>
    <w:rPr/>
  </w:style>
  <w:style w:type="character" w:styleId="WW8Num725z0">
    <w:name w:val="WW8Num725z0"/>
    <w:qFormat/>
    <w:rPr>
      <w:rFonts w:ascii="Symbol" w:hAnsi="Symbol" w:cs="Symbol"/>
    </w:rPr>
  </w:style>
  <w:style w:type="character" w:styleId="WW8Num726z0">
    <w:name w:val="WW8Num726z0"/>
    <w:qFormat/>
    <w:rPr>
      <w:rFonts w:ascii="Symbol" w:hAnsi="Symbol" w:cs="Symbol"/>
    </w:rPr>
  </w:style>
  <w:style w:type="character" w:styleId="WW8Num727z0">
    <w:name w:val="WW8Num727z0"/>
    <w:qFormat/>
    <w:rPr/>
  </w:style>
  <w:style w:type="character" w:styleId="WW8Num729z0">
    <w:name w:val="WW8Num729z0"/>
    <w:qFormat/>
    <w:rPr>
      <w:rFonts w:ascii="Wingdings" w:hAnsi="Wingdings" w:cs="Wingdings"/>
    </w:rPr>
  </w:style>
  <w:style w:type="character" w:styleId="WW8Num730z0">
    <w:name w:val="WW8Num730z0"/>
    <w:qFormat/>
    <w:rPr/>
  </w:style>
  <w:style w:type="character" w:styleId="WW8Num731z0">
    <w:name w:val="WW8Num731z0"/>
    <w:qFormat/>
    <w:rPr/>
  </w:style>
  <w:style w:type="character" w:styleId="WW8Num732z0">
    <w:name w:val="WW8Num732z0"/>
    <w:qFormat/>
    <w:rPr>
      <w:rFonts w:ascii="Arial" w:hAnsi="Arial" w:cs="Arial"/>
      <w:b w:val="false"/>
      <w:i/>
      <w:color w:val="auto"/>
      <w:sz w:val="16"/>
      <w:u w:val="none"/>
    </w:rPr>
  </w:style>
  <w:style w:type="character" w:styleId="WW8Num733z0">
    <w:name w:val="WW8Num733z0"/>
    <w:qFormat/>
    <w:rPr>
      <w:rFonts w:ascii="Wingdings" w:hAnsi="Wingdings" w:cs="Wingdings"/>
    </w:rPr>
  </w:style>
  <w:style w:type="character" w:styleId="WW8Num734z0">
    <w:name w:val="WW8Num734z0"/>
    <w:qFormat/>
    <w:rPr/>
  </w:style>
  <w:style w:type="character" w:styleId="WW8Num735z0">
    <w:name w:val="WW8Num735z0"/>
    <w:qFormat/>
    <w:rPr>
      <w:rFonts w:ascii="Symbol" w:hAnsi="Symbol" w:cs="Symbol"/>
    </w:rPr>
  </w:style>
  <w:style w:type="character" w:styleId="WW8Num737z0">
    <w:name w:val="WW8Num737z0"/>
    <w:qFormat/>
    <w:rPr/>
  </w:style>
  <w:style w:type="character" w:styleId="WW8Num738z0">
    <w:name w:val="WW8Num738z0"/>
    <w:qFormat/>
    <w:rPr/>
  </w:style>
  <w:style w:type="character" w:styleId="WW8Num739z0">
    <w:name w:val="WW8Num739z0"/>
    <w:qFormat/>
    <w:rPr/>
  </w:style>
  <w:style w:type="character" w:styleId="WW8Num740z0">
    <w:name w:val="WW8Num740z0"/>
    <w:qFormat/>
    <w:rPr/>
  </w:style>
  <w:style w:type="character" w:styleId="WW8Num741z0">
    <w:name w:val="WW8Num741z0"/>
    <w:qFormat/>
    <w:rPr>
      <w:rFonts w:ascii="Symbol" w:hAnsi="Symbol" w:cs="Symbol"/>
    </w:rPr>
  </w:style>
  <w:style w:type="character" w:styleId="WW8Num742z0">
    <w:name w:val="WW8Num742z0"/>
    <w:qFormat/>
    <w:rPr>
      <w:rFonts w:ascii="NewspaperPi BT;Symbol" w:hAnsi="NewspaperPi BT;Symbol" w:cs="NewspaperPi BT;Symbol"/>
      <w:b w:val="false"/>
      <w:i w:val="false"/>
      <w:sz w:val="18"/>
    </w:rPr>
  </w:style>
  <w:style w:type="character" w:styleId="WW8Num743z0">
    <w:name w:val="WW8Num743z0"/>
    <w:qFormat/>
    <w:rPr>
      <w:rFonts w:ascii="Wingdings" w:hAnsi="Wingdings" w:cs="Wingdings"/>
      <w:b w:val="false"/>
      <w:i w:val="false"/>
      <w:color w:val="auto"/>
      <w:sz w:val="16"/>
      <w:u w:val="none"/>
    </w:rPr>
  </w:style>
  <w:style w:type="character" w:styleId="WW8Num744z0">
    <w:name w:val="WW8Num744z0"/>
    <w:qFormat/>
    <w:rPr/>
  </w:style>
  <w:style w:type="character" w:styleId="WW8Num745z0">
    <w:name w:val="WW8Num745z0"/>
    <w:qFormat/>
    <w:rPr>
      <w:rFonts w:ascii="Wingdings" w:hAnsi="Wingdings" w:cs="Wingdings"/>
      <w:b w:val="false"/>
      <w:i w:val="false"/>
      <w:color w:val="auto"/>
      <w:sz w:val="12"/>
      <w:u w:val="none"/>
      <w:vertAlign w:val="superscript"/>
    </w:rPr>
  </w:style>
  <w:style w:type="character" w:styleId="WW8Num747z0">
    <w:name w:val="WW8Num747z0"/>
    <w:qFormat/>
    <w:rPr/>
  </w:style>
  <w:style w:type="character" w:styleId="WW8Num748z0">
    <w:name w:val="WW8Num748z0"/>
    <w:qFormat/>
    <w:rPr>
      <w:rFonts w:ascii="Monotype Sorts" w:hAnsi="Monotype Sorts" w:cs="Monotype Sorts"/>
      <w:b w:val="false"/>
      <w:i w:val="false"/>
      <w:color w:val="008000"/>
      <w:position w:val="0"/>
      <w:sz w:val="22"/>
      <w:sz w:val="22"/>
      <w:vertAlign w:val="baseline"/>
    </w:rPr>
  </w:style>
  <w:style w:type="character" w:styleId="WW8Num751z0">
    <w:name w:val="WW8Num751z0"/>
    <w:qFormat/>
    <w:rPr/>
  </w:style>
  <w:style w:type="character" w:styleId="WW8Num753z0">
    <w:name w:val="WW8Num753z0"/>
    <w:qFormat/>
    <w:rPr/>
  </w:style>
  <w:style w:type="character" w:styleId="WW8Num755z0">
    <w:name w:val="WW8Num755z0"/>
    <w:qFormat/>
    <w:rPr>
      <w:rFonts w:ascii="Wingdings" w:hAnsi="Wingdings" w:cs="Wingdings"/>
      <w:b w:val="false"/>
      <w:i w:val="false"/>
      <w:color w:val="auto"/>
      <w:sz w:val="12"/>
      <w:u w:val="none"/>
      <w:vertAlign w:val="superscript"/>
    </w:rPr>
  </w:style>
  <w:style w:type="character" w:styleId="WW8Num758z0">
    <w:name w:val="WW8Num758z0"/>
    <w:qFormat/>
    <w:rPr>
      <w:rFonts w:ascii="Wingdings" w:hAnsi="Wingdings" w:cs="Wingdings"/>
      <w:b w:val="false"/>
      <w:i w:val="false"/>
      <w:color w:val="auto"/>
      <w:sz w:val="16"/>
      <w:u w:val="none"/>
    </w:rPr>
  </w:style>
  <w:style w:type="character" w:styleId="WW8Num759z0">
    <w:name w:val="WW8Num759z0"/>
    <w:qFormat/>
    <w:rPr>
      <w:rFonts w:ascii="Symbol" w:hAnsi="Symbol" w:cs="Symbol"/>
    </w:rPr>
  </w:style>
  <w:style w:type="character" w:styleId="WW8Num760z0">
    <w:name w:val="WW8Num760z0"/>
    <w:qFormat/>
    <w:rPr/>
  </w:style>
  <w:style w:type="character" w:styleId="WW8Num761z0">
    <w:name w:val="WW8Num761z0"/>
    <w:qFormat/>
    <w:rPr>
      <w:rFonts w:ascii="Symbol" w:hAnsi="Symbol" w:cs="Symbol"/>
    </w:rPr>
  </w:style>
  <w:style w:type="character" w:styleId="WW8Num762z0">
    <w:name w:val="WW8Num762z0"/>
    <w:qFormat/>
    <w:rPr/>
  </w:style>
  <w:style w:type="character" w:styleId="WW8Num765z0">
    <w:name w:val="WW8Num765z0"/>
    <w:qFormat/>
    <w:rPr>
      <w:rFonts w:ascii="Times New Roman" w:hAnsi="Times New Roman" w:cs="Times New Roman"/>
      <w:b/>
      <w:i w:val="false"/>
      <w:sz w:val="28"/>
    </w:rPr>
  </w:style>
  <w:style w:type="character" w:styleId="WW8Num766z0">
    <w:name w:val="WW8Num766z0"/>
    <w:qFormat/>
    <w:rPr>
      <w:rFonts w:ascii="Wingdings" w:hAnsi="Wingdings" w:cs="Wingdings"/>
    </w:rPr>
  </w:style>
  <w:style w:type="character" w:styleId="WW8Num769z0">
    <w:name w:val="WW8Num769z0"/>
    <w:qFormat/>
    <w:rPr/>
  </w:style>
  <w:style w:type="character" w:styleId="WW8Num770z0">
    <w:name w:val="WW8Num770z0"/>
    <w:qFormat/>
    <w:rPr/>
  </w:style>
  <w:style w:type="character" w:styleId="WW8Num771z0">
    <w:name w:val="WW8Num771z0"/>
    <w:qFormat/>
    <w:rPr>
      <w:rFonts w:ascii="Symbol" w:hAnsi="Symbol" w:cs="Symbol"/>
      <w:color w:val="auto"/>
    </w:rPr>
  </w:style>
  <w:style w:type="character" w:styleId="WW8Num773z0">
    <w:name w:val="WW8Num773z0"/>
    <w:qFormat/>
    <w:rPr/>
  </w:style>
  <w:style w:type="character" w:styleId="WW8Num774z0">
    <w:name w:val="WW8Num774z0"/>
    <w:qFormat/>
    <w:rPr/>
  </w:style>
  <w:style w:type="character" w:styleId="WW8Num775z0">
    <w:name w:val="WW8Num775z0"/>
    <w:qFormat/>
    <w:rPr>
      <w:rFonts w:ascii="Symbol" w:hAnsi="Symbol" w:cs="Symbol"/>
    </w:rPr>
  </w:style>
  <w:style w:type="character" w:styleId="WW8Num776z0">
    <w:name w:val="WW8Num776z0"/>
    <w:qFormat/>
    <w:rPr>
      <w:rFonts w:ascii="Symbol" w:hAnsi="Symbol" w:cs="Symbol"/>
    </w:rPr>
  </w:style>
  <w:style w:type="character" w:styleId="WW8Num778z0">
    <w:name w:val="WW8Num778z0"/>
    <w:qFormat/>
    <w:rPr>
      <w:rFonts w:ascii="Symbol" w:hAnsi="Symbol" w:cs="Symbol"/>
    </w:rPr>
  </w:style>
  <w:style w:type="character" w:styleId="WW8Num779z0">
    <w:name w:val="WW8Num779z0"/>
    <w:qFormat/>
    <w:rPr>
      <w:rFonts w:ascii="Symbol" w:hAnsi="Symbol" w:cs="Symbol"/>
    </w:rPr>
  </w:style>
  <w:style w:type="character" w:styleId="WW8Num780z0">
    <w:name w:val="WW8Num780z0"/>
    <w:qFormat/>
    <w:rPr/>
  </w:style>
  <w:style w:type="character" w:styleId="WW8Num781z0">
    <w:name w:val="WW8Num781z0"/>
    <w:qFormat/>
    <w:rPr>
      <w:rFonts w:ascii="Symbol" w:hAnsi="Symbol" w:cs="Symbol"/>
    </w:rPr>
  </w:style>
  <w:style w:type="character" w:styleId="WW8Num781z1">
    <w:name w:val="WW8Num781z1"/>
    <w:qFormat/>
    <w:rPr>
      <w:rFonts w:ascii="Courier New" w:hAnsi="Courier New" w:cs="Courier New"/>
    </w:rPr>
  </w:style>
  <w:style w:type="character" w:styleId="WW8Num781z2">
    <w:name w:val="WW8Num781z2"/>
    <w:qFormat/>
    <w:rPr>
      <w:rFonts w:ascii="Wingdings" w:hAnsi="Wingdings" w:cs="Wingdings"/>
    </w:rPr>
  </w:style>
  <w:style w:type="character" w:styleId="WW8Num782z0">
    <w:name w:val="WW8Num782z0"/>
    <w:qFormat/>
    <w:rPr>
      <w:rFonts w:ascii="Symbol" w:hAnsi="Symbol" w:cs="Symbol"/>
    </w:rPr>
  </w:style>
  <w:style w:type="character" w:styleId="WW8Num784z0">
    <w:name w:val="WW8Num784z0"/>
    <w:qFormat/>
    <w:rPr/>
  </w:style>
  <w:style w:type="character" w:styleId="WW8Num786z0">
    <w:name w:val="WW8Num786z0"/>
    <w:qFormat/>
    <w:rPr>
      <w:rFonts w:ascii="Wingdings" w:hAnsi="Wingdings" w:cs="Wingdings"/>
      <w:color w:val="auto"/>
      <w:sz w:val="20"/>
    </w:rPr>
  </w:style>
  <w:style w:type="character" w:styleId="WW8Num788z0">
    <w:name w:val="WW8Num788z0"/>
    <w:qFormat/>
    <w:rPr/>
  </w:style>
  <w:style w:type="character" w:styleId="WW8Num789z0">
    <w:name w:val="WW8Num789z0"/>
    <w:qFormat/>
    <w:rPr>
      <w:rFonts w:ascii="Symbol" w:hAnsi="Symbol" w:cs="Symbol"/>
    </w:rPr>
  </w:style>
  <w:style w:type="character" w:styleId="WW8Num790z0">
    <w:name w:val="WW8Num790z0"/>
    <w:qFormat/>
    <w:rPr>
      <w:rFonts w:ascii="Symbol" w:hAnsi="Symbol" w:cs="Symbol"/>
    </w:rPr>
  </w:style>
  <w:style w:type="character" w:styleId="WW8Num792z0">
    <w:name w:val="WW8Num792z0"/>
    <w:qFormat/>
    <w:rPr>
      <w:rFonts w:ascii="Wingdings" w:hAnsi="Wingdings" w:cs="Wingdings"/>
    </w:rPr>
  </w:style>
  <w:style w:type="character" w:styleId="WW8Num793z0">
    <w:name w:val="WW8Num793z0"/>
    <w:qFormat/>
    <w:rPr>
      <w:rFonts w:ascii="Symbol" w:hAnsi="Symbol" w:cs="Symbol"/>
      <w:vertAlign w:val="superscript"/>
    </w:rPr>
  </w:style>
  <w:style w:type="character" w:styleId="WW8Num794z0">
    <w:name w:val="WW8Num794z0"/>
    <w:qFormat/>
    <w:rPr/>
  </w:style>
  <w:style w:type="character" w:styleId="WW8Num795z0">
    <w:name w:val="WW8Num795z0"/>
    <w:qFormat/>
    <w:rPr>
      <w:rFonts w:ascii="Symbol" w:hAnsi="Symbol" w:cs="Symbol"/>
    </w:rPr>
  </w:style>
  <w:style w:type="character" w:styleId="WW8Num796z0">
    <w:name w:val="WW8Num796z0"/>
    <w:qFormat/>
    <w:rPr>
      <w:rFonts w:ascii="Symbol" w:hAnsi="Symbol" w:cs="Symbol"/>
    </w:rPr>
  </w:style>
  <w:style w:type="character" w:styleId="WW8Num797z0">
    <w:name w:val="WW8Num797z0"/>
    <w:qFormat/>
    <w:rPr>
      <w:rFonts w:ascii="Symbol" w:hAnsi="Symbol" w:cs="Symbol"/>
    </w:rPr>
  </w:style>
  <w:style w:type="character" w:styleId="WW8Num798z0">
    <w:name w:val="WW8Num798z0"/>
    <w:qFormat/>
    <w:rPr>
      <w:rFonts w:ascii="Symbol" w:hAnsi="Symbol" w:cs="Symbol"/>
    </w:rPr>
  </w:style>
  <w:style w:type="character" w:styleId="WW8Num799z0">
    <w:name w:val="WW8Num799z0"/>
    <w:qFormat/>
    <w:rPr/>
  </w:style>
  <w:style w:type="character" w:styleId="WW8Num800z0">
    <w:name w:val="WW8Num800z0"/>
    <w:qFormat/>
    <w:rPr>
      <w:rFonts w:ascii="Arial" w:hAnsi="Arial" w:cs="Arial"/>
      <w:b w:val="false"/>
      <w:i/>
      <w:color w:val="auto"/>
      <w:sz w:val="16"/>
      <w:u w:val="none"/>
    </w:rPr>
  </w:style>
  <w:style w:type="character" w:styleId="WW8Num801z0">
    <w:name w:val="WW8Num801z0"/>
    <w:qFormat/>
    <w:rPr/>
  </w:style>
  <w:style w:type="character" w:styleId="WW8Num803z0">
    <w:name w:val="WW8Num803z0"/>
    <w:qFormat/>
    <w:rPr/>
  </w:style>
  <w:style w:type="character" w:styleId="WW8Num806z0">
    <w:name w:val="WW8Num806z0"/>
    <w:qFormat/>
    <w:rPr>
      <w:rFonts w:ascii="Symbol" w:hAnsi="Symbol" w:cs="Symbol"/>
    </w:rPr>
  </w:style>
  <w:style w:type="character" w:styleId="WW8Num808z0">
    <w:name w:val="WW8Num808z0"/>
    <w:qFormat/>
    <w:rPr>
      <w:rFonts w:ascii="Wingdings" w:hAnsi="Wingdings" w:cs="Wingdings"/>
      <w:b/>
      <w:i w:val="false"/>
      <w:sz w:val="28"/>
      <w:u w:val="none"/>
    </w:rPr>
  </w:style>
  <w:style w:type="character" w:styleId="WW8Num809z0">
    <w:name w:val="WW8Num809z0"/>
    <w:qFormat/>
    <w:rPr>
      <w:rFonts w:ascii="Symbol" w:hAnsi="Symbol" w:cs="Symbol"/>
    </w:rPr>
  </w:style>
  <w:style w:type="character" w:styleId="WW8Num811z0">
    <w:name w:val="WW8Num811z0"/>
    <w:qFormat/>
    <w:rPr/>
  </w:style>
  <w:style w:type="character" w:styleId="WW8Num812z0">
    <w:name w:val="WW8Num812z0"/>
    <w:qFormat/>
    <w:rPr/>
  </w:style>
  <w:style w:type="character" w:styleId="WW8Num813z0">
    <w:name w:val="WW8Num813z0"/>
    <w:qFormat/>
    <w:rPr>
      <w:rFonts w:ascii="Monotype Sorts" w:hAnsi="Monotype Sorts" w:cs="Monotype Sorts"/>
      <w:b w:val="false"/>
      <w:i w:val="false"/>
      <w:color w:val="800000"/>
      <w:kern w:val="0"/>
      <w:position w:val="0"/>
      <w:sz w:val="22"/>
      <w:sz w:val="22"/>
      <w:vertAlign w:val="baseline"/>
    </w:rPr>
  </w:style>
  <w:style w:type="character" w:styleId="WW8Num814z0">
    <w:name w:val="WW8Num814z0"/>
    <w:qFormat/>
    <w:rPr>
      <w:rFonts w:ascii="Symbol" w:hAnsi="Symbol" w:cs="Symbol"/>
    </w:rPr>
  </w:style>
  <w:style w:type="character" w:styleId="WW8Num815z0">
    <w:name w:val="WW8Num815z0"/>
    <w:qFormat/>
    <w:rPr>
      <w:rFonts w:ascii="Symbol" w:hAnsi="Symbol" w:cs="Symbol"/>
    </w:rPr>
  </w:style>
  <w:style w:type="character" w:styleId="WW8Num816z0">
    <w:name w:val="WW8Num816z0"/>
    <w:qFormat/>
    <w:rPr/>
  </w:style>
  <w:style w:type="character" w:styleId="WW8Num818z0">
    <w:name w:val="WW8Num818z0"/>
    <w:qFormat/>
    <w:rPr/>
  </w:style>
  <w:style w:type="character" w:styleId="WW8Num819z0">
    <w:name w:val="WW8Num819z0"/>
    <w:qFormat/>
    <w:rPr>
      <w:rFonts w:ascii="Wingdings" w:hAnsi="Wingdings" w:cs="Wingdings"/>
    </w:rPr>
  </w:style>
  <w:style w:type="character" w:styleId="WW8Num819z1">
    <w:name w:val="WW8Num819z1"/>
    <w:qFormat/>
    <w:rPr>
      <w:rFonts w:ascii="Courier New" w:hAnsi="Courier New" w:cs="Courier New"/>
    </w:rPr>
  </w:style>
  <w:style w:type="character" w:styleId="WW8Num819z3">
    <w:name w:val="WW8Num819z3"/>
    <w:qFormat/>
    <w:rPr>
      <w:rFonts w:ascii="Symbol" w:hAnsi="Symbol" w:cs="Symbol"/>
    </w:rPr>
  </w:style>
  <w:style w:type="character" w:styleId="WW8Num820z0">
    <w:name w:val="WW8Num820z0"/>
    <w:qFormat/>
    <w:rPr/>
  </w:style>
  <w:style w:type="character" w:styleId="WW8Num821z0">
    <w:name w:val="WW8Num821z0"/>
    <w:qFormat/>
    <w:rPr/>
  </w:style>
  <w:style w:type="character" w:styleId="WW8Num822z0">
    <w:name w:val="WW8Num822z0"/>
    <w:qFormat/>
    <w:rPr>
      <w:rFonts w:ascii="Wingdings" w:hAnsi="Wingdings" w:cs="Wingdings"/>
    </w:rPr>
  </w:style>
  <w:style w:type="character" w:styleId="WW8Num822z1">
    <w:name w:val="WW8Num822z1"/>
    <w:qFormat/>
    <w:rPr>
      <w:rFonts w:ascii="Courier New" w:hAnsi="Courier New" w:cs="Courier New"/>
    </w:rPr>
  </w:style>
  <w:style w:type="character" w:styleId="WW8Num822z3">
    <w:name w:val="WW8Num822z3"/>
    <w:qFormat/>
    <w:rPr>
      <w:rFonts w:ascii="Symbol" w:hAnsi="Symbol" w:cs="Symbol"/>
    </w:rPr>
  </w:style>
  <w:style w:type="character" w:styleId="WW8Num823z0">
    <w:name w:val="WW8Num823z0"/>
    <w:qFormat/>
    <w:rPr>
      <w:rFonts w:ascii="NewspaperPi BT;Symbol" w:hAnsi="NewspaperPi BT;Symbol" w:cs="NewspaperPi BT;Symbol"/>
      <w:b w:val="false"/>
      <w:i w:val="false"/>
      <w:sz w:val="18"/>
    </w:rPr>
  </w:style>
  <w:style w:type="character" w:styleId="WW8Num824z0">
    <w:name w:val="WW8Num824z0"/>
    <w:qFormat/>
    <w:rPr>
      <w:rFonts w:ascii="Wingdings" w:hAnsi="Wingdings" w:cs="Wingdings"/>
      <w:b w:val="false"/>
      <w:i w:val="false"/>
      <w:color w:val="auto"/>
      <w:sz w:val="28"/>
    </w:rPr>
  </w:style>
  <w:style w:type="character" w:styleId="WW8Num825z0">
    <w:name w:val="WW8Num825z0"/>
    <w:qFormat/>
    <w:rPr/>
  </w:style>
  <w:style w:type="character" w:styleId="WW8Num826z0">
    <w:name w:val="WW8Num826z0"/>
    <w:qFormat/>
    <w:rPr>
      <w:rFonts w:ascii="Symbol" w:hAnsi="Symbol" w:cs="Symbol"/>
    </w:rPr>
  </w:style>
  <w:style w:type="character" w:styleId="WW8Num830z0">
    <w:name w:val="WW8Num830z0"/>
    <w:qFormat/>
    <w:rPr>
      <w:rFonts w:ascii="Symbol" w:hAnsi="Symbol" w:cs="Symbol"/>
    </w:rPr>
  </w:style>
  <w:style w:type="character" w:styleId="WW8Num831z0">
    <w:name w:val="WW8Num831z0"/>
    <w:qFormat/>
    <w:rPr/>
  </w:style>
  <w:style w:type="character" w:styleId="WW8Num832z0">
    <w:name w:val="WW8Num832z0"/>
    <w:qFormat/>
    <w:rPr/>
  </w:style>
  <w:style w:type="character" w:styleId="WW8Num834z0">
    <w:name w:val="WW8Num834z0"/>
    <w:qFormat/>
    <w:rPr>
      <w:rFonts w:ascii="Wingdings" w:hAnsi="Wingdings" w:cs="Wingdings"/>
      <w:color w:val="auto"/>
      <w:sz w:val="20"/>
    </w:rPr>
  </w:style>
  <w:style w:type="character" w:styleId="WW8Num835z0">
    <w:name w:val="WW8Num835z0"/>
    <w:qFormat/>
    <w:rPr>
      <w:rFonts w:ascii="Symbol" w:hAnsi="Symbol" w:cs="Symbol"/>
    </w:rPr>
  </w:style>
  <w:style w:type="character" w:styleId="WW8Num836z0">
    <w:name w:val="WW8Num836z0"/>
    <w:qFormat/>
    <w:rPr>
      <w:rFonts w:ascii="Symbol" w:hAnsi="Symbol" w:cs="Symbol"/>
    </w:rPr>
  </w:style>
  <w:style w:type="character" w:styleId="WW8Num837z0">
    <w:name w:val="WW8Num837z0"/>
    <w:qFormat/>
    <w:rPr>
      <w:rFonts w:ascii="Symbol" w:hAnsi="Symbol" w:cs="Symbol"/>
    </w:rPr>
  </w:style>
  <w:style w:type="character" w:styleId="WW8Num838z0">
    <w:name w:val="WW8Num838z0"/>
    <w:qFormat/>
    <w:rPr/>
  </w:style>
  <w:style w:type="character" w:styleId="WW8Num839z0">
    <w:name w:val="WW8Num839z0"/>
    <w:qFormat/>
    <w:rPr>
      <w:caps w:val="false"/>
      <w:smallCaps w:val="false"/>
      <w:strike w:val="false"/>
      <w:dstrike w:val="false"/>
      <w:outline w:val="false"/>
      <w:shadow w:val="false"/>
      <w:vanish w:val="false"/>
      <w:color w:val="000000"/>
      <w:kern w:val="0"/>
      <w:position w:val="0"/>
      <w:sz w:val="24"/>
      <w:vertAlign w:val="baseline"/>
    </w:rPr>
  </w:style>
  <w:style w:type="character" w:styleId="WW8Num841z0">
    <w:name w:val="WW8Num841z0"/>
    <w:qFormat/>
    <w:rPr>
      <w:rFonts w:ascii="Symbol" w:hAnsi="Symbol" w:cs="Symbol"/>
      <w:color w:val="auto"/>
    </w:rPr>
  </w:style>
  <w:style w:type="character" w:styleId="WW8Num841z1">
    <w:name w:val="WW8Num841z1"/>
    <w:qFormat/>
    <w:rPr>
      <w:rFonts w:ascii="Courier New" w:hAnsi="Courier New" w:cs="Courier New"/>
    </w:rPr>
  </w:style>
  <w:style w:type="character" w:styleId="WW8Num841z2">
    <w:name w:val="WW8Num841z2"/>
    <w:qFormat/>
    <w:rPr>
      <w:rFonts w:ascii="Wingdings" w:hAnsi="Wingdings" w:cs="Wingdings"/>
    </w:rPr>
  </w:style>
  <w:style w:type="character" w:styleId="WW8Num841z3">
    <w:name w:val="WW8Num841z3"/>
    <w:qFormat/>
    <w:rPr>
      <w:rFonts w:ascii="Symbol" w:hAnsi="Symbol" w:cs="Symbol"/>
    </w:rPr>
  </w:style>
  <w:style w:type="character" w:styleId="WW8Num842z0">
    <w:name w:val="WW8Num842z0"/>
    <w:qFormat/>
    <w:rPr>
      <w:rFonts w:ascii="Wingdings" w:hAnsi="Wingdings" w:cs="Wingdings"/>
    </w:rPr>
  </w:style>
  <w:style w:type="character" w:styleId="WW8Num843z0">
    <w:name w:val="WW8Num843z0"/>
    <w:qFormat/>
    <w:rPr/>
  </w:style>
  <w:style w:type="character" w:styleId="WW8Num844z0">
    <w:name w:val="WW8Num844z0"/>
    <w:qFormat/>
    <w:rPr>
      <w:rFonts w:ascii="Wingdings" w:hAnsi="Wingdings" w:cs="Wingdings"/>
    </w:rPr>
  </w:style>
  <w:style w:type="character" w:styleId="WW8Num844z1">
    <w:name w:val="WW8Num844z1"/>
    <w:qFormat/>
    <w:rPr>
      <w:rFonts w:ascii="Courier New" w:hAnsi="Courier New" w:cs="Courier New"/>
    </w:rPr>
  </w:style>
  <w:style w:type="character" w:styleId="WW8Num844z3">
    <w:name w:val="WW8Num844z3"/>
    <w:qFormat/>
    <w:rPr>
      <w:rFonts w:ascii="Symbol" w:hAnsi="Symbol" w:cs="Symbol"/>
    </w:rPr>
  </w:style>
  <w:style w:type="character" w:styleId="WW8Num846z0">
    <w:name w:val="WW8Num846z0"/>
    <w:qFormat/>
    <w:rPr>
      <w:rFonts w:ascii="Wingdings" w:hAnsi="Wingdings" w:cs="Wingdings"/>
      <w:b w:val="false"/>
      <w:i w:val="false"/>
      <w:color w:val="auto"/>
      <w:sz w:val="16"/>
      <w:u w:val="none"/>
    </w:rPr>
  </w:style>
  <w:style w:type="character" w:styleId="WW8Num849z0">
    <w:name w:val="WW8Num849z0"/>
    <w:qFormat/>
    <w:rPr>
      <w:rFonts w:ascii="NewspaperPi BT;Symbol" w:hAnsi="NewspaperPi BT;Symbol" w:cs="NewspaperPi BT;Symbol"/>
      <w:b w:val="false"/>
      <w:i w:val="false"/>
      <w:sz w:val="18"/>
    </w:rPr>
  </w:style>
  <w:style w:type="character" w:styleId="WW8Num851z0">
    <w:name w:val="WW8Num851z0"/>
    <w:qFormat/>
    <w:rPr>
      <w:b/>
    </w:rPr>
  </w:style>
  <w:style w:type="character" w:styleId="WW8Num853z0">
    <w:name w:val="WW8Num853z0"/>
    <w:qFormat/>
    <w:rPr/>
  </w:style>
  <w:style w:type="character" w:styleId="WW8Num854z0">
    <w:name w:val="WW8Num854z0"/>
    <w:qFormat/>
    <w:rPr>
      <w:rFonts w:ascii="Symbol" w:hAnsi="Symbol" w:cs="Symbol"/>
    </w:rPr>
  </w:style>
  <w:style w:type="character" w:styleId="WW8Num855z0">
    <w:name w:val="WW8Num855z0"/>
    <w:qFormat/>
    <w:rPr>
      <w:rFonts w:ascii="Symbol" w:hAnsi="Symbol" w:cs="Symbol"/>
    </w:rPr>
  </w:style>
  <w:style w:type="character" w:styleId="WW8Num856z0">
    <w:name w:val="WW8Num856z0"/>
    <w:qFormat/>
    <w:rPr/>
  </w:style>
  <w:style w:type="character" w:styleId="WW8Num857z0">
    <w:name w:val="WW8Num857z0"/>
    <w:qFormat/>
    <w:rPr>
      <w:rFonts w:ascii="Symbol" w:hAnsi="Symbol" w:cs="Symbol"/>
      <w:color w:val="auto"/>
    </w:rPr>
  </w:style>
  <w:style w:type="character" w:styleId="WW8Num859z0">
    <w:name w:val="WW8Num859z0"/>
    <w:qFormat/>
    <w:rPr>
      <w:rFonts w:ascii="Wingdings" w:hAnsi="Wingdings" w:cs="Wingdings"/>
      <w:b w:val="false"/>
      <w:i w:val="false"/>
      <w:color w:val="auto"/>
      <w:sz w:val="10"/>
      <w:u w:val="none"/>
      <w:vertAlign w:val="superscript"/>
    </w:rPr>
  </w:style>
  <w:style w:type="character" w:styleId="WW8Num862z0">
    <w:name w:val="WW8Num862z0"/>
    <w:qFormat/>
    <w:rPr>
      <w:rFonts w:ascii="Symbol" w:hAnsi="Symbol" w:cs="Symbol"/>
      <w:color w:val="008000"/>
    </w:rPr>
  </w:style>
  <w:style w:type="character" w:styleId="WW8Num863z0">
    <w:name w:val="WW8Num863z0"/>
    <w:qFormat/>
    <w:rPr>
      <w:rFonts w:ascii="Wingdings" w:hAnsi="Wingdings" w:cs="Wingdings"/>
      <w:b/>
      <w:i/>
      <w:sz w:val="24"/>
    </w:rPr>
  </w:style>
  <w:style w:type="character" w:styleId="WW8Num864z0">
    <w:name w:val="WW8Num864z0"/>
    <w:qFormat/>
    <w:rPr>
      <w:rFonts w:ascii="NewspaperPi BT;Symbol" w:hAnsi="NewspaperPi BT;Symbol" w:cs="NewspaperPi BT;Symbol"/>
      <w:b w:val="false"/>
      <w:i w:val="false"/>
      <w:sz w:val="18"/>
    </w:rPr>
  </w:style>
  <w:style w:type="character" w:styleId="WW8Num866z0">
    <w:name w:val="WW8Num866z0"/>
    <w:qFormat/>
    <w:rPr>
      <w:rFonts w:ascii="Symbol" w:hAnsi="Symbol" w:cs="Symbol"/>
    </w:rPr>
  </w:style>
  <w:style w:type="character" w:styleId="WW8Num867z0">
    <w:name w:val="WW8Num867z0"/>
    <w:qFormat/>
    <w:rPr>
      <w:rFonts w:ascii="Wingdings" w:hAnsi="Wingdings" w:cs="Wingdings"/>
      <w:b/>
      <w:i w:val="false"/>
      <w:caps w:val="false"/>
      <w:smallCaps w:val="false"/>
      <w:strike w:val="false"/>
      <w:dstrike w:val="false"/>
      <w:outline w:val="false"/>
      <w:shadow w:val="false"/>
      <w:vanish w:val="false"/>
      <w:color w:val="auto"/>
      <w:kern w:val="0"/>
      <w:position w:val="0"/>
      <w:sz w:val="24"/>
      <w:sz w:val="24"/>
      <w:u w:val="none"/>
      <w:vertAlign w:val="baseline"/>
    </w:rPr>
  </w:style>
  <w:style w:type="character" w:styleId="WW8Num868z0">
    <w:name w:val="WW8Num868z0"/>
    <w:qFormat/>
    <w:rPr>
      <w:rFonts w:ascii="Symbol" w:hAnsi="Symbol" w:cs="Symbol"/>
    </w:rPr>
  </w:style>
  <w:style w:type="character" w:styleId="WW8Num869z0">
    <w:name w:val="WW8Num869z0"/>
    <w:qFormat/>
    <w:rPr>
      <w:rFonts w:ascii="Wingdings" w:hAnsi="Wingdings" w:cs="Wingdings"/>
      <w:b w:val="false"/>
      <w:i w:val="false"/>
      <w:color w:val="auto"/>
      <w:sz w:val="28"/>
      <w:u w:val="none"/>
      <w:vertAlign w:val="superscript"/>
    </w:rPr>
  </w:style>
  <w:style w:type="character" w:styleId="WW8Num870z0">
    <w:name w:val="WW8Num870z0"/>
    <w:qFormat/>
    <w:rPr>
      <w:rFonts w:ascii="Arial" w:hAnsi="Arial" w:cs="Arial"/>
      <w:b w:val="false"/>
      <w:i w:val="false"/>
      <w:color w:val="auto"/>
      <w:sz w:val="16"/>
      <w:u w:val="none"/>
    </w:rPr>
  </w:style>
  <w:style w:type="character" w:styleId="WW8Num871z0">
    <w:name w:val="WW8Num871z0"/>
    <w:qFormat/>
    <w:rPr>
      <w:rFonts w:ascii="Symbol" w:hAnsi="Symbol" w:cs="Symbol"/>
    </w:rPr>
  </w:style>
  <w:style w:type="character" w:styleId="WW8Num872z0">
    <w:name w:val="WW8Num872z0"/>
    <w:qFormat/>
    <w:rPr>
      <w:rFonts w:ascii="Wingdings" w:hAnsi="Wingdings" w:cs="Wingdings"/>
      <w:b/>
      <w:i/>
      <w:sz w:val="24"/>
    </w:rPr>
  </w:style>
  <w:style w:type="character" w:styleId="WW8Num873z0">
    <w:name w:val="WW8Num873z0"/>
    <w:qFormat/>
    <w:rPr/>
  </w:style>
  <w:style w:type="character" w:styleId="WW8Num874z0">
    <w:name w:val="WW8Num874z0"/>
    <w:qFormat/>
    <w:rPr/>
  </w:style>
  <w:style w:type="character" w:styleId="WW8Num875z0">
    <w:name w:val="WW8Num875z0"/>
    <w:qFormat/>
    <w:rPr/>
  </w:style>
  <w:style w:type="character" w:styleId="WW8Num876z0">
    <w:name w:val="WW8Num876z0"/>
    <w:qFormat/>
    <w:rPr>
      <w:rFonts w:ascii="Symbol" w:hAnsi="Symbol" w:cs="Symbol"/>
    </w:rPr>
  </w:style>
  <w:style w:type="character" w:styleId="WW8Num877z0">
    <w:name w:val="WW8Num877z0"/>
    <w:qFormat/>
    <w:rPr>
      <w:rFonts w:ascii="Symbol" w:hAnsi="Symbol" w:cs="Symbol"/>
    </w:rPr>
  </w:style>
  <w:style w:type="character" w:styleId="WW8Num877z1">
    <w:name w:val="WW8Num877z1"/>
    <w:qFormat/>
    <w:rPr>
      <w:rFonts w:ascii="Courier New" w:hAnsi="Courier New" w:cs="Courier New"/>
    </w:rPr>
  </w:style>
  <w:style w:type="character" w:styleId="WW8Num877z2">
    <w:name w:val="WW8Num877z2"/>
    <w:qFormat/>
    <w:rPr>
      <w:rFonts w:ascii="Wingdings" w:hAnsi="Wingdings" w:cs="Wingdings"/>
    </w:rPr>
  </w:style>
  <w:style w:type="character" w:styleId="WW8Num879z0">
    <w:name w:val="WW8Num879z0"/>
    <w:qFormat/>
    <w:rPr>
      <w:rFonts w:ascii="Symbol" w:hAnsi="Symbol" w:cs="Symbol"/>
    </w:rPr>
  </w:style>
  <w:style w:type="character" w:styleId="WW8Num880z0">
    <w:name w:val="WW8Num880z0"/>
    <w:qFormat/>
    <w:rPr>
      <w:rFonts w:ascii="Symbol" w:hAnsi="Symbol" w:cs="Symbol"/>
    </w:rPr>
  </w:style>
  <w:style w:type="character" w:styleId="WW8Num881z0">
    <w:name w:val="WW8Num881z0"/>
    <w:qFormat/>
    <w:rPr>
      <w:rFonts w:ascii="Symbol" w:hAnsi="Symbol" w:cs="Symbol"/>
    </w:rPr>
  </w:style>
  <w:style w:type="character" w:styleId="WW8Num883z0">
    <w:name w:val="WW8Num883z0"/>
    <w:qFormat/>
    <w:rPr>
      <w:rFonts w:ascii="NewspaperPi BT;Symbol" w:hAnsi="NewspaperPi BT;Symbol" w:cs="NewspaperPi BT;Symbol"/>
      <w:b w:val="false"/>
      <w:i w:val="false"/>
      <w:sz w:val="18"/>
    </w:rPr>
  </w:style>
  <w:style w:type="character" w:styleId="WW8Num884z0">
    <w:name w:val="WW8Num884z0"/>
    <w:qFormat/>
    <w:rPr>
      <w:rFonts w:ascii="Symbol" w:hAnsi="Symbol" w:cs="Symbol"/>
    </w:rPr>
  </w:style>
  <w:style w:type="character" w:styleId="WW8Num885z0">
    <w:name w:val="WW8Num885z0"/>
    <w:qFormat/>
    <w:rPr>
      <w:rFonts w:ascii="Symbol" w:hAnsi="Symbol" w:cs="Symbol"/>
    </w:rPr>
  </w:style>
  <w:style w:type="character" w:styleId="WW8Num887z0">
    <w:name w:val="WW8Num887z0"/>
    <w:qFormat/>
    <w:rPr>
      <w:rFonts w:ascii="Symbol" w:hAnsi="Symbol" w:cs="Symbol"/>
    </w:rPr>
  </w:style>
  <w:style w:type="character" w:styleId="WW8Num888z0">
    <w:name w:val="WW8Num888z0"/>
    <w:qFormat/>
    <w:rPr/>
  </w:style>
  <w:style w:type="character" w:styleId="WW8Num889z0">
    <w:name w:val="WW8Num889z0"/>
    <w:qFormat/>
    <w:rPr>
      <w:rFonts w:ascii="Wingdings" w:hAnsi="Wingdings" w:cs="Wingdings"/>
      <w:sz w:val="20"/>
    </w:rPr>
  </w:style>
  <w:style w:type="character" w:styleId="WW8Num891z0">
    <w:name w:val="WW8Num891z0"/>
    <w:qFormat/>
    <w:rPr>
      <w:rFonts w:ascii="Wingdings" w:hAnsi="Wingdings" w:cs="Wingdings"/>
      <w:b/>
      <w:i/>
      <w:sz w:val="24"/>
    </w:rPr>
  </w:style>
  <w:style w:type="character" w:styleId="WW8Num892z0">
    <w:name w:val="WW8Num892z0"/>
    <w:qFormat/>
    <w:rPr>
      <w:rFonts w:ascii="Symbol" w:hAnsi="Symbol" w:cs="Symbol"/>
      <w:u w:val="none"/>
      <w:vertAlign w:val="superscript"/>
    </w:rPr>
  </w:style>
  <w:style w:type="character" w:styleId="WW8Num893z0">
    <w:name w:val="WW8Num893z0"/>
    <w:qFormat/>
    <w:rPr/>
  </w:style>
  <w:style w:type="character" w:styleId="WW8Num895z0">
    <w:name w:val="WW8Num895z0"/>
    <w:qFormat/>
    <w:rPr/>
  </w:style>
  <w:style w:type="character" w:styleId="WW8Num897z0">
    <w:name w:val="WW8Num897z0"/>
    <w:qFormat/>
    <w:rPr>
      <w:rFonts w:ascii="Symbol" w:hAnsi="Symbol" w:cs="Symbol"/>
      <w:color w:val="auto"/>
      <w:sz w:val="28"/>
    </w:rPr>
  </w:style>
  <w:style w:type="character" w:styleId="WW8Num898z0">
    <w:name w:val="WW8Num898z0"/>
    <w:qFormat/>
    <w:rPr>
      <w:rFonts w:ascii="Times New Roman" w:hAnsi="Times New Roman" w:cs="Times New Roman"/>
      <w:b/>
      <w:i w:val="false"/>
      <w:sz w:val="24"/>
    </w:rPr>
  </w:style>
  <w:style w:type="character" w:styleId="WW8Num899z0">
    <w:name w:val="WW8Num899z0"/>
    <w:qFormat/>
    <w:rPr>
      <w:rFonts w:ascii="Symbol" w:hAnsi="Symbol" w:cs="Symbol"/>
    </w:rPr>
  </w:style>
  <w:style w:type="character" w:styleId="WW8Num900z0">
    <w:name w:val="WW8Num900z0"/>
    <w:qFormat/>
    <w:rPr>
      <w:rFonts w:ascii="Wingdings" w:hAnsi="Wingdings" w:cs="Wingdings"/>
      <w:sz w:val="16"/>
    </w:rPr>
  </w:style>
  <w:style w:type="character" w:styleId="WW8Num901z0">
    <w:name w:val="WW8Num901z0"/>
    <w:qFormat/>
    <w:rPr/>
  </w:style>
  <w:style w:type="character" w:styleId="WW8Num901z2">
    <w:name w:val="WW8Num901z2"/>
    <w:qFormat/>
    <w:rPr>
      <w:b/>
      <w:i w:val="false"/>
    </w:rPr>
  </w:style>
  <w:style w:type="character" w:styleId="WW8Num902z0">
    <w:name w:val="WW8Num902z0"/>
    <w:qFormat/>
    <w:rPr>
      <w:rFonts w:ascii="Symbol" w:hAnsi="Symbol" w:cs="Symbol"/>
    </w:rPr>
  </w:style>
  <w:style w:type="character" w:styleId="WW8Num903z0">
    <w:name w:val="WW8Num903z0"/>
    <w:qFormat/>
    <w:rPr>
      <w:rFonts w:ascii="Wingdings" w:hAnsi="Wingdings" w:cs="Wingdings"/>
      <w:b/>
      <w:i/>
      <w:sz w:val="24"/>
    </w:rPr>
  </w:style>
  <w:style w:type="character" w:styleId="WW8Num904z0">
    <w:name w:val="WW8Num904z0"/>
    <w:qFormat/>
    <w:rPr>
      <w:rFonts w:ascii="Symbol" w:hAnsi="Symbol" w:cs="Symbol"/>
    </w:rPr>
  </w:style>
  <w:style w:type="character" w:styleId="WW8Num905z0">
    <w:name w:val="WW8Num905z0"/>
    <w:qFormat/>
    <w:rPr>
      <w:rFonts w:ascii="Symbol" w:hAnsi="Symbol" w:cs="Symbol"/>
    </w:rPr>
  </w:style>
  <w:style w:type="character" w:styleId="WW8Num906z0">
    <w:name w:val="WW8Num906z0"/>
    <w:qFormat/>
    <w:rPr>
      <w:rFonts w:ascii="Times New Roman" w:hAnsi="Times New Roman" w:cs="Times New Roman"/>
      <w:b/>
      <w:i w:val="false"/>
      <w:caps w:val="false"/>
      <w:smallCaps w:val="false"/>
      <w:strike w:val="false"/>
      <w:dstrike w:val="false"/>
      <w:outline w:val="false"/>
      <w:shadow w:val="false"/>
      <w:vanish w:val="false"/>
      <w:color w:val="auto"/>
      <w:position w:val="0"/>
      <w:sz w:val="28"/>
      <w:sz w:val="28"/>
      <w:vertAlign w:val="baseline"/>
    </w:rPr>
  </w:style>
  <w:style w:type="character" w:styleId="WW8Num906z1">
    <w:name w:val="WW8Num906z1"/>
    <w:qFormat/>
    <w:rPr>
      <w:rFonts w:ascii="Times New Roman" w:hAnsi="Times New Roman" w:cs="Times New Roman"/>
      <w:b/>
      <w:i w:val="false"/>
      <w:caps w:val="false"/>
      <w:smallCaps w:val="false"/>
      <w:strike w:val="false"/>
      <w:dstrike w:val="false"/>
      <w:outline w:val="false"/>
      <w:shadow w:val="false"/>
      <w:vanish w:val="false"/>
      <w:color w:val="auto"/>
      <w:position w:val="0"/>
      <w:sz w:val="24"/>
      <w:sz w:val="24"/>
      <w:vertAlign w:val="baseline"/>
    </w:rPr>
  </w:style>
  <w:style w:type="character" w:styleId="WW8Num906z2">
    <w:name w:val="WW8Num906z2"/>
    <w:qFormat/>
    <w:rPr>
      <w:rFonts w:ascii="Times New Roman" w:hAnsi="Times New Roman" w:cs="Times New Roman"/>
      <w:b/>
      <w:i w:val="false"/>
      <w:caps w:val="false"/>
      <w:smallCaps w:val="false"/>
      <w:strike w:val="false"/>
      <w:dstrike w:val="false"/>
      <w:outline w:val="false"/>
      <w:shadow w:val="false"/>
      <w:vanish w:val="false"/>
      <w:color w:val="auto"/>
      <w:position w:val="0"/>
      <w:sz w:val="22"/>
      <w:sz w:val="22"/>
      <w:vertAlign w:val="baseline"/>
    </w:rPr>
  </w:style>
  <w:style w:type="character" w:styleId="WW8Num906z3">
    <w:name w:val="WW8Num906z3"/>
    <w:qFormat/>
    <w:rPr>
      <w:rFonts w:ascii="Times New Roman" w:hAnsi="Times New Roman" w:cs="Times New Roman"/>
      <w:b/>
      <w:i/>
      <w:caps w:val="false"/>
      <w:smallCaps w:val="false"/>
      <w:strike w:val="false"/>
      <w:dstrike w:val="false"/>
      <w:outline w:val="false"/>
      <w:shadow w:val="false"/>
      <w:vanish w:val="false"/>
      <w:color w:val="auto"/>
      <w:position w:val="0"/>
      <w:sz w:val="22"/>
      <w:sz w:val="22"/>
      <w:vertAlign w:val="baseline"/>
    </w:rPr>
  </w:style>
  <w:style w:type="character" w:styleId="WW8Num906z4">
    <w:name w:val="WW8Num906z4"/>
    <w:qFormat/>
    <w:rPr>
      <w:b w:val="false"/>
      <w:i w:val="false"/>
      <w:sz w:val="22"/>
    </w:rPr>
  </w:style>
  <w:style w:type="character" w:styleId="WW8Num906z5">
    <w:name w:val="WW8Num906z5"/>
    <w:qFormat/>
    <w:rPr>
      <w:b w:val="false"/>
      <w:i/>
      <w:caps w:val="false"/>
      <w:smallCaps w:val="false"/>
      <w:strike w:val="false"/>
      <w:dstrike w:val="false"/>
      <w:shadow w:val="false"/>
      <w:vanish w:val="false"/>
      <w:color w:val="auto"/>
      <w:position w:val="0"/>
      <w:sz w:val="22"/>
      <w:sz w:val="22"/>
      <w:vertAlign w:val="baseline"/>
    </w:rPr>
  </w:style>
  <w:style w:type="character" w:styleId="WW8Num908z0">
    <w:name w:val="WW8Num908z0"/>
    <w:qFormat/>
    <w:rPr/>
  </w:style>
  <w:style w:type="character" w:styleId="WW8Num909z0">
    <w:name w:val="WW8Num909z0"/>
    <w:qFormat/>
    <w:rPr>
      <w:rFonts w:ascii="Symbol" w:hAnsi="Symbol" w:cs="Symbol"/>
    </w:rPr>
  </w:style>
  <w:style w:type="character" w:styleId="WW8Num910z0">
    <w:name w:val="WW8Num910z0"/>
    <w:qFormat/>
    <w:rPr>
      <w:b/>
    </w:rPr>
  </w:style>
  <w:style w:type="character" w:styleId="WW8Num911z0">
    <w:name w:val="WW8Num911z0"/>
    <w:qFormat/>
    <w:rPr>
      <w:rFonts w:ascii="Wingdings" w:hAnsi="Wingdings" w:cs="Wingdings"/>
      <w:b w:val="false"/>
      <w:i w:val="false"/>
      <w:color w:val="000000"/>
      <w:kern w:val="0"/>
      <w:position w:val="0"/>
      <w:sz w:val="10"/>
      <w:sz w:val="10"/>
      <w:u w:val="none"/>
      <w:vertAlign w:val="baseline"/>
    </w:rPr>
  </w:style>
  <w:style w:type="character" w:styleId="WW8Num911z1">
    <w:name w:val="WW8Num911z1"/>
    <w:qFormat/>
    <w:rPr>
      <w:rFonts w:ascii="Courier New" w:hAnsi="Courier New" w:cs="Courier New"/>
    </w:rPr>
  </w:style>
  <w:style w:type="character" w:styleId="WW8Num911z2">
    <w:name w:val="WW8Num911z2"/>
    <w:qFormat/>
    <w:rPr>
      <w:rFonts w:ascii="Wingdings" w:hAnsi="Wingdings" w:cs="Wingdings"/>
    </w:rPr>
  </w:style>
  <w:style w:type="character" w:styleId="WW8Num911z3">
    <w:name w:val="WW8Num911z3"/>
    <w:qFormat/>
    <w:rPr>
      <w:rFonts w:ascii="Symbol" w:hAnsi="Symbol" w:cs="Symbol"/>
    </w:rPr>
  </w:style>
  <w:style w:type="character" w:styleId="WW8Num914z0">
    <w:name w:val="WW8Num914z0"/>
    <w:qFormat/>
    <w:rPr>
      <w:rFonts w:ascii="Wingdings" w:hAnsi="Wingdings" w:cs="Wingdings"/>
      <w:b/>
      <w:i/>
      <w:sz w:val="24"/>
    </w:rPr>
  </w:style>
  <w:style w:type="character" w:styleId="WW8Num915z0">
    <w:name w:val="WW8Num915z0"/>
    <w:qFormat/>
    <w:rPr/>
  </w:style>
  <w:style w:type="character" w:styleId="WW8Num916z0">
    <w:name w:val="WW8Num916z0"/>
    <w:qFormat/>
    <w:rPr>
      <w:rFonts w:ascii="Symbol" w:hAnsi="Symbol" w:cs="Symbol"/>
    </w:rPr>
  </w:style>
  <w:style w:type="character" w:styleId="WW8Num918z0">
    <w:name w:val="WW8Num918z0"/>
    <w:qFormat/>
    <w:rPr>
      <w:rFonts w:ascii="Symbol" w:hAnsi="Symbol" w:cs="Symbol"/>
    </w:rPr>
  </w:style>
  <w:style w:type="character" w:styleId="WW8Num919z0">
    <w:name w:val="WW8Num919z0"/>
    <w:qFormat/>
    <w:rPr>
      <w:rFonts w:ascii="Wingdings" w:hAnsi="Wingdings" w:cs="Wingdings"/>
    </w:rPr>
  </w:style>
  <w:style w:type="character" w:styleId="WW8Num920z0">
    <w:name w:val="WW8Num920z0"/>
    <w:qFormat/>
    <w:rPr>
      <w:rFonts w:ascii="Symbol" w:hAnsi="Symbol" w:cs="Symbol"/>
      <w:color w:val="auto"/>
      <w:sz w:val="24"/>
    </w:rPr>
  </w:style>
  <w:style w:type="character" w:styleId="WW8Num921z0">
    <w:name w:val="WW8Num921z0"/>
    <w:qFormat/>
    <w:rPr>
      <w:rFonts w:ascii="Symbol" w:hAnsi="Symbol" w:cs="Symbol"/>
    </w:rPr>
  </w:style>
  <w:style w:type="character" w:styleId="WW8Num922z0">
    <w:name w:val="WW8Num922z0"/>
    <w:qFormat/>
    <w:rPr>
      <w:rFonts w:ascii="Symbol" w:hAnsi="Symbol" w:cs="Symbol"/>
    </w:rPr>
  </w:style>
  <w:style w:type="character" w:styleId="WW8Num923z0">
    <w:name w:val="WW8Num923z0"/>
    <w:qFormat/>
    <w:rPr>
      <w:rFonts w:ascii="Wingdings" w:hAnsi="Wingdings" w:cs="Wingdings"/>
      <w:color w:val="auto"/>
      <w:sz w:val="20"/>
    </w:rPr>
  </w:style>
  <w:style w:type="character" w:styleId="WW8Num925z0">
    <w:name w:val="WW8Num925z0"/>
    <w:qFormat/>
    <w:rPr>
      <w:rFonts w:ascii="Wingdings" w:hAnsi="Wingdings" w:cs="Wingdings"/>
      <w:b/>
      <w:i/>
      <w:sz w:val="24"/>
    </w:rPr>
  </w:style>
  <w:style w:type="character" w:styleId="WW8Num928z0">
    <w:name w:val="WW8Num928z0"/>
    <w:qFormat/>
    <w:rPr>
      <w:rFonts w:ascii="Symbol" w:hAnsi="Symbol" w:cs="Symbol"/>
    </w:rPr>
  </w:style>
  <w:style w:type="character" w:styleId="WW8Num929z0">
    <w:name w:val="WW8Num929z0"/>
    <w:qFormat/>
    <w:rPr>
      <w:rFonts w:ascii="Times New Roman" w:hAnsi="Times New Roman" w:cs="Times New Roman"/>
      <w:b w:val="false"/>
      <w:i w:val="false"/>
      <w:color w:val="auto"/>
      <w:kern w:val="0"/>
      <w:position w:val="0"/>
      <w:sz w:val="24"/>
      <w:u w:val="none"/>
      <w:vertAlign w:val="baseline"/>
    </w:rPr>
  </w:style>
  <w:style w:type="character" w:styleId="WW8Num930z0">
    <w:name w:val="WW8Num930z0"/>
    <w:qFormat/>
    <w:rPr/>
  </w:style>
  <w:style w:type="character" w:styleId="WW8Num931z0">
    <w:name w:val="WW8Num931z0"/>
    <w:qFormat/>
    <w:rPr>
      <w:rFonts w:ascii="Symbol" w:hAnsi="Symbol" w:cs="Symbol"/>
    </w:rPr>
  </w:style>
  <w:style w:type="character" w:styleId="WW8Num932z0">
    <w:name w:val="WW8Num932z0"/>
    <w:qFormat/>
    <w:rPr>
      <w:rFonts w:ascii="Symbol" w:hAnsi="Symbol" w:cs="Symbol"/>
    </w:rPr>
  </w:style>
  <w:style w:type="character" w:styleId="WW8Num933z0">
    <w:name w:val="WW8Num933z0"/>
    <w:qFormat/>
    <w:rPr>
      <w:rFonts w:ascii="Wingdings" w:hAnsi="Wingdings" w:cs="Wingdings"/>
    </w:rPr>
  </w:style>
  <w:style w:type="character" w:styleId="WW8Num934z0">
    <w:name w:val="WW8Num934z0"/>
    <w:qFormat/>
    <w:rPr>
      <w:rFonts w:ascii="Symbol" w:hAnsi="Symbol" w:cs="Symbol"/>
      <w:b w:val="false"/>
      <w:i w:val="false"/>
      <w:sz w:val="20"/>
    </w:rPr>
  </w:style>
  <w:style w:type="character" w:styleId="WW8Num935z0">
    <w:name w:val="WW8Num935z0"/>
    <w:qFormat/>
    <w:rPr>
      <w:rFonts w:ascii="Symbol" w:hAnsi="Symbol" w:cs="Symbol"/>
    </w:rPr>
  </w:style>
  <w:style w:type="character" w:styleId="WW8Num936z0">
    <w:name w:val="WW8Num936z0"/>
    <w:qFormat/>
    <w:rPr/>
  </w:style>
  <w:style w:type="character" w:styleId="WW8Num937z0">
    <w:name w:val="WW8Num937z0"/>
    <w:qFormat/>
    <w:rPr>
      <w:rFonts w:ascii="Symbol" w:hAnsi="Symbol" w:cs="Symbol"/>
    </w:rPr>
  </w:style>
  <w:style w:type="character" w:styleId="WW8Num938z0">
    <w:name w:val="WW8Num938z0"/>
    <w:qFormat/>
    <w:rPr>
      <w:rFonts w:ascii="Symbol" w:hAnsi="Symbol" w:cs="Symbol"/>
    </w:rPr>
  </w:style>
  <w:style w:type="character" w:styleId="WW8Num939z0">
    <w:name w:val="WW8Num939z0"/>
    <w:qFormat/>
    <w:rPr>
      <w:rFonts w:ascii="Wingdings" w:hAnsi="Wingdings" w:cs="Wingdings"/>
      <w:b w:val="false"/>
      <w:i w:val="false"/>
      <w:sz w:val="14"/>
      <w:u w:val="none"/>
    </w:rPr>
  </w:style>
  <w:style w:type="character" w:styleId="WW8Num940z0">
    <w:name w:val="WW8Num940z0"/>
    <w:qFormat/>
    <w:rPr>
      <w:rFonts w:ascii="Wingdings" w:hAnsi="Wingdings" w:cs="Wingdings"/>
      <w:b w:val="false"/>
      <w:i w:val="false"/>
      <w:sz w:val="16"/>
      <w:u w:val="none"/>
    </w:rPr>
  </w:style>
  <w:style w:type="character" w:styleId="WW8Num941z0">
    <w:name w:val="WW8Num941z0"/>
    <w:qFormat/>
    <w:rPr/>
  </w:style>
  <w:style w:type="character" w:styleId="WW8NumSt61z0">
    <w:name w:val="WW8NumSt61z0"/>
    <w:qFormat/>
    <w:rPr>
      <w:rFonts w:ascii="Wingdings" w:hAnsi="Wingdings" w:cs="Wingdings"/>
    </w:rPr>
  </w:style>
  <w:style w:type="character" w:styleId="WW8NumSt72z0">
    <w:name w:val="WW8NumSt72z0"/>
    <w:qFormat/>
    <w:rPr>
      <w:rFonts w:ascii="Wingdings" w:hAnsi="Wingdings" w:cs="Wingdings"/>
      <w:sz w:val="28"/>
    </w:rPr>
  </w:style>
  <w:style w:type="character" w:styleId="WW8NumSt73z0">
    <w:name w:val="WW8NumSt73z0"/>
    <w:qFormat/>
    <w:rPr>
      <w:rFonts w:ascii="Wingdings" w:hAnsi="Wingdings" w:cs="Wingdings"/>
      <w:sz w:val="12"/>
    </w:rPr>
  </w:style>
  <w:style w:type="character" w:styleId="WW8NumSt114z0">
    <w:name w:val="WW8NumSt114z0"/>
    <w:qFormat/>
    <w:rPr>
      <w:rFonts w:ascii="Wingdings" w:hAnsi="Wingdings" w:cs="Wingdings"/>
      <w:sz w:val="12"/>
    </w:rPr>
  </w:style>
  <w:style w:type="character" w:styleId="WW8NumSt119z0">
    <w:name w:val="WW8NumSt119z0"/>
    <w:qFormat/>
    <w:rPr>
      <w:rFonts w:ascii="Wingdings" w:hAnsi="Wingdings" w:cs="Wingdings"/>
    </w:rPr>
  </w:style>
  <w:style w:type="character" w:styleId="WW8NumSt122z0">
    <w:name w:val="WW8NumSt122z0"/>
    <w:qFormat/>
    <w:rPr>
      <w:rFonts w:ascii="Wingdings" w:hAnsi="Wingdings" w:cs="Wingdings"/>
    </w:rPr>
  </w:style>
  <w:style w:type="character" w:styleId="WW8NumSt124z0">
    <w:name w:val="WW8NumSt124z0"/>
    <w:qFormat/>
    <w:rPr>
      <w:rFonts w:ascii="Wingdings" w:hAnsi="Wingdings" w:cs="Wingdings"/>
    </w:rPr>
  </w:style>
  <w:style w:type="character" w:styleId="WW8NumSt169z0">
    <w:name w:val="WW8NumSt169z0"/>
    <w:qFormat/>
    <w:rPr>
      <w:rFonts w:ascii="Wingdings" w:hAnsi="Wingdings" w:cs="Wingdings"/>
      <w:sz w:val="28"/>
    </w:rPr>
  </w:style>
  <w:style w:type="character" w:styleId="WW8NumSt173z0">
    <w:name w:val="WW8NumSt173z0"/>
    <w:qFormat/>
    <w:rPr>
      <w:rFonts w:ascii="Wingdings" w:hAnsi="Wingdings" w:cs="Wingdings"/>
    </w:rPr>
  </w:style>
  <w:style w:type="character" w:styleId="WW8NumSt174z0">
    <w:name w:val="WW8NumSt174z0"/>
    <w:qFormat/>
    <w:rPr>
      <w:rFonts w:ascii="Wingdings" w:hAnsi="Wingdings" w:cs="Wingdings"/>
    </w:rPr>
  </w:style>
  <w:style w:type="character" w:styleId="WW8NumSt177z0">
    <w:name w:val="WW8NumSt177z0"/>
    <w:qFormat/>
    <w:rPr>
      <w:rFonts w:ascii="Wingdings" w:hAnsi="Wingdings" w:cs="Wingdings"/>
      <w:sz w:val="28"/>
    </w:rPr>
  </w:style>
  <w:style w:type="character" w:styleId="WW8NumSt178z0">
    <w:name w:val="WW8NumSt178z0"/>
    <w:qFormat/>
    <w:rPr>
      <w:rFonts w:ascii="Wingdings" w:hAnsi="Wingdings" w:cs="Wingdings"/>
    </w:rPr>
  </w:style>
  <w:style w:type="character" w:styleId="WW8NumSt179z0">
    <w:name w:val="WW8NumSt179z0"/>
    <w:qFormat/>
    <w:rPr>
      <w:rFonts w:ascii="Wingdings" w:hAnsi="Wingdings" w:cs="Wingdings"/>
    </w:rPr>
  </w:style>
  <w:style w:type="character" w:styleId="WW8NumSt180z0">
    <w:name w:val="WW8NumSt180z0"/>
    <w:qFormat/>
    <w:rPr>
      <w:rFonts w:ascii="Wingdings" w:hAnsi="Wingdings" w:cs="Wingdings"/>
    </w:rPr>
  </w:style>
  <w:style w:type="character" w:styleId="WW8NumSt181z0">
    <w:name w:val="WW8NumSt181z0"/>
    <w:qFormat/>
    <w:rPr>
      <w:rFonts w:ascii="Wingdings" w:hAnsi="Wingdings" w:cs="Wingdings"/>
      <w:sz w:val="18"/>
    </w:rPr>
  </w:style>
  <w:style w:type="character" w:styleId="WW8NumSt207z0">
    <w:name w:val="WW8NumSt207z0"/>
    <w:qFormat/>
    <w:rPr>
      <w:rFonts w:ascii="Wingdings" w:hAnsi="Wingdings" w:cs="Wingdings"/>
    </w:rPr>
  </w:style>
  <w:style w:type="character" w:styleId="WW8NumSt208z0">
    <w:name w:val="WW8NumSt208z0"/>
    <w:qFormat/>
    <w:rPr>
      <w:rFonts w:ascii="Wingdings" w:hAnsi="Wingdings" w:cs="Wingdings"/>
      <w:b w:val="false"/>
      <w:i w:val="false"/>
      <w:sz w:val="12"/>
    </w:rPr>
  </w:style>
  <w:style w:type="character" w:styleId="WW8NumSt346z0">
    <w:name w:val="WW8NumSt346z0"/>
    <w:qFormat/>
    <w:rPr>
      <w:rFonts w:ascii="Symbol" w:hAnsi="Symbol" w:cs="Symbol"/>
      <w:sz w:val="24"/>
    </w:rPr>
  </w:style>
  <w:style w:type="character" w:styleId="WW8NumSt821z0">
    <w:name w:val="WW8NumSt821z0"/>
    <w:qFormat/>
    <w:rPr>
      <w:rFonts w:ascii="Symbol" w:hAnsi="Symbol" w:cs="Symbol"/>
      <w:sz w:val="16"/>
    </w:rPr>
  </w:style>
  <w:style w:type="character" w:styleId="WW8NumSt857z0">
    <w:name w:val="WW8NumSt857z0"/>
    <w:qFormat/>
    <w:rPr>
      <w:rFonts w:ascii="Times New Roman" w:hAnsi="Times New Roman" w:cs="Times New Roman"/>
      <w:sz w:val="64"/>
    </w:rPr>
  </w:style>
  <w:style w:type="character" w:styleId="WW8NumSt858z0">
    <w:name w:val="WW8NumSt858z0"/>
    <w:qFormat/>
    <w:rPr>
      <w:rFonts w:ascii="Times New Roman" w:hAnsi="Times New Roman" w:cs="Times New Roman"/>
      <w:sz w:val="56"/>
    </w:rPr>
  </w:style>
  <w:style w:type="character" w:styleId="WW8NumSt859z0">
    <w:name w:val="WW8NumSt859z0"/>
    <w:qFormat/>
    <w:rPr>
      <w:rFonts w:ascii="Times New Roman" w:hAnsi="Times New Roman" w:cs="Times New Roman"/>
      <w:sz w:val="48"/>
    </w:rPr>
  </w:style>
  <w:style w:type="character" w:styleId="WW8NumSt860z0">
    <w:name w:val="WW8NumSt860z0"/>
    <w:qFormat/>
    <w:rPr>
      <w:rFonts w:ascii="Times New Roman" w:hAnsi="Times New Roman" w:cs="Times New Roman"/>
      <w:sz w:val="40"/>
    </w:rPr>
  </w:style>
  <w:style w:type="character" w:styleId="WW8NumSt861z0">
    <w:name w:val="WW8NumSt861z0"/>
    <w:qFormat/>
    <w:rPr>
      <w:rFonts w:ascii="Times New Roman" w:hAnsi="Times New Roman" w:cs="Times New Roman"/>
      <w:sz w:val="40"/>
    </w:rPr>
  </w:style>
  <w:style w:type="character" w:styleId="WW8NumSt929z0">
    <w:name w:val="WW8NumSt929z0"/>
    <w:qFormat/>
    <w:rPr>
      <w:rFonts w:ascii="Symbol" w:hAnsi="Symbol" w:cs="Symbol"/>
    </w:rPr>
  </w:style>
  <w:style w:type="character" w:styleId="WW8NumSt930z0">
    <w:name w:val="WW8NumSt930z0"/>
    <w:qFormat/>
    <w:rPr>
      <w:rFonts w:ascii="NewspaperPi BT;Symbol" w:hAnsi="NewspaperPi BT;Symbol" w:cs="NewspaperPi BT;Symbol"/>
      <w:b w:val="false"/>
      <w:i w:val="false"/>
      <w:sz w:val="18"/>
    </w:rPr>
  </w:style>
  <w:style w:type="character" w:styleId="WW8NumSt1068z0">
    <w:name w:val="WW8NumSt1068z0"/>
    <w:qFormat/>
    <w:rPr>
      <w:rFonts w:ascii="Times New Roman" w:hAnsi="Times New Roman" w:cs="Times New Roman"/>
      <w:sz w:val="24"/>
    </w:rPr>
  </w:style>
  <w:style w:type="character" w:styleId="WW8NumSt1111z0">
    <w:name w:val="WW8NumSt1111z0"/>
    <w:qFormat/>
    <w:rPr>
      <w:rFonts w:ascii="Symbol" w:hAnsi="Symbol" w:cs="Symbol"/>
    </w:rPr>
  </w:style>
  <w:style w:type="character" w:styleId="WW8NumSt1140z0">
    <w:name w:val="WW8NumSt1140z0"/>
    <w:qFormat/>
    <w:rPr>
      <w:rFonts w:ascii="Symbol" w:hAnsi="Symbol" w:cs="Symbol"/>
      <w:sz w:val="24"/>
    </w:rPr>
  </w:style>
  <w:style w:type="character" w:styleId="WW8NumSt1149z0">
    <w:name w:val="WW8NumSt1149z0"/>
    <w:qFormat/>
    <w:rPr>
      <w:rFonts w:ascii="Symbol" w:hAnsi="Symbol" w:cs="Symbol"/>
    </w:rPr>
  </w:style>
  <w:style w:type="character" w:styleId="DefaultParagraphFont">
    <w:name w:val="Default Paragraph Font"/>
    <w:qFormat/>
    <w:rPr/>
  </w:style>
  <w:style w:type="character" w:styleId="PageNumber">
    <w:name w:val="page number"/>
    <w:basedOn w:val="DefaultParagraphFont"/>
    <w:rPr>
      <w:rFonts w:ascii="Arial" w:hAnsi="Arial" w:cs="Arial"/>
      <w:b/>
      <w:sz w:val="18"/>
    </w:rPr>
  </w:style>
  <w:style w:type="character" w:styleId="CommentReference">
    <w:name w:val="Comment Reference"/>
    <w:basedOn w:val="DefaultParagraphFont"/>
    <w:qFormat/>
    <w:rPr>
      <w:sz w:val="16"/>
      <w:szCs w:val="16"/>
    </w:rPr>
  </w:style>
  <w:style w:type="character" w:styleId="FootnoteCharacters">
    <w:name w:val="Footnote Characters"/>
    <w:basedOn w:val="DefaultParagraphFont"/>
    <w:qFormat/>
    <w:rPr>
      <w:vertAlign w:val="superscript"/>
    </w:rPr>
  </w:style>
  <w:style w:type="character" w:styleId="FollowedHyperlink">
    <w:name w:val="FollowedHyperlink"/>
    <w:basedOn w:val="DefaultParagraphFont"/>
    <w:rPr>
      <w:color w:val="800080"/>
      <w:u w:val="single"/>
    </w:rPr>
  </w:style>
  <w:style w:type="character" w:styleId="Hyperlink">
    <w:name w:val="Hyperlink"/>
    <w:basedOn w:val="DefaultParagraphFont"/>
    <w:rPr>
      <w:color w:val="0000FF"/>
      <w:u w:val="single"/>
    </w:rPr>
  </w:style>
  <w:style w:type="paragraph" w:styleId="Heading">
    <w:name w:val="Heading"/>
    <w:basedOn w:val="Normal"/>
    <w:next w:val="BodyText"/>
    <w:qFormat/>
    <w:pPr>
      <w:spacing w:before="240" w:after="60"/>
      <w:jc w:val="center"/>
      <w:outlineLvl w:val="0"/>
    </w:pPr>
    <w:rPr>
      <w:rFonts w:cs="Arial"/>
      <w:b/>
      <w:bCs/>
      <w:kern w:val="2"/>
      <w:sz w:val="32"/>
      <w:szCs w:val="32"/>
    </w:rPr>
  </w:style>
  <w:style w:type="paragraph" w:styleId="BodyText">
    <w:name w:val="Body Text"/>
    <w:pPr>
      <w:widowControl/>
      <w:bidi w:val="0"/>
      <w:spacing w:before="0" w:after="120"/>
      <w:ind w:hanging="0" w:start="1440" w:end="720"/>
      <w:jc w:val="both"/>
    </w:pPr>
    <w:rPr>
      <w:rFonts w:ascii="Times New Roman" w:hAnsi="Times New Roman" w:eastAsia="Times New Roman" w:cs="Times New Roman"/>
      <w:color w:val="auto"/>
      <w:sz w:val="22"/>
      <w:szCs w:val="20"/>
      <w:lang w:val="en-US" w:bidi="ar-SA" w:eastAsia="zh-CN"/>
    </w:rPr>
  </w:style>
  <w:style w:type="paragraph" w:styleId="List">
    <w:name w:val="List"/>
    <w:basedOn w:val="Normal"/>
    <w:pPr>
      <w:ind w:hanging="360" w:start="360" w:end="0"/>
    </w:pPr>
    <w:rPr/>
  </w:style>
  <w:style w:type="paragraph" w:styleId="Caption">
    <w:name w:val="caption"/>
    <w:basedOn w:val="Normal"/>
    <w:qFormat/>
    <w:pPr>
      <w:numPr>
        <w:ilvl w:val="0"/>
        <w:numId w:val="71"/>
      </w:numPr>
      <w:spacing w:before="40" w:after="0"/>
    </w:pPr>
    <w:rPr>
      <w:sz w:val="16"/>
    </w:rPr>
  </w:style>
  <w:style w:type="paragraph" w:styleId="Index">
    <w:name w:val="Index"/>
    <w:basedOn w:val="Normal"/>
    <w:qFormat/>
    <w:pPr>
      <w:suppressLineNumbers/>
    </w:pPr>
    <w:rPr>
      <w:rFonts w:cs="NotoSans NF"/>
    </w:rPr>
  </w:style>
  <w:style w:type="paragraph" w:styleId="A0">
    <w:name w:val="A:0"/>
    <w:basedOn w:val="Normal"/>
    <w:qFormat/>
    <w:pPr>
      <w:spacing w:before="100" w:after="100"/>
      <w:ind w:hanging="0" w:start="1440" w:end="720"/>
      <w:jc w:val="both"/>
    </w:pPr>
    <w:rPr/>
  </w:style>
  <w:style w:type="paragraph" w:styleId="A0b">
    <w:name w:val="A:0:b"/>
    <w:basedOn w:val="Normal"/>
    <w:qFormat/>
    <w:pPr>
      <w:numPr>
        <w:ilvl w:val="0"/>
        <w:numId w:val="40"/>
      </w:numPr>
      <w:spacing w:before="72" w:after="72"/>
      <w:ind w:hanging="0" w:start="0" w:end="720"/>
      <w:jc w:val="both"/>
    </w:pPr>
    <w:rPr/>
  </w:style>
  <w:style w:type="paragraph" w:styleId="A0bbox">
    <w:name w:val="A:0:bbox"/>
    <w:basedOn w:val="Normal"/>
    <w:qFormat/>
    <w:pPr>
      <w:numPr>
        <w:ilvl w:val="0"/>
        <w:numId w:val="18"/>
      </w:numPr>
      <w:spacing w:before="100" w:after="100"/>
    </w:pPr>
    <w:rPr/>
  </w:style>
  <w:style w:type="paragraph" w:styleId="A0n">
    <w:name w:val="A:0:n"/>
    <w:basedOn w:val="Normal"/>
    <w:qFormat/>
    <w:pPr>
      <w:numPr>
        <w:ilvl w:val="0"/>
        <w:numId w:val="44"/>
      </w:numPr>
      <w:spacing w:before="200" w:after="0"/>
      <w:ind w:hanging="360" w:start="0" w:end="720"/>
      <w:jc w:val="both"/>
    </w:pPr>
    <w:rPr>
      <w:bCs/>
    </w:rPr>
  </w:style>
  <w:style w:type="paragraph" w:styleId="A1">
    <w:name w:val="A:1"/>
    <w:basedOn w:val="Normal"/>
    <w:qFormat/>
    <w:pPr>
      <w:spacing w:before="100" w:after="100"/>
      <w:ind w:hanging="0" w:start="1440" w:end="0"/>
    </w:pPr>
    <w:rPr>
      <w:sz w:val="28"/>
    </w:rPr>
  </w:style>
  <w:style w:type="paragraph" w:styleId="A1b">
    <w:name w:val="A:1:b"/>
    <w:basedOn w:val="Normal"/>
    <w:qFormat/>
    <w:pPr>
      <w:numPr>
        <w:ilvl w:val="0"/>
        <w:numId w:val="14"/>
      </w:numPr>
      <w:tabs>
        <w:tab w:val="clear" w:pos="720"/>
      </w:tabs>
      <w:spacing w:before="100" w:after="100"/>
    </w:pPr>
    <w:rPr>
      <w:sz w:val="28"/>
    </w:rPr>
  </w:style>
  <w:style w:type="paragraph" w:styleId="A1bbox">
    <w:name w:val="A:1:bbox"/>
    <w:basedOn w:val="Normal"/>
    <w:qFormat/>
    <w:pPr>
      <w:numPr>
        <w:ilvl w:val="0"/>
        <w:numId w:val="62"/>
      </w:numPr>
      <w:tabs>
        <w:tab w:val="clear" w:pos="720"/>
      </w:tabs>
      <w:spacing w:before="100" w:after="100"/>
    </w:pPr>
    <w:rPr>
      <w:sz w:val="28"/>
    </w:rPr>
  </w:style>
  <w:style w:type="paragraph" w:styleId="A1n">
    <w:name w:val="A:1:n"/>
    <w:basedOn w:val="Normal"/>
    <w:qFormat/>
    <w:pPr>
      <w:numPr>
        <w:ilvl w:val="0"/>
        <w:numId w:val="31"/>
      </w:numPr>
      <w:tabs>
        <w:tab w:val="clear" w:pos="720"/>
      </w:tabs>
      <w:spacing w:before="100" w:after="100"/>
    </w:pPr>
    <w:rPr>
      <w:sz w:val="28"/>
    </w:rPr>
  </w:style>
  <w:style w:type="paragraph" w:styleId="B0b">
    <w:name w:val="B:0:b"/>
    <w:basedOn w:val="Normal"/>
    <w:qFormat/>
    <w:pPr>
      <w:numPr>
        <w:ilvl w:val="0"/>
        <w:numId w:val="64"/>
      </w:numPr>
      <w:spacing w:before="100" w:after="100"/>
    </w:pPr>
    <w:rPr>
      <w:sz w:val="24"/>
    </w:rPr>
  </w:style>
  <w:style w:type="paragraph" w:styleId="B0bbox">
    <w:name w:val="B:0:bbox"/>
    <w:basedOn w:val="Normal"/>
    <w:qFormat/>
    <w:pPr>
      <w:numPr>
        <w:ilvl w:val="0"/>
        <w:numId w:val="16"/>
      </w:numPr>
      <w:spacing w:before="100" w:after="0"/>
    </w:pPr>
    <w:rPr/>
  </w:style>
  <w:style w:type="paragraph" w:styleId="B0n">
    <w:name w:val="B:0:n"/>
    <w:basedOn w:val="Normal"/>
    <w:qFormat/>
    <w:pPr>
      <w:numPr>
        <w:ilvl w:val="0"/>
        <w:numId w:val="49"/>
      </w:numPr>
      <w:tabs>
        <w:tab w:val="clear" w:pos="720"/>
        <w:tab w:val="left" w:pos="2610" w:leader="none"/>
      </w:tabs>
      <w:spacing w:before="100" w:after="100"/>
      <w:ind w:hanging="450" w:start="2610" w:end="720"/>
      <w:jc w:val="both"/>
    </w:pPr>
    <w:rPr/>
  </w:style>
  <w:style w:type="paragraph" w:styleId="B1b">
    <w:name w:val="B:1:b"/>
    <w:basedOn w:val="Normal"/>
    <w:qFormat/>
    <w:pPr>
      <w:numPr>
        <w:ilvl w:val="0"/>
        <w:numId w:val="38"/>
      </w:numPr>
      <w:tabs>
        <w:tab w:val="clear" w:pos="720"/>
      </w:tabs>
      <w:spacing w:before="100" w:after="100"/>
    </w:pPr>
    <w:rPr>
      <w:sz w:val="28"/>
    </w:rPr>
  </w:style>
  <w:style w:type="paragraph" w:styleId="B1bbox">
    <w:name w:val="B:1:bbox"/>
    <w:basedOn w:val="Normal"/>
    <w:qFormat/>
    <w:pPr>
      <w:numPr>
        <w:ilvl w:val="0"/>
        <w:numId w:val="24"/>
      </w:numPr>
      <w:tabs>
        <w:tab w:val="clear" w:pos="720"/>
      </w:tabs>
      <w:spacing w:before="100" w:after="100"/>
    </w:pPr>
    <w:rPr>
      <w:sz w:val="28"/>
    </w:rPr>
  </w:style>
  <w:style w:type="paragraph" w:styleId="B1n">
    <w:name w:val="B:1:n"/>
    <w:basedOn w:val="Normal"/>
    <w:qFormat/>
    <w:pPr>
      <w:numPr>
        <w:ilvl w:val="0"/>
        <w:numId w:val="45"/>
      </w:numPr>
      <w:tabs>
        <w:tab w:val="clear" w:pos="720"/>
      </w:tabs>
      <w:spacing w:before="100" w:after="100"/>
    </w:pPr>
    <w:rPr>
      <w:sz w:val="28"/>
    </w:rPr>
  </w:style>
  <w:style w:type="paragraph" w:styleId="B1">
    <w:name w:val="B:1"/>
    <w:basedOn w:val="Normal"/>
    <w:qFormat/>
    <w:pPr>
      <w:spacing w:before="100" w:after="100"/>
      <w:ind w:hanging="0" w:start="2160" w:end="0"/>
    </w:pPr>
    <w:rPr>
      <w:sz w:val="28"/>
    </w:rPr>
  </w:style>
  <w:style w:type="paragraph" w:styleId="C0b">
    <w:name w:val="C:0:b"/>
    <w:basedOn w:val="Normal"/>
    <w:qFormat/>
    <w:pPr>
      <w:numPr>
        <w:ilvl w:val="0"/>
        <w:numId w:val="25"/>
      </w:numPr>
      <w:tabs>
        <w:tab w:val="clear" w:pos="720"/>
      </w:tabs>
      <w:spacing w:before="100" w:after="100"/>
    </w:pPr>
    <w:rPr/>
  </w:style>
  <w:style w:type="paragraph" w:styleId="C0bbox">
    <w:name w:val="C:0:bbox"/>
    <w:basedOn w:val="Normal"/>
    <w:qFormat/>
    <w:pPr>
      <w:numPr>
        <w:ilvl w:val="0"/>
        <w:numId w:val="47"/>
      </w:numPr>
      <w:spacing w:before="100" w:after="100"/>
      <w:ind w:hanging="0" w:start="0" w:end="720"/>
      <w:jc w:val="both"/>
    </w:pPr>
    <w:rPr/>
  </w:style>
  <w:style w:type="paragraph" w:styleId="C0n">
    <w:name w:val="C:0:n"/>
    <w:basedOn w:val="Normal"/>
    <w:qFormat/>
    <w:pPr>
      <w:numPr>
        <w:ilvl w:val="0"/>
        <w:numId w:val="42"/>
      </w:numPr>
      <w:tabs>
        <w:tab w:val="clear" w:pos="720"/>
      </w:tabs>
      <w:spacing w:before="100" w:after="100"/>
    </w:pPr>
    <w:rPr/>
  </w:style>
  <w:style w:type="paragraph" w:styleId="C1b">
    <w:name w:val="C:1:b"/>
    <w:basedOn w:val="Normal"/>
    <w:qFormat/>
    <w:pPr>
      <w:numPr>
        <w:ilvl w:val="0"/>
        <w:numId w:val="13"/>
      </w:numPr>
      <w:tabs>
        <w:tab w:val="clear" w:pos="720"/>
      </w:tabs>
      <w:spacing w:before="100" w:after="100"/>
    </w:pPr>
    <w:rPr>
      <w:sz w:val="28"/>
    </w:rPr>
  </w:style>
  <w:style w:type="paragraph" w:styleId="C1bbox">
    <w:name w:val="C:1:bbox"/>
    <w:basedOn w:val="Normal"/>
    <w:qFormat/>
    <w:pPr>
      <w:numPr>
        <w:ilvl w:val="0"/>
        <w:numId w:val="20"/>
      </w:numPr>
      <w:tabs>
        <w:tab w:val="clear" w:pos="720"/>
      </w:tabs>
      <w:spacing w:before="100" w:after="100"/>
    </w:pPr>
    <w:rPr>
      <w:sz w:val="28"/>
    </w:rPr>
  </w:style>
  <w:style w:type="paragraph" w:styleId="C1n">
    <w:name w:val="C:1:n"/>
    <w:basedOn w:val="Normal"/>
    <w:qFormat/>
    <w:pPr>
      <w:numPr>
        <w:ilvl w:val="0"/>
        <w:numId w:val="34"/>
      </w:numPr>
      <w:tabs>
        <w:tab w:val="clear" w:pos="720"/>
      </w:tabs>
      <w:spacing w:before="100" w:after="100"/>
    </w:pPr>
    <w:rPr>
      <w:sz w:val="28"/>
    </w:rPr>
  </w:style>
  <w:style w:type="paragraph" w:styleId="D0b">
    <w:name w:val="D:0:b"/>
    <w:basedOn w:val="Normal"/>
    <w:qFormat/>
    <w:pPr>
      <w:numPr>
        <w:ilvl w:val="0"/>
        <w:numId w:val="57"/>
      </w:numPr>
      <w:spacing w:before="18" w:after="0"/>
    </w:pPr>
    <w:rPr/>
  </w:style>
  <w:style w:type="paragraph" w:styleId="D0bbox">
    <w:name w:val="D:0:bbox"/>
    <w:basedOn w:val="Normal"/>
    <w:qFormat/>
    <w:pPr>
      <w:numPr>
        <w:ilvl w:val="0"/>
        <w:numId w:val="28"/>
      </w:numPr>
      <w:tabs>
        <w:tab w:val="clear" w:pos="720"/>
      </w:tabs>
      <w:spacing w:before="100" w:after="100"/>
    </w:pPr>
    <w:rPr/>
  </w:style>
  <w:style w:type="paragraph" w:styleId="D0n">
    <w:name w:val="D:0:n"/>
    <w:basedOn w:val="Normal"/>
    <w:qFormat/>
    <w:pPr>
      <w:numPr>
        <w:ilvl w:val="0"/>
        <w:numId w:val="50"/>
      </w:numPr>
      <w:tabs>
        <w:tab w:val="clear" w:pos="720"/>
      </w:tabs>
      <w:spacing w:before="100" w:after="100"/>
    </w:pPr>
    <w:rPr/>
  </w:style>
  <w:style w:type="paragraph" w:styleId="D1b">
    <w:name w:val="D:1:b"/>
    <w:basedOn w:val="Normal"/>
    <w:qFormat/>
    <w:pPr>
      <w:numPr>
        <w:ilvl w:val="0"/>
        <w:numId w:val="48"/>
      </w:numPr>
      <w:spacing w:before="100" w:after="100"/>
    </w:pPr>
    <w:rPr>
      <w:sz w:val="28"/>
    </w:rPr>
  </w:style>
  <w:style w:type="paragraph" w:styleId="D1bbox">
    <w:name w:val="D:1:bbox"/>
    <w:basedOn w:val="Normal"/>
    <w:qFormat/>
    <w:pPr>
      <w:numPr>
        <w:ilvl w:val="0"/>
        <w:numId w:val="63"/>
      </w:numPr>
      <w:tabs>
        <w:tab w:val="clear" w:pos="720"/>
      </w:tabs>
      <w:spacing w:before="100" w:after="100"/>
    </w:pPr>
    <w:rPr>
      <w:sz w:val="28"/>
    </w:rPr>
  </w:style>
  <w:style w:type="paragraph" w:styleId="D1n">
    <w:name w:val="D:1:n"/>
    <w:basedOn w:val="Normal"/>
    <w:qFormat/>
    <w:pPr>
      <w:numPr>
        <w:ilvl w:val="0"/>
        <w:numId w:val="22"/>
      </w:numPr>
      <w:tabs>
        <w:tab w:val="clear" w:pos="720"/>
      </w:tabs>
      <w:spacing w:before="100" w:after="100"/>
    </w:pPr>
    <w:rPr>
      <w:sz w:val="28"/>
    </w:rPr>
  </w:style>
  <w:style w:type="paragraph" w:styleId="E0b">
    <w:name w:val="E:0:b"/>
    <w:basedOn w:val="Normal"/>
    <w:qFormat/>
    <w:pPr>
      <w:numPr>
        <w:ilvl w:val="0"/>
        <w:numId w:val="26"/>
      </w:numPr>
      <w:tabs>
        <w:tab w:val="clear" w:pos="720"/>
      </w:tabs>
      <w:spacing w:before="100" w:after="100"/>
    </w:pPr>
    <w:rPr/>
  </w:style>
  <w:style w:type="paragraph" w:styleId="E0bbox">
    <w:name w:val="E:0:bbox"/>
    <w:basedOn w:val="Normal"/>
    <w:qFormat/>
    <w:pPr>
      <w:numPr>
        <w:ilvl w:val="0"/>
        <w:numId w:val="70"/>
      </w:numPr>
      <w:tabs>
        <w:tab w:val="clear" w:pos="720"/>
      </w:tabs>
      <w:spacing w:before="100" w:after="100"/>
    </w:pPr>
    <w:rPr/>
  </w:style>
  <w:style w:type="paragraph" w:styleId="E0n">
    <w:name w:val="E:0:n"/>
    <w:basedOn w:val="Normal"/>
    <w:qFormat/>
    <w:pPr>
      <w:numPr>
        <w:ilvl w:val="0"/>
        <w:numId w:val="43"/>
      </w:numPr>
      <w:tabs>
        <w:tab w:val="clear" w:pos="720"/>
      </w:tabs>
      <w:spacing w:before="100" w:after="100"/>
    </w:pPr>
    <w:rPr/>
  </w:style>
  <w:style w:type="paragraph" w:styleId="E1b">
    <w:name w:val="E:1:b"/>
    <w:basedOn w:val="Normal"/>
    <w:qFormat/>
    <w:pPr>
      <w:numPr>
        <w:ilvl w:val="0"/>
        <w:numId w:val="51"/>
      </w:numPr>
      <w:tabs>
        <w:tab w:val="clear" w:pos="720"/>
      </w:tabs>
      <w:spacing w:before="100" w:after="100"/>
    </w:pPr>
    <w:rPr>
      <w:sz w:val="28"/>
    </w:rPr>
  </w:style>
  <w:style w:type="paragraph" w:styleId="E1bbox">
    <w:name w:val="E:1:bbox"/>
    <w:basedOn w:val="Normal"/>
    <w:qFormat/>
    <w:pPr>
      <w:numPr>
        <w:ilvl w:val="0"/>
        <w:numId w:val="55"/>
      </w:numPr>
      <w:tabs>
        <w:tab w:val="clear" w:pos="720"/>
      </w:tabs>
      <w:spacing w:before="100" w:after="100"/>
    </w:pPr>
    <w:rPr>
      <w:sz w:val="28"/>
    </w:rPr>
  </w:style>
  <w:style w:type="paragraph" w:styleId="E1n">
    <w:name w:val="E:1:n"/>
    <w:basedOn w:val="Normal"/>
    <w:qFormat/>
    <w:pPr>
      <w:numPr>
        <w:ilvl w:val="0"/>
        <w:numId w:val="30"/>
      </w:numPr>
      <w:tabs>
        <w:tab w:val="clear" w:pos="720"/>
      </w:tabs>
      <w:spacing w:before="100" w:after="100"/>
    </w:pPr>
    <w:rPr>
      <w:sz w:val="28"/>
    </w:rPr>
  </w:style>
  <w:style w:type="paragraph" w:styleId="Tfs1">
    <w:name w:val="Tf:s:1"/>
    <w:basedOn w:val="Normal"/>
    <w:qFormat/>
    <w:pPr>
      <w:spacing w:before="20" w:after="0"/>
      <w:ind w:hanging="288" w:start="4752" w:end="2592"/>
    </w:pPr>
    <w:rPr>
      <w:sz w:val="16"/>
    </w:rPr>
  </w:style>
  <w:style w:type="paragraph" w:styleId="Sec0">
    <w:name w:val="Sec:0"/>
    <w:basedOn w:val="Normal"/>
    <w:next w:val="Normal"/>
    <w:qFormat/>
    <w:pPr>
      <w:pageBreakBefore/>
      <w:spacing w:before="0" w:after="360"/>
    </w:pPr>
    <w:rPr>
      <w:b/>
      <w:sz w:val="36"/>
    </w:rPr>
  </w:style>
  <w:style w:type="paragraph" w:styleId="Sec1">
    <w:name w:val="Sec:1"/>
    <w:basedOn w:val="Normal"/>
    <w:next w:val="Normal"/>
    <w:qFormat/>
    <w:pPr>
      <w:pageBreakBefore/>
      <w:pBdr>
        <w:left w:val="single" w:sz="2" w:space="31" w:color="FFFFFF"/>
        <w:bottom w:val="single" w:sz="2" w:space="1" w:color="000000"/>
        <w:right w:val="single" w:sz="2" w:space="31" w:color="FFFFFF"/>
      </w:pBdr>
      <w:spacing w:before="0" w:after="240"/>
      <w:outlineLvl w:val="0"/>
    </w:pPr>
    <w:rPr>
      <w:b/>
      <w:sz w:val="48"/>
    </w:rPr>
  </w:style>
  <w:style w:type="paragraph" w:styleId="Sub0">
    <w:name w:val="Sub:0"/>
    <w:basedOn w:val="Normal"/>
    <w:qFormat/>
    <w:pPr>
      <w:keepNext w:val="true"/>
      <w:spacing w:before="240" w:after="120"/>
      <w:ind w:hanging="0" w:start="1440" w:end="0"/>
    </w:pPr>
    <w:rPr>
      <w:b/>
      <w:sz w:val="24"/>
    </w:rPr>
  </w:style>
  <w:style w:type="paragraph" w:styleId="Sub0b">
    <w:name w:val="Sub:0:b"/>
    <w:basedOn w:val="Normal"/>
    <w:qFormat/>
    <w:pPr>
      <w:keepNext w:val="true"/>
      <w:numPr>
        <w:ilvl w:val="0"/>
        <w:numId w:val="66"/>
      </w:numPr>
      <w:tabs>
        <w:tab w:val="clear" w:pos="720"/>
      </w:tabs>
      <w:spacing w:before="240" w:after="120"/>
    </w:pPr>
    <w:rPr>
      <w:b/>
      <w:sz w:val="24"/>
    </w:rPr>
  </w:style>
  <w:style w:type="paragraph" w:styleId="Sub0n">
    <w:name w:val="Sub:0:n"/>
    <w:basedOn w:val="Normal"/>
    <w:qFormat/>
    <w:pPr>
      <w:keepNext w:val="true"/>
      <w:numPr>
        <w:ilvl w:val="0"/>
        <w:numId w:val="46"/>
      </w:numPr>
      <w:spacing w:before="240" w:after="120"/>
    </w:pPr>
    <w:rPr>
      <w:rFonts w:cs="Arial"/>
      <w:b/>
      <w:sz w:val="24"/>
    </w:rPr>
  </w:style>
  <w:style w:type="paragraph" w:styleId="Sub1">
    <w:name w:val="Sub:1"/>
    <w:basedOn w:val="Normal"/>
    <w:qFormat/>
    <w:pPr>
      <w:spacing w:before="120" w:after="120"/>
      <w:ind w:hanging="0" w:start="1440" w:end="0"/>
    </w:pPr>
    <w:rPr>
      <w:b/>
      <w:sz w:val="28"/>
    </w:rPr>
  </w:style>
  <w:style w:type="paragraph" w:styleId="Sub1b">
    <w:name w:val="Sub:1:b"/>
    <w:basedOn w:val="Normal"/>
    <w:qFormat/>
    <w:pPr>
      <w:numPr>
        <w:ilvl w:val="0"/>
        <w:numId w:val="53"/>
      </w:numPr>
      <w:tabs>
        <w:tab w:val="clear" w:pos="720"/>
      </w:tabs>
      <w:spacing w:before="120" w:after="120"/>
    </w:pPr>
    <w:rPr>
      <w:b/>
      <w:sz w:val="28"/>
    </w:rPr>
  </w:style>
  <w:style w:type="paragraph" w:styleId="Sub1n">
    <w:name w:val="Sub:1:n"/>
    <w:basedOn w:val="Normal"/>
    <w:qFormat/>
    <w:pPr>
      <w:spacing w:before="120" w:after="120"/>
    </w:pPr>
    <w:rPr>
      <w:b/>
      <w:sz w:val="28"/>
    </w:rPr>
  </w:style>
  <w:style w:type="paragraph" w:styleId="Tss1">
    <w:name w:val="Ts:s:1"/>
    <w:basedOn w:val="Normal"/>
    <w:qFormat/>
    <w:pPr>
      <w:spacing w:before="0" w:after="120"/>
      <w:ind w:hanging="0" w:start="4464" w:end="2592"/>
    </w:pPr>
    <w:rPr>
      <w:b/>
      <w:sz w:val="24"/>
    </w:rPr>
  </w:style>
  <w:style w:type="paragraph" w:styleId="T0">
    <w:name w:val="T:0"/>
    <w:basedOn w:val="Normal"/>
    <w:qFormat/>
    <w:pPr>
      <w:spacing w:before="100" w:after="100"/>
    </w:pPr>
    <w:rPr/>
  </w:style>
  <w:style w:type="paragraph" w:styleId="T0b">
    <w:name w:val="T:0:b"/>
    <w:basedOn w:val="Normal"/>
    <w:qFormat/>
    <w:pPr>
      <w:numPr>
        <w:ilvl w:val="0"/>
        <w:numId w:val="41"/>
      </w:numPr>
      <w:tabs>
        <w:tab w:val="clear" w:pos="720"/>
      </w:tabs>
      <w:spacing w:before="100" w:after="100"/>
    </w:pPr>
    <w:rPr/>
  </w:style>
  <w:style w:type="paragraph" w:styleId="T0bbox">
    <w:name w:val="T:0:bbox"/>
    <w:basedOn w:val="Normal"/>
    <w:qFormat/>
    <w:pPr>
      <w:numPr>
        <w:ilvl w:val="0"/>
        <w:numId w:val="37"/>
      </w:numPr>
      <w:tabs>
        <w:tab w:val="clear" w:pos="720"/>
      </w:tabs>
      <w:spacing w:before="100" w:after="100"/>
    </w:pPr>
    <w:rPr/>
  </w:style>
  <w:style w:type="paragraph" w:styleId="Tns1">
    <w:name w:val="Tn:s:1"/>
    <w:basedOn w:val="Normal"/>
    <w:qFormat/>
    <w:pPr>
      <w:spacing w:before="20" w:after="0"/>
      <w:ind w:hanging="720" w:start="5184" w:end="2592"/>
    </w:pPr>
    <w:rPr>
      <w:sz w:val="16"/>
    </w:rPr>
  </w:style>
  <w:style w:type="paragraph" w:styleId="T1">
    <w:name w:val="T:1"/>
    <w:basedOn w:val="Normal"/>
    <w:qFormat/>
    <w:pPr>
      <w:spacing w:before="100" w:after="100"/>
    </w:pPr>
    <w:rPr>
      <w:sz w:val="28"/>
    </w:rPr>
  </w:style>
  <w:style w:type="paragraph" w:styleId="T1b">
    <w:name w:val="T:1:b"/>
    <w:basedOn w:val="Normal"/>
    <w:qFormat/>
    <w:pPr>
      <w:numPr>
        <w:ilvl w:val="0"/>
        <w:numId w:val="29"/>
      </w:numPr>
      <w:tabs>
        <w:tab w:val="clear" w:pos="720"/>
      </w:tabs>
      <w:spacing w:before="100" w:after="100"/>
    </w:pPr>
    <w:rPr>
      <w:sz w:val="28"/>
    </w:rPr>
  </w:style>
  <w:style w:type="paragraph" w:styleId="T1bbox">
    <w:name w:val="T:1:bbox"/>
    <w:basedOn w:val="Normal"/>
    <w:qFormat/>
    <w:pPr>
      <w:numPr>
        <w:ilvl w:val="0"/>
        <w:numId w:val="27"/>
      </w:numPr>
      <w:tabs>
        <w:tab w:val="clear" w:pos="720"/>
      </w:tabs>
      <w:spacing w:before="100" w:after="100"/>
    </w:pPr>
    <w:rPr>
      <w:sz w:val="28"/>
    </w:rPr>
  </w:style>
  <w:style w:type="paragraph" w:styleId="Ttel1">
    <w:name w:val="Tt:el:1"/>
    <w:basedOn w:val="Normal"/>
    <w:qFormat/>
    <w:pPr>
      <w:spacing w:before="240" w:after="0"/>
    </w:pPr>
    <w:rPr>
      <w:b/>
      <w:sz w:val="28"/>
    </w:rPr>
  </w:style>
  <w:style w:type="paragraph" w:styleId="TocA1">
    <w:name w:val="Toc:A1"/>
    <w:basedOn w:val="Normal"/>
    <w:qFormat/>
    <w:pPr>
      <w:tabs>
        <w:tab w:val="clear" w:pos="720"/>
        <w:tab w:val="right" w:pos="9840" w:leader="none"/>
      </w:tabs>
      <w:spacing w:before="100" w:after="100"/>
      <w:ind w:hanging="720" w:start="2160" w:end="1440"/>
    </w:pPr>
    <w:rPr>
      <w:b/>
      <w:sz w:val="28"/>
    </w:rPr>
  </w:style>
  <w:style w:type="paragraph" w:styleId="TocB1">
    <w:name w:val="Toc:B1"/>
    <w:basedOn w:val="Normal"/>
    <w:qFormat/>
    <w:pPr>
      <w:tabs>
        <w:tab w:val="clear" w:pos="720"/>
        <w:tab w:val="right" w:pos="9840" w:leader="none"/>
      </w:tabs>
      <w:spacing w:before="100" w:after="100"/>
      <w:ind w:hanging="720" w:start="2880" w:end="1440"/>
    </w:pPr>
    <w:rPr>
      <w:b/>
      <w:sz w:val="24"/>
    </w:rPr>
  </w:style>
  <w:style w:type="paragraph" w:styleId="TocContent1">
    <w:name w:val="Toc:Content1"/>
    <w:basedOn w:val="Sec1"/>
    <w:next w:val="TocA1"/>
    <w:qFormat/>
    <w:pPr>
      <w:spacing w:before="120" w:after="240"/>
      <w:ind w:firstLine="1440" w:start="0" w:end="0"/>
    </w:pPr>
    <w:rPr>
      <w:sz w:val="36"/>
    </w:rPr>
  </w:style>
  <w:style w:type="paragraph" w:styleId="Tus1">
    <w:name w:val="Tu:s:1"/>
    <w:basedOn w:val="Normal"/>
    <w:qFormat/>
    <w:pPr>
      <w:spacing w:before="0" w:after="20"/>
      <w:ind w:hanging="0" w:start="4464" w:end="2592"/>
    </w:pPr>
    <w:rPr>
      <w:b/>
      <w:i/>
      <w:sz w:val="24"/>
    </w:rPr>
  </w:style>
  <w:style w:type="paragraph" w:styleId="Tnm1">
    <w:name w:val="Tn:m:1"/>
    <w:basedOn w:val="Normal"/>
    <w:qFormat/>
    <w:pPr>
      <w:spacing w:before="20" w:after="0"/>
      <w:ind w:hanging="720" w:start="2160" w:end="2880"/>
    </w:pPr>
    <w:rPr>
      <w:sz w:val="16"/>
    </w:rPr>
  </w:style>
  <w:style w:type="paragraph" w:styleId="Tfm1">
    <w:name w:val="Tf:m:1"/>
    <w:basedOn w:val="Normal"/>
    <w:qFormat/>
    <w:pPr>
      <w:spacing w:before="20" w:after="0"/>
      <w:ind w:hanging="288" w:start="1728" w:end="2880"/>
    </w:pPr>
    <w:rPr>
      <w:sz w:val="16"/>
    </w:rPr>
  </w:style>
  <w:style w:type="paragraph" w:styleId="Tfl1">
    <w:name w:val="Tf:l:1"/>
    <w:basedOn w:val="Normal"/>
    <w:qFormat/>
    <w:pPr>
      <w:spacing w:before="20" w:after="0"/>
      <w:ind w:hanging="288" w:start="1728" w:end="1440"/>
    </w:pPr>
    <w:rPr>
      <w:sz w:val="16"/>
    </w:rPr>
  </w:style>
  <w:style w:type="paragraph" w:styleId="Tnl1">
    <w:name w:val="Tn:l:1"/>
    <w:basedOn w:val="Normal"/>
    <w:qFormat/>
    <w:pPr>
      <w:spacing w:before="20" w:after="0"/>
      <w:ind w:hanging="720" w:start="2160" w:end="1440"/>
    </w:pPr>
    <w:rPr>
      <w:sz w:val="16"/>
    </w:rPr>
  </w:style>
  <w:style w:type="paragraph" w:styleId="Tfel1">
    <w:name w:val="Tf:el:1"/>
    <w:basedOn w:val="Normal"/>
    <w:qFormat/>
    <w:pPr>
      <w:spacing w:before="20" w:after="0"/>
      <w:ind w:hanging="288" w:start="288" w:end="0"/>
    </w:pPr>
    <w:rPr>
      <w:sz w:val="16"/>
    </w:rPr>
  </w:style>
  <w:style w:type="paragraph" w:styleId="Tnel1">
    <w:name w:val="Tn:el:1"/>
    <w:basedOn w:val="Normal"/>
    <w:qFormat/>
    <w:pPr>
      <w:spacing w:before="20" w:after="0"/>
      <w:ind w:hanging="720" w:start="720" w:end="0"/>
    </w:pPr>
    <w:rPr>
      <w:sz w:val="16"/>
    </w:rPr>
  </w:style>
  <w:style w:type="paragraph" w:styleId="B0">
    <w:name w:val="B:0"/>
    <w:basedOn w:val="Normal"/>
    <w:qFormat/>
    <w:pPr>
      <w:spacing w:before="100" w:after="100"/>
      <w:ind w:hanging="0" w:start="2160" w:end="0"/>
    </w:pPr>
    <w:rPr/>
  </w:style>
  <w:style w:type="paragraph" w:styleId="C0">
    <w:name w:val="C:0"/>
    <w:basedOn w:val="Normal"/>
    <w:qFormat/>
    <w:pPr>
      <w:spacing w:before="100" w:after="100"/>
      <w:ind w:hanging="0" w:start="2880" w:end="0"/>
    </w:pPr>
    <w:rPr/>
  </w:style>
  <w:style w:type="paragraph" w:styleId="C1">
    <w:name w:val="C:1"/>
    <w:basedOn w:val="Normal"/>
    <w:qFormat/>
    <w:pPr>
      <w:spacing w:before="100" w:after="100"/>
      <w:ind w:hanging="0" w:start="2880" w:end="0"/>
    </w:pPr>
    <w:rPr>
      <w:sz w:val="28"/>
    </w:rPr>
  </w:style>
  <w:style w:type="paragraph" w:styleId="CoverPage">
    <w:name w:val="Cover Page"/>
    <w:basedOn w:val="Normal"/>
    <w:qFormat/>
    <w:pPr>
      <w:ind w:hanging="0" w:start="1440" w:end="0"/>
    </w:pPr>
    <w:rPr>
      <w:sz w:val="28"/>
    </w:rPr>
  </w:style>
  <w:style w:type="paragraph" w:styleId="D0">
    <w:name w:val="D:0"/>
    <w:basedOn w:val="Normal"/>
    <w:qFormat/>
    <w:pPr>
      <w:spacing w:before="100" w:after="100"/>
      <w:ind w:hanging="0" w:start="3600" w:end="0"/>
    </w:pPr>
    <w:rPr/>
  </w:style>
  <w:style w:type="paragraph" w:styleId="D1">
    <w:name w:val="D:1"/>
    <w:basedOn w:val="Normal"/>
    <w:qFormat/>
    <w:pPr>
      <w:spacing w:before="100" w:after="100"/>
      <w:ind w:hanging="0" w:start="3600" w:end="0"/>
    </w:pPr>
    <w:rPr>
      <w:sz w:val="28"/>
    </w:rPr>
  </w:style>
  <w:style w:type="paragraph" w:styleId="E0">
    <w:name w:val="E:0"/>
    <w:basedOn w:val="Normal"/>
    <w:qFormat/>
    <w:pPr>
      <w:spacing w:before="100" w:after="100"/>
      <w:ind w:hanging="0" w:start="4320" w:end="0"/>
    </w:pPr>
    <w:rPr/>
  </w:style>
  <w:style w:type="paragraph" w:styleId="E1">
    <w:name w:val="E:1"/>
    <w:basedOn w:val="Normal"/>
    <w:qFormat/>
    <w:pPr>
      <w:spacing w:before="100" w:after="100"/>
      <w:ind w:hanging="0" w:start="4320" w:end="0"/>
    </w:pPr>
    <w:rPr>
      <w:sz w:val="28"/>
    </w:rPr>
  </w:style>
  <w:style w:type="paragraph" w:styleId="Hd0">
    <w:name w:val="Hd:0"/>
    <w:basedOn w:val="Normal"/>
    <w:next w:val="Normal"/>
    <w:qFormat/>
    <w:pPr>
      <w:spacing w:before="240" w:after="120"/>
    </w:pPr>
    <w:rPr>
      <w:b/>
      <w:sz w:val="28"/>
    </w:rPr>
  </w:style>
  <w:style w:type="paragraph" w:styleId="Hd1">
    <w:name w:val="Hd:1"/>
    <w:basedOn w:val="Normal"/>
    <w:next w:val="Normal"/>
    <w:qFormat/>
    <w:pPr>
      <w:spacing w:before="120" w:after="120"/>
    </w:pPr>
    <w:rPr>
      <w:b/>
      <w:sz w:val="36"/>
    </w:rPr>
  </w:style>
  <w:style w:type="paragraph" w:styleId="Thl0">
    <w:name w:val="Th:l:0"/>
    <w:basedOn w:val="Normal"/>
    <w:qFormat/>
    <w:pPr/>
    <w:rPr>
      <w:b/>
      <w:vanish/>
      <w:color w:val="FF0000"/>
      <w:sz w:val="16"/>
    </w:rPr>
  </w:style>
  <w:style w:type="paragraph" w:styleId="Ttm1">
    <w:name w:val="Tt:m:1"/>
    <w:basedOn w:val="Normal"/>
    <w:qFormat/>
    <w:pPr>
      <w:spacing w:before="240" w:after="0"/>
      <w:ind w:hanging="0" w:start="1440" w:end="2880"/>
    </w:pPr>
    <w:rPr>
      <w:b/>
      <w:sz w:val="28"/>
    </w:rPr>
  </w:style>
  <w:style w:type="paragraph" w:styleId="Tts1">
    <w:name w:val="Tt:s:1"/>
    <w:basedOn w:val="Normal"/>
    <w:qFormat/>
    <w:pPr>
      <w:spacing w:before="240" w:after="0"/>
      <w:ind w:hanging="0" w:start="4464" w:end="2592"/>
    </w:pPr>
    <w:rPr>
      <w:b/>
      <w:sz w:val="28"/>
    </w:rPr>
  </w:style>
  <w:style w:type="paragraph" w:styleId="Ttl1">
    <w:name w:val="Tt:l:1"/>
    <w:basedOn w:val="Normal"/>
    <w:qFormat/>
    <w:pPr>
      <w:spacing w:before="240" w:after="0"/>
      <w:ind w:hanging="0" w:start="1440" w:end="1440"/>
    </w:pPr>
    <w:rPr>
      <w:b/>
      <w:sz w:val="28"/>
    </w:rPr>
  </w:style>
  <w:style w:type="paragraph" w:styleId="Tsm1">
    <w:name w:val="Ts:m:1"/>
    <w:basedOn w:val="Normal"/>
    <w:qFormat/>
    <w:pPr>
      <w:spacing w:before="0" w:after="120"/>
      <w:ind w:hanging="0" w:start="1440" w:end="2880"/>
    </w:pPr>
    <w:rPr>
      <w:b/>
      <w:sz w:val="24"/>
    </w:rPr>
  </w:style>
  <w:style w:type="paragraph" w:styleId="Tum1">
    <w:name w:val="Tu:m:1"/>
    <w:basedOn w:val="Normal"/>
    <w:qFormat/>
    <w:pPr>
      <w:spacing w:before="0" w:after="20"/>
      <w:ind w:hanging="0" w:start="1440" w:end="2880"/>
    </w:pPr>
    <w:rPr>
      <w:b/>
      <w:i/>
      <w:sz w:val="24"/>
    </w:rPr>
  </w:style>
  <w:style w:type="paragraph" w:styleId="Tsl1">
    <w:name w:val="Ts:l:1"/>
    <w:basedOn w:val="Normal"/>
    <w:qFormat/>
    <w:pPr>
      <w:spacing w:before="0" w:after="120"/>
      <w:ind w:hanging="0" w:start="1440" w:end="1440"/>
    </w:pPr>
    <w:rPr>
      <w:b/>
      <w:sz w:val="24"/>
    </w:rPr>
  </w:style>
  <w:style w:type="paragraph" w:styleId="Tul1">
    <w:name w:val="Tu:l:1"/>
    <w:basedOn w:val="Normal"/>
    <w:qFormat/>
    <w:pPr>
      <w:spacing w:before="0" w:after="20"/>
      <w:ind w:hanging="0" w:start="1440" w:end="1440"/>
    </w:pPr>
    <w:rPr>
      <w:b/>
      <w:i/>
      <w:sz w:val="24"/>
    </w:rPr>
  </w:style>
  <w:style w:type="paragraph" w:styleId="Tsel1">
    <w:name w:val="Ts:el:1"/>
    <w:basedOn w:val="Normal"/>
    <w:qFormat/>
    <w:pPr>
      <w:spacing w:before="0" w:after="120"/>
    </w:pPr>
    <w:rPr>
      <w:b/>
      <w:sz w:val="24"/>
    </w:rPr>
  </w:style>
  <w:style w:type="paragraph" w:styleId="Tuel1">
    <w:name w:val="Tu:el:1"/>
    <w:basedOn w:val="Normal"/>
    <w:qFormat/>
    <w:pPr>
      <w:spacing w:before="0" w:after="20"/>
    </w:pPr>
    <w:rPr>
      <w:b/>
      <w:i/>
      <w:sz w:val="24"/>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Header">
    <w:name w:val="header"/>
    <w:basedOn w:val="Normal"/>
    <w:pPr>
      <w:tabs>
        <w:tab w:val="clear" w:pos="720"/>
        <w:tab w:val="center" w:pos="4320" w:leader="none"/>
        <w:tab w:val="right" w:pos="8640" w:leader="none"/>
      </w:tabs>
    </w:pPr>
    <w:rPr/>
  </w:style>
  <w:style w:type="paragraph" w:styleId="Tts0">
    <w:name w:val="Tt:s:0"/>
    <w:basedOn w:val="Normal"/>
    <w:qFormat/>
    <w:pPr>
      <w:spacing w:before="240" w:after="0"/>
      <w:ind w:hanging="0" w:start="2520" w:end="2520"/>
    </w:pPr>
    <w:rPr>
      <w:b/>
      <w:sz w:val="28"/>
    </w:rPr>
  </w:style>
  <w:style w:type="paragraph" w:styleId="Tss0">
    <w:name w:val="Ts:s:0"/>
    <w:basedOn w:val="Normal"/>
    <w:qFormat/>
    <w:pPr>
      <w:spacing w:before="0" w:after="120"/>
      <w:ind w:hanging="0" w:start="2520" w:end="2520"/>
    </w:pPr>
    <w:rPr>
      <w:b/>
      <w:sz w:val="24"/>
    </w:rPr>
  </w:style>
  <w:style w:type="paragraph" w:styleId="Tus0">
    <w:name w:val="Tu:s:0"/>
    <w:basedOn w:val="Normal"/>
    <w:qFormat/>
    <w:pPr>
      <w:spacing w:before="0" w:after="20"/>
      <w:ind w:hanging="0" w:start="2520" w:end="2520"/>
    </w:pPr>
    <w:rPr>
      <w:b/>
      <w:i/>
      <w:sz w:val="24"/>
    </w:rPr>
  </w:style>
  <w:style w:type="paragraph" w:styleId="Tfs0">
    <w:name w:val="Tf:s:0"/>
    <w:basedOn w:val="Normal"/>
    <w:qFormat/>
    <w:pPr>
      <w:spacing w:before="20" w:after="0"/>
      <w:ind w:hanging="288" w:start="2808" w:end="2520"/>
    </w:pPr>
    <w:rPr>
      <w:sz w:val="16"/>
    </w:rPr>
  </w:style>
  <w:style w:type="paragraph" w:styleId="Tns0">
    <w:name w:val="Tn:s:0"/>
    <w:basedOn w:val="Normal"/>
    <w:qFormat/>
    <w:pPr>
      <w:spacing w:before="20" w:after="0"/>
      <w:ind w:hanging="720" w:start="3240" w:end="2520"/>
    </w:pPr>
    <w:rPr>
      <w:sz w:val="16"/>
    </w:rPr>
  </w:style>
  <w:style w:type="paragraph" w:styleId="Ttl0">
    <w:name w:val="Tt:l:0"/>
    <w:basedOn w:val="Normal"/>
    <w:qFormat/>
    <w:pPr>
      <w:spacing w:before="240" w:after="0"/>
    </w:pPr>
    <w:rPr>
      <w:b/>
      <w:sz w:val="28"/>
    </w:rPr>
  </w:style>
  <w:style w:type="paragraph" w:styleId="Tsl0">
    <w:name w:val="Ts:l:0"/>
    <w:basedOn w:val="Normal"/>
    <w:qFormat/>
    <w:pPr>
      <w:spacing w:before="0" w:after="120"/>
    </w:pPr>
    <w:rPr>
      <w:b/>
      <w:sz w:val="24"/>
    </w:rPr>
  </w:style>
  <w:style w:type="paragraph" w:styleId="Tul0">
    <w:name w:val="Tu:l:0"/>
    <w:basedOn w:val="Normal"/>
    <w:qFormat/>
    <w:pPr>
      <w:spacing w:before="0" w:after="20"/>
    </w:pPr>
    <w:rPr>
      <w:b/>
      <w:i/>
      <w:sz w:val="24"/>
    </w:rPr>
  </w:style>
  <w:style w:type="paragraph" w:styleId="Tfl0">
    <w:name w:val="Tf:l:0"/>
    <w:basedOn w:val="Normal"/>
    <w:qFormat/>
    <w:pPr>
      <w:spacing w:before="20" w:after="0"/>
      <w:ind w:hanging="288" w:start="288" w:end="0"/>
    </w:pPr>
    <w:rPr>
      <w:sz w:val="16"/>
    </w:rPr>
  </w:style>
  <w:style w:type="paragraph" w:styleId="Tnl0">
    <w:name w:val="Tn:l:0"/>
    <w:basedOn w:val="Normal"/>
    <w:qFormat/>
    <w:pPr>
      <w:spacing w:before="20" w:after="0"/>
      <w:ind w:hanging="720" w:start="720" w:end="0"/>
    </w:pPr>
    <w:rPr>
      <w:i/>
      <w:sz w:val="16"/>
    </w:rPr>
  </w:style>
  <w:style w:type="paragraph" w:styleId="Cnp">
    <w:name w:val="Cnp"/>
    <w:basedOn w:val="Normal"/>
    <w:next w:val="Normal"/>
    <w:qFormat/>
    <w:pPr>
      <w:numPr>
        <w:ilvl w:val="0"/>
        <w:numId w:val="33"/>
      </w:numPr>
      <w:tabs>
        <w:tab w:val="clear" w:pos="720"/>
      </w:tabs>
    </w:pPr>
    <w:rPr>
      <w:b/>
      <w:sz w:val="24"/>
    </w:rPr>
  </w:style>
  <w:style w:type="paragraph" w:styleId="TocB0">
    <w:name w:val="Toc:B0"/>
    <w:basedOn w:val="Normal"/>
    <w:qFormat/>
    <w:pPr>
      <w:numPr>
        <w:ilvl w:val="0"/>
        <w:numId w:val="60"/>
      </w:numPr>
      <w:tabs>
        <w:tab w:val="clear" w:pos="720"/>
        <w:tab w:val="right" w:pos="9840" w:leader="none"/>
      </w:tabs>
      <w:spacing w:before="120" w:after="120"/>
      <w:ind w:hanging="0" w:start="0" w:end="720"/>
    </w:pPr>
    <w:rPr>
      <w:b/>
      <w:sz w:val="24"/>
    </w:rPr>
  </w:style>
  <w:style w:type="paragraph" w:styleId="TocC0">
    <w:name w:val="Toc:C0"/>
    <w:basedOn w:val="Normal"/>
    <w:qFormat/>
    <w:pPr>
      <w:tabs>
        <w:tab w:val="clear" w:pos="720"/>
        <w:tab w:val="right" w:pos="9840" w:leader="none"/>
      </w:tabs>
      <w:spacing w:before="120" w:after="120"/>
      <w:ind w:hanging="720" w:start="3600" w:end="720"/>
    </w:pPr>
    <w:rPr>
      <w:b/>
      <w:sz w:val="24"/>
    </w:rPr>
  </w:style>
  <w:style w:type="paragraph" w:styleId="TocC1">
    <w:name w:val="Toc:C1"/>
    <w:basedOn w:val="Normal"/>
    <w:qFormat/>
    <w:pPr>
      <w:tabs>
        <w:tab w:val="clear" w:pos="720"/>
        <w:tab w:val="right" w:pos="9840" w:leader="none"/>
      </w:tabs>
      <w:spacing w:before="100" w:after="100"/>
      <w:ind w:hanging="720" w:start="3600" w:end="1440"/>
    </w:pPr>
    <w:rPr>
      <w:b/>
      <w:sz w:val="24"/>
    </w:rPr>
  </w:style>
  <w:style w:type="paragraph" w:styleId="TocContent0">
    <w:name w:val="Toc:Content0"/>
    <w:basedOn w:val="Sec0"/>
    <w:next w:val="TocA1"/>
    <w:qFormat/>
    <w:pPr>
      <w:ind w:hanging="0" w:start="1440" w:end="0"/>
    </w:pPr>
    <w:rPr/>
  </w:style>
  <w:style w:type="paragraph" w:styleId="Scov1">
    <w:name w:val="Scov:1"/>
    <w:basedOn w:val="Normal"/>
    <w:next w:val="Normal"/>
    <w:qFormat/>
    <w:pPr>
      <w:spacing w:before="0" w:after="360"/>
      <w:ind w:hanging="0" w:start="1440" w:end="2480"/>
    </w:pPr>
    <w:rPr>
      <w:b/>
      <w:sz w:val="36"/>
    </w:rPr>
  </w:style>
  <w:style w:type="paragraph" w:styleId="Scovn1">
    <w:name w:val="Scov:n:1"/>
    <w:basedOn w:val="Scov1"/>
    <w:next w:val="Scov1"/>
    <w:qFormat/>
    <w:pPr>
      <w:pageBreakBefore/>
      <w:spacing w:before="960" w:after="360"/>
    </w:pPr>
    <w:rPr/>
  </w:style>
  <w:style w:type="paragraph" w:styleId="Scov0">
    <w:name w:val="Scov:0"/>
    <w:basedOn w:val="Normal"/>
    <w:next w:val="Normal"/>
    <w:qFormat/>
    <w:pPr>
      <w:spacing w:before="0" w:after="360"/>
      <w:ind w:hanging="0" w:start="1440" w:end="2480"/>
    </w:pPr>
    <w:rPr>
      <w:b/>
      <w:sz w:val="36"/>
    </w:rPr>
  </w:style>
  <w:style w:type="paragraph" w:styleId="Scovn0">
    <w:name w:val="Scov:n:0"/>
    <w:basedOn w:val="Scov0"/>
    <w:next w:val="Scov0"/>
    <w:qFormat/>
    <w:pPr>
      <w:pageBreakBefore/>
      <w:numPr>
        <w:ilvl w:val="0"/>
        <w:numId w:val="60"/>
      </w:numPr>
      <w:spacing w:before="1440" w:after="360"/>
      <w:ind w:hanging="0" w:start="1440" w:end="2477"/>
    </w:pPr>
    <w:rPr/>
  </w:style>
  <w:style w:type="paragraph" w:styleId="Hidden">
    <w:name w:val="Hidden"/>
    <w:basedOn w:val="Normal"/>
    <w:qFormat/>
    <w:pPr/>
    <w:rPr>
      <w:b/>
      <w:vanish/>
      <w:color w:val="FF0000"/>
      <w:sz w:val="16"/>
    </w:rPr>
  </w:style>
  <w:style w:type="paragraph" w:styleId="Ftnote0">
    <w:name w:val="Ftnote:0"/>
    <w:basedOn w:val="Normal"/>
    <w:next w:val="Normal"/>
    <w:qFormat/>
    <w:pPr>
      <w:spacing w:before="0" w:after="120"/>
    </w:pPr>
    <w:rPr>
      <w:sz w:val="16"/>
    </w:rPr>
  </w:style>
  <w:style w:type="paragraph" w:styleId="Ftnote1">
    <w:name w:val="Ftnote:1"/>
    <w:basedOn w:val="Normal"/>
    <w:next w:val="Normal"/>
    <w:qFormat/>
    <w:pPr>
      <w:pBdr>
        <w:top w:val="single" w:sz="6" w:space="1" w:color="000000"/>
      </w:pBdr>
      <w:spacing w:before="0" w:after="120"/>
    </w:pPr>
    <w:rPr>
      <w:sz w:val="16"/>
    </w:rPr>
  </w:style>
  <w:style w:type="paragraph" w:styleId="TocA0">
    <w:name w:val="Toc:A0"/>
    <w:basedOn w:val="Normal"/>
    <w:qFormat/>
    <w:pPr>
      <w:numPr>
        <w:ilvl w:val="0"/>
        <w:numId w:val="69"/>
      </w:numPr>
      <w:tabs>
        <w:tab w:val="clear" w:pos="720"/>
        <w:tab w:val="right" w:pos="9840" w:leader="none"/>
      </w:tabs>
      <w:spacing w:before="120" w:after="120"/>
      <w:ind w:hanging="0" w:start="0" w:end="960"/>
    </w:pPr>
    <w:rPr>
      <w:b/>
      <w:sz w:val="28"/>
    </w:rPr>
  </w:style>
  <w:style w:type="paragraph" w:styleId="Ttm0">
    <w:name w:val="Tt:m:0"/>
    <w:basedOn w:val="Normal"/>
    <w:qFormat/>
    <w:pPr>
      <w:spacing w:before="240" w:after="0"/>
      <w:ind w:hanging="0" w:start="1440" w:end="0"/>
    </w:pPr>
    <w:rPr>
      <w:b/>
      <w:sz w:val="28"/>
    </w:rPr>
  </w:style>
  <w:style w:type="paragraph" w:styleId="Tsm0">
    <w:name w:val="Ts:m:0"/>
    <w:basedOn w:val="Normal"/>
    <w:qFormat/>
    <w:pPr>
      <w:spacing w:before="0" w:after="120"/>
      <w:ind w:hanging="0" w:start="1440" w:end="0"/>
    </w:pPr>
    <w:rPr>
      <w:b/>
      <w:sz w:val="24"/>
    </w:rPr>
  </w:style>
  <w:style w:type="paragraph" w:styleId="Tum0">
    <w:name w:val="Tu:m:0"/>
    <w:basedOn w:val="Normal"/>
    <w:qFormat/>
    <w:pPr>
      <w:spacing w:before="0" w:after="20"/>
      <w:ind w:hanging="0" w:start="1440" w:end="0"/>
    </w:pPr>
    <w:rPr>
      <w:b/>
      <w:i/>
      <w:sz w:val="24"/>
    </w:rPr>
  </w:style>
  <w:style w:type="paragraph" w:styleId="Tfm0">
    <w:name w:val="Tf:m:0"/>
    <w:basedOn w:val="Normal"/>
    <w:qFormat/>
    <w:pPr>
      <w:spacing w:before="20" w:after="0"/>
      <w:ind w:hanging="288" w:start="1728" w:end="0"/>
    </w:pPr>
    <w:rPr>
      <w:sz w:val="16"/>
    </w:rPr>
  </w:style>
  <w:style w:type="paragraph" w:styleId="Tnm0">
    <w:name w:val="Tn:m:0"/>
    <w:basedOn w:val="Normal"/>
    <w:qFormat/>
    <w:pPr>
      <w:spacing w:before="20" w:after="0"/>
      <w:ind w:hanging="720" w:start="2160" w:end="0"/>
    </w:pPr>
    <w:rPr>
      <w:sz w:val="16"/>
    </w:rPr>
  </w:style>
  <w:style w:type="paragraph" w:styleId="Ths0">
    <w:name w:val="Th:s:0"/>
    <w:basedOn w:val="Normal"/>
    <w:qFormat/>
    <w:pPr>
      <w:ind w:hanging="0" w:start="2520" w:end="1800"/>
    </w:pPr>
    <w:rPr>
      <w:b/>
      <w:vanish/>
      <w:color w:val="FF0000"/>
      <w:sz w:val="16"/>
    </w:rPr>
  </w:style>
  <w:style w:type="paragraph" w:styleId="Thl1">
    <w:name w:val="Th:l:1"/>
    <w:basedOn w:val="Normal"/>
    <w:qFormat/>
    <w:pPr>
      <w:ind w:hanging="0" w:start="1440" w:end="1440"/>
    </w:pPr>
    <w:rPr>
      <w:b/>
      <w:vanish/>
      <w:color w:val="FF0000"/>
      <w:sz w:val="16"/>
    </w:rPr>
  </w:style>
  <w:style w:type="paragraph" w:styleId="Ths1">
    <w:name w:val="Th:s:1"/>
    <w:basedOn w:val="Normal"/>
    <w:qFormat/>
    <w:pPr>
      <w:ind w:hanging="0" w:start="4500" w:end="2610"/>
    </w:pPr>
    <w:rPr>
      <w:b/>
      <w:vanish/>
      <w:color w:val="FF0000"/>
      <w:sz w:val="16"/>
    </w:rPr>
  </w:style>
  <w:style w:type="paragraph" w:styleId="Thm1">
    <w:name w:val="Th:m:1"/>
    <w:basedOn w:val="Normal"/>
    <w:qFormat/>
    <w:pPr>
      <w:ind w:hanging="0" w:start="1440" w:end="2880"/>
    </w:pPr>
    <w:rPr>
      <w:b/>
      <w:vanish/>
      <w:color w:val="FF0000"/>
      <w:sz w:val="16"/>
    </w:rPr>
  </w:style>
  <w:style w:type="paragraph" w:styleId="Thm0">
    <w:name w:val="Th:m:0"/>
    <w:basedOn w:val="Normal"/>
    <w:qFormat/>
    <w:pPr>
      <w:ind w:hanging="0" w:start="1440" w:end="0"/>
    </w:pPr>
    <w:rPr>
      <w:b/>
      <w:vanish/>
      <w:color w:val="FF0000"/>
      <w:sz w:val="16"/>
    </w:rPr>
  </w:style>
  <w:style w:type="paragraph" w:styleId="Thel1">
    <w:name w:val="Th:el:1"/>
    <w:basedOn w:val="Normal"/>
    <w:qFormat/>
    <w:pPr/>
    <w:rPr>
      <w:b/>
      <w:vanish/>
      <w:color w:val="FF0000"/>
      <w:sz w:val="16"/>
    </w:rPr>
  </w:style>
  <w:style w:type="paragraph" w:styleId="IntroPage">
    <w:name w:val="Intro Page"/>
    <w:basedOn w:val="Normal"/>
    <w:qFormat/>
    <w:pPr/>
    <w:rPr/>
  </w:style>
  <w:style w:type="paragraph" w:styleId="Note">
    <w:name w:val="Note"/>
    <w:basedOn w:val="Normal"/>
    <w:next w:val="Normal"/>
    <w:qFormat/>
    <w:pPr>
      <w:numPr>
        <w:ilvl w:val="0"/>
        <w:numId w:val="67"/>
      </w:numPr>
      <w:spacing w:before="40" w:after="0"/>
    </w:pPr>
    <w:rPr>
      <w:sz w:val="16"/>
    </w:rPr>
  </w:style>
  <w:style w:type="paragraph" w:styleId="Tbhd1">
    <w:name w:val="Tb:hd:1"/>
    <w:basedOn w:val="Normal"/>
    <w:qFormat/>
    <w:pPr>
      <w:keepNext w:val="true"/>
      <w:spacing w:lineRule="exact" w:line="176" w:before="36" w:after="36"/>
      <w:jc w:val="center"/>
    </w:pPr>
    <w:rPr>
      <w:caps/>
      <w:sz w:val="16"/>
    </w:rPr>
  </w:style>
  <w:style w:type="paragraph" w:styleId="Source">
    <w:name w:val="Source"/>
    <w:basedOn w:val="Normal"/>
    <w:next w:val="Normal"/>
    <w:qFormat/>
    <w:pPr>
      <w:numPr>
        <w:ilvl w:val="0"/>
        <w:numId w:val="59"/>
      </w:numPr>
      <w:spacing w:before="40" w:after="0"/>
    </w:pPr>
    <w:rPr>
      <w:sz w:val="16"/>
    </w:rPr>
  </w:style>
  <w:style w:type="paragraph" w:styleId="Sourcel1">
    <w:name w:val="Source:l:1"/>
    <w:basedOn w:val="Normal"/>
    <w:qFormat/>
    <w:pPr>
      <w:spacing w:before="0" w:after="158"/>
      <w:ind w:hanging="662" w:start="3010" w:end="2534"/>
    </w:pPr>
    <w:rPr>
      <w:sz w:val="16"/>
    </w:rPr>
  </w:style>
  <w:style w:type="paragraph" w:styleId="Sec0n">
    <w:name w:val="Sec:0:n"/>
    <w:basedOn w:val="Sec0"/>
    <w:next w:val="Sub0n"/>
    <w:qFormat/>
    <w:pPr>
      <w:numPr>
        <w:ilvl w:val="0"/>
        <w:numId w:val="36"/>
      </w:numPr>
    </w:pPr>
    <w:rPr>
      <w:rFonts w:ascii="Arial Bold" w:hAnsi="Arial Bold" w:cs="Arial"/>
      <w:sz w:val="32"/>
    </w:rPr>
  </w:style>
  <w:style w:type="paragraph" w:styleId="C0dash">
    <w:name w:val="C:0:dash"/>
    <w:basedOn w:val="C0b"/>
    <w:qFormat/>
    <w:pPr>
      <w:numPr>
        <w:ilvl w:val="0"/>
        <w:numId w:val="65"/>
      </w:numPr>
      <w:spacing w:before="36" w:after="18"/>
      <w:ind w:hanging="0" w:start="0" w:end="720"/>
    </w:pPr>
    <w:rPr/>
  </w:style>
  <w:style w:type="paragraph" w:styleId="Sec0n1">
    <w:name w:val="Sec:0:n+"/>
    <w:basedOn w:val="Sec0n"/>
    <w:next w:val="Sub0n"/>
    <w:qFormat/>
    <w:pPr>
      <w:numPr>
        <w:ilvl w:val="0"/>
        <w:numId w:val="46"/>
      </w:numPr>
    </w:pPr>
    <w:rPr/>
  </w:style>
  <w:style w:type="paragraph" w:styleId="BodyTextIndent">
    <w:name w:val="Body Text Indent"/>
    <w:basedOn w:val="Normal"/>
    <w:pPr>
      <w:ind w:hanging="2970" w:start="2970" w:end="0"/>
    </w:pPr>
    <w:rPr>
      <w:color w:val="000000"/>
    </w:rPr>
  </w:style>
  <w:style w:type="paragraph" w:styleId="TOC1">
    <w:name w:val="toc 1"/>
    <w:next w:val="Normal"/>
    <w:pPr>
      <w:keepNext w:val="true"/>
      <w:keepLines/>
      <w:widowControl/>
      <w:numPr>
        <w:ilvl w:val="0"/>
        <w:numId w:val="32"/>
      </w:numPr>
      <w:tabs>
        <w:tab w:val="clear" w:pos="720"/>
        <w:tab w:val="left" w:pos="605" w:leader="none"/>
        <w:tab w:val="right" w:pos="8280" w:leader="none"/>
        <w:tab w:val="right" w:pos="8496" w:leader="none"/>
      </w:tabs>
      <w:bidi w:val="0"/>
      <w:spacing w:before="180" w:after="0"/>
    </w:pPr>
    <w:rPr>
      <w:rFonts w:ascii="Times New Roman" w:hAnsi="Times New Roman" w:eastAsia="Times New Roman" w:cs="Times New Roman"/>
      <w:b/>
      <w:smallCaps/>
      <w:color w:val="auto"/>
      <w:spacing w:val="10"/>
      <w:kern w:val="2"/>
      <w:sz w:val="26"/>
      <w:szCs w:val="20"/>
      <w:lang w:val="en-US" w:bidi="ar-SA" w:eastAsia="zh-CN"/>
    </w:rPr>
  </w:style>
  <w:style w:type="paragraph" w:styleId="Bullet1-Heavy">
    <w:name w:val="Bullet 1 - Heavy"/>
    <w:next w:val="Normal"/>
    <w:qFormat/>
    <w:pPr>
      <w:widowControl/>
      <w:numPr>
        <w:ilvl w:val="0"/>
        <w:numId w:val="61"/>
      </w:numPr>
      <w:tabs>
        <w:tab w:val="clear" w:pos="720"/>
        <w:tab w:val="left" w:pos="302" w:leader="none"/>
      </w:tabs>
      <w:bidi w:val="0"/>
      <w:spacing w:before="60" w:after="60"/>
      <w:jc w:val="both"/>
      <w:outlineLvl w:val="5"/>
    </w:pPr>
    <w:rPr>
      <w:rFonts w:ascii="Arial" w:hAnsi="Arial" w:eastAsia="Times New Roman" w:cs="Arial"/>
      <w:b/>
      <w:color w:val="auto"/>
      <w:sz w:val="21"/>
      <w:szCs w:val="20"/>
      <w:lang w:val="en-US" w:bidi="ar-SA" w:eastAsia="zh-CN"/>
    </w:rPr>
  </w:style>
  <w:style w:type="paragraph" w:styleId="Bullet1-HeavyinTable">
    <w:name w:val="Bullet 1 - Heavy (in Table)"/>
    <w:next w:val="TableMatrixText"/>
    <w:qFormat/>
    <w:pPr>
      <w:widowControl/>
      <w:numPr>
        <w:ilvl w:val="0"/>
        <w:numId w:val="35"/>
      </w:numPr>
      <w:tabs>
        <w:tab w:val="clear" w:pos="720"/>
        <w:tab w:val="left" w:pos="446" w:leader="none"/>
        <w:tab w:val="left" w:pos="1152" w:leader="none"/>
      </w:tabs>
      <w:bidi w:val="0"/>
      <w:spacing w:before="40" w:after="40"/>
      <w:ind w:hanging="216" w:start="446" w:end="144"/>
    </w:pPr>
    <w:rPr>
      <w:rFonts w:ascii="Arial" w:hAnsi="Arial" w:eastAsia="Times New Roman" w:cs="Arial"/>
      <w:b/>
      <w:color w:val="auto"/>
      <w:kern w:val="2"/>
      <w:sz w:val="17"/>
      <w:szCs w:val="20"/>
      <w:lang w:val="en-US" w:bidi="ar-SA" w:eastAsia="zh-CN"/>
    </w:rPr>
  </w:style>
  <w:style w:type="paragraph" w:styleId="TableMatrixText">
    <w:name w:val="TableMatrix Text"/>
    <w:qFormat/>
    <w:pPr>
      <w:widowControl/>
      <w:bidi w:val="0"/>
      <w:spacing w:before="100" w:after="100"/>
      <w:ind w:hanging="0" w:start="144" w:end="144"/>
    </w:pPr>
    <w:rPr>
      <w:rFonts w:ascii="Times New Roman" w:hAnsi="Times New Roman" w:eastAsia="Times New Roman" w:cs="Times New Roman"/>
      <w:color w:val="auto"/>
      <w:sz w:val="18"/>
      <w:szCs w:val="20"/>
      <w:lang w:val="en-US" w:bidi="ar-SA" w:eastAsia="zh-CN"/>
    </w:rPr>
  </w:style>
  <w:style w:type="paragraph" w:styleId="TableImpColHd">
    <w:name w:val="TableImp Col Hd"/>
    <w:basedOn w:val="Normal"/>
    <w:qFormat/>
    <w:pPr>
      <w:keepNext w:val="true"/>
      <w:keepLines/>
      <w:spacing w:before="0" w:after="120"/>
    </w:pPr>
    <w:rPr>
      <w:b/>
      <w:kern w:val="2"/>
      <w:sz w:val="32"/>
    </w:rPr>
  </w:style>
  <w:style w:type="paragraph" w:styleId="DLJCoverPage2">
    <w:name w:val="DLJ Cover Page 2"/>
    <w:qFormat/>
    <w:pPr>
      <w:widowControl/>
      <w:bidi w:val="0"/>
    </w:pPr>
    <w:rPr>
      <w:rFonts w:ascii="Palatino" w:hAnsi="Palatino" w:eastAsia="Times New Roman" w:cs="Palatino"/>
      <w:b/>
      <w:color w:val="auto"/>
      <w:sz w:val="28"/>
      <w:szCs w:val="20"/>
      <w:lang w:val="en-US" w:bidi="ar-SA" w:eastAsia="zh-CN"/>
    </w:rPr>
  </w:style>
  <w:style w:type="paragraph" w:styleId="CIMContactAddress">
    <w:name w:val="CIM Contact Address"/>
    <w:qFormat/>
    <w:pPr>
      <w:widowControl/>
      <w:bidi w:val="0"/>
      <w:spacing w:lineRule="atLeast" w:line="210" w:before="120" w:after="0"/>
    </w:pPr>
    <w:rPr>
      <w:rFonts w:ascii="Times New Roman" w:hAnsi="Times New Roman" w:eastAsia="Times New Roman" w:cs="Times New Roman"/>
      <w:color w:val="auto"/>
      <w:sz w:val="20"/>
      <w:szCs w:val="20"/>
      <w:lang w:val="en-US" w:bidi="ar-SA" w:eastAsia="zh-CN"/>
    </w:rPr>
  </w:style>
  <w:style w:type="paragraph" w:styleId="EventArrow">
    <w:name w:val="Event Arrow"/>
    <w:qFormat/>
    <w:pPr>
      <w:widowControl/>
      <w:bidi w:val="0"/>
      <w:spacing w:before="60" w:after="0"/>
    </w:pPr>
    <w:rPr>
      <w:rFonts w:ascii="NewspaperPi BT;Symbol" w:hAnsi="NewspaperPi BT;Symbol" w:eastAsia="Times New Roman" w:cs="NewspaperPi BT;Symbol"/>
      <w:b/>
      <w:color w:val="auto"/>
      <w:kern w:val="2"/>
      <w:sz w:val="20"/>
      <w:szCs w:val="20"/>
      <w:lang w:val="en-US" w:bidi="ar-SA" w:eastAsia="zh-CN"/>
    </w:rPr>
  </w:style>
  <w:style w:type="paragraph" w:styleId="FCSSubLogoText">
    <w:name w:val="FCS Sub Logo Text"/>
    <w:qFormat/>
    <w:pPr>
      <w:keepNext w:val="true"/>
      <w:keepLines/>
      <w:widowControl/>
      <w:bidi w:val="0"/>
      <w:spacing w:before="120" w:after="120"/>
      <w:jc w:val="center"/>
    </w:pPr>
    <w:rPr>
      <w:rFonts w:ascii="Times New Roman" w:hAnsi="Times New Roman" w:eastAsia="Times New Roman" w:cs="Times New Roman"/>
      <w:color w:val="auto"/>
      <w:kern w:val="2"/>
      <w:sz w:val="20"/>
      <w:szCs w:val="20"/>
      <w:lang w:val="en-US" w:bidi="ar-SA" w:eastAsia="zh-CN"/>
    </w:rPr>
  </w:style>
  <w:style w:type="paragraph" w:styleId="BodyText2">
    <w:name w:val="Body Text 2"/>
    <w:basedOn w:val="Normal"/>
    <w:qFormat/>
    <w:pPr>
      <w:spacing w:before="0" w:after="120"/>
      <w:jc w:val="both"/>
    </w:pPr>
    <w:rPr>
      <w:rFonts w:ascii="Times New Roman" w:hAnsi="Times New Roman" w:cs="Times New Roman"/>
      <w:sz w:val="23"/>
    </w:rPr>
  </w:style>
  <w:style w:type="paragraph" w:styleId="TableHeadings">
    <w:name w:val="Table Headings"/>
    <w:basedOn w:val="Normal"/>
    <w:qFormat/>
    <w:pPr>
      <w:spacing w:before="36" w:after="36"/>
      <w:jc w:val="center"/>
    </w:pPr>
    <w:rPr>
      <w:caps/>
      <w:sz w:val="16"/>
    </w:rPr>
  </w:style>
  <w:style w:type="paragraph" w:styleId="tablepara6">
    <w:name w:val="table para 6"/>
    <w:basedOn w:val="Normal"/>
    <w:qFormat/>
    <w:pPr>
      <w:tabs>
        <w:tab w:val="clear" w:pos="720"/>
        <w:tab w:val="left" w:pos="2175" w:leader="none"/>
        <w:tab w:val="right" w:pos="8388" w:leader="none"/>
      </w:tabs>
      <w:spacing w:before="0" w:after="120"/>
    </w:pPr>
    <w:rPr>
      <w:sz w:val="18"/>
      <w:lang w:val="de-DE"/>
    </w:rPr>
  </w:style>
  <w:style w:type="paragraph" w:styleId="TableHead">
    <w:name w:val="Table Head"/>
    <w:basedOn w:val="Normal"/>
    <w:qFormat/>
    <w:pPr>
      <w:spacing w:before="120" w:after="0"/>
    </w:pPr>
    <w:rPr>
      <w:rFonts w:ascii="Arial Bold" w:hAnsi="Arial Bold" w:cs="Arial Bold"/>
      <w:b/>
      <w:sz w:val="24"/>
    </w:rPr>
  </w:style>
  <w:style w:type="paragraph" w:styleId="heding4">
    <w:name w:val="heding 4"/>
    <w:basedOn w:val="Normal"/>
    <w:qFormat/>
    <w:pPr>
      <w:spacing w:before="0" w:after="240"/>
      <w:jc w:val="both"/>
    </w:pPr>
    <w:rPr>
      <w:sz w:val="22"/>
    </w:rPr>
  </w:style>
  <w:style w:type="paragraph" w:styleId="Heading-Level1">
    <w:name w:val="Heading - Level 1"/>
    <w:next w:val="Heading-Level2"/>
    <w:qFormat/>
    <w:pPr>
      <w:keepNext w:val="true"/>
      <w:keepLines/>
      <w:pageBreakBefore/>
      <w:widowControl/>
      <w:bidi w:val="0"/>
      <w:spacing w:before="0" w:after="120"/>
      <w:ind w:hanging="0" w:start="-720" w:end="0"/>
    </w:pPr>
    <w:rPr>
      <w:rFonts w:ascii="Times New Roman" w:hAnsi="Times New Roman" w:eastAsia="Times New Roman" w:cs="Times New Roman"/>
      <w:b/>
      <w:smallCaps/>
      <w:color w:val="auto"/>
      <w:spacing w:val="20"/>
      <w:kern w:val="2"/>
      <w:sz w:val="36"/>
      <w:szCs w:val="20"/>
      <w:lang w:val="en-US" w:eastAsia="en-CA" w:bidi="ar-SA"/>
    </w:rPr>
  </w:style>
  <w:style w:type="paragraph" w:styleId="Heading-Level2">
    <w:name w:val="Heading - Level 2"/>
    <w:next w:val="BodyText"/>
    <w:qFormat/>
    <w:pPr>
      <w:keepNext w:val="true"/>
      <w:keepLines/>
      <w:widowControl/>
      <w:bidi w:val="0"/>
      <w:spacing w:before="240" w:after="120"/>
      <w:ind w:hanging="0" w:start="-360" w:end="0"/>
    </w:pPr>
    <w:rPr>
      <w:rFonts w:ascii="Times New Roman" w:hAnsi="Times New Roman" w:eastAsia="Times New Roman" w:cs="Times New Roman"/>
      <w:b/>
      <w:smallCaps/>
      <w:color w:val="800000"/>
      <w:spacing w:val="30"/>
      <w:sz w:val="28"/>
      <w:szCs w:val="20"/>
      <w:lang w:val="en-US" w:bidi="ar-SA" w:eastAsia="zh-CN"/>
    </w:rPr>
  </w:style>
  <w:style w:type="paragraph" w:styleId="Bullet1-Soft">
    <w:name w:val="Bullet 1 - Soft"/>
    <w:basedOn w:val="Bullet1-Heavy"/>
    <w:next w:val="Normal"/>
    <w:qFormat/>
    <w:pPr>
      <w:numPr>
        <w:ilvl w:val="0"/>
        <w:numId w:val="74"/>
      </w:numPr>
      <w:outlineLvl w:val="9"/>
    </w:pPr>
    <w:rPr>
      <w:rFonts w:ascii="Times New Roman" w:hAnsi="Times New Roman" w:cs="Times New Roman"/>
      <w:b w:val="false"/>
      <w:sz w:val="22"/>
    </w:rPr>
  </w:style>
  <w:style w:type="paragraph" w:styleId="Heading-Level3">
    <w:name w:val="Heading - Level 3"/>
    <w:next w:val="BodyText"/>
    <w:qFormat/>
    <w:pPr>
      <w:keepNext w:val="true"/>
      <w:keepLines/>
      <w:widowControl/>
      <w:bidi w:val="0"/>
      <w:spacing w:before="80" w:after="120"/>
    </w:pPr>
    <w:rPr>
      <w:rFonts w:ascii="Arial" w:hAnsi="Arial" w:eastAsia="Times New Roman" w:cs="Arial"/>
      <w:b/>
      <w:color w:val="auto"/>
      <w:sz w:val="21"/>
      <w:szCs w:val="20"/>
      <w:lang w:val="en-US" w:bidi="ar-SA" w:eastAsia="zh-CN"/>
    </w:rPr>
  </w:style>
  <w:style w:type="paragraph" w:styleId="FinancialTableMainHd">
    <w:name w:val="Financial Table Main Hd"/>
    <w:next w:val="FinancialTableDenomination"/>
    <w:qFormat/>
    <w:pPr>
      <w:keepNext w:val="true"/>
      <w:keepLines/>
      <w:widowControl/>
      <w:bidi w:val="0"/>
      <w:ind w:hanging="0" w:start="29" w:end="144"/>
    </w:pPr>
    <w:rPr>
      <w:rFonts w:ascii="Arial" w:hAnsi="Arial" w:eastAsia="Times New Roman" w:cs="Arial"/>
      <w:b/>
      <w:caps/>
      <w:color w:val="auto"/>
      <w:sz w:val="17"/>
      <w:szCs w:val="20"/>
      <w:lang w:val="en-US" w:bidi="ar-SA" w:eastAsia="zh-CN"/>
    </w:rPr>
  </w:style>
  <w:style w:type="paragraph" w:styleId="FinancialTableDenomination">
    <w:name w:val="Financial Table Denomination"/>
    <w:qFormat/>
    <w:pPr>
      <w:keepNext w:val="true"/>
      <w:keepLines/>
      <w:widowControl/>
      <w:bidi w:val="0"/>
      <w:spacing w:before="0" w:after="30"/>
      <w:ind w:hanging="0" w:start="29" w:end="14"/>
    </w:pPr>
    <w:rPr>
      <w:rFonts w:ascii="Times New Roman" w:hAnsi="Times New Roman" w:eastAsia="Times New Roman" w:cs="Times New Roman"/>
      <w:color w:val="auto"/>
      <w:kern w:val="2"/>
      <w:sz w:val="14"/>
      <w:szCs w:val="20"/>
      <w:lang w:val="en-US" w:bidi="ar-SA" w:eastAsia="zh-CN"/>
    </w:rPr>
  </w:style>
  <w:style w:type="paragraph" w:styleId="ExcelChart">
    <w:name w:val="Excel Chart"/>
    <w:next w:val="BodyText"/>
    <w:qFormat/>
    <w:pPr>
      <w:widowControl/>
      <w:bidi w:val="0"/>
      <w:spacing w:before="0" w:after="120"/>
      <w:ind w:hanging="0" w:start="-101" w:end="0"/>
    </w:pPr>
    <w:rPr>
      <w:rFonts w:ascii="Times New Roman" w:hAnsi="Times New Roman" w:eastAsia="Times New Roman" w:cs="Times New Roman"/>
      <w:color w:val="auto"/>
      <w:kern w:val="2"/>
      <w:sz w:val="24"/>
      <w:szCs w:val="20"/>
      <w:lang w:val="en-US" w:bidi="ar-SA" w:eastAsia="zh-CN"/>
    </w:rPr>
  </w:style>
  <w:style w:type="paragraph" w:styleId="FootnoteText">
    <w:name w:val="footnote text"/>
    <w:pPr>
      <w:widowControl/>
      <w:bidi w:val="0"/>
      <w:spacing w:lineRule="atLeast" w:line="220"/>
    </w:pPr>
    <w:rPr>
      <w:rFonts w:ascii="Times New Roman" w:hAnsi="Times New Roman" w:eastAsia="Times New Roman" w:cs="Times New Roman"/>
      <w:color w:val="auto"/>
      <w:kern w:val="2"/>
      <w:sz w:val="16"/>
      <w:szCs w:val="20"/>
      <w:lang w:val="en-US" w:bidi="ar-SA" w:eastAsia="zh-CN"/>
    </w:rPr>
  </w:style>
  <w:style w:type="paragraph" w:styleId="Plain">
    <w:name w:val="Plain"/>
    <w:basedOn w:val="Normal"/>
    <w:qFormat/>
    <w:pPr/>
    <w:rPr/>
  </w:style>
  <w:style w:type="paragraph" w:styleId="GenericTableColHd">
    <w:name w:val="Generic Table Col Hd"/>
    <w:qFormat/>
    <w:pPr>
      <w:keepNext w:val="true"/>
      <w:keepLines/>
      <w:widowControl/>
      <w:bidi w:val="0"/>
      <w:spacing w:before="20" w:after="30"/>
      <w:jc w:val="center"/>
    </w:pPr>
    <w:rPr>
      <w:rFonts w:ascii="Arial" w:hAnsi="Arial" w:eastAsia="Times New Roman" w:cs="Arial"/>
      <w:b/>
      <w:color w:val="auto"/>
      <w:sz w:val="16"/>
      <w:szCs w:val="20"/>
      <w:lang w:val="en-US" w:bidi="ar-SA" w:eastAsia="zh-CN"/>
    </w:rPr>
  </w:style>
  <w:style w:type="paragraph" w:styleId="GenericTableRowHd">
    <w:name w:val="Generic Table Row Hd"/>
    <w:qFormat/>
    <w:pPr>
      <w:keepLines/>
      <w:widowControl/>
      <w:tabs>
        <w:tab w:val="clear" w:pos="720"/>
        <w:tab w:val="left" w:pos="216" w:leader="none"/>
        <w:tab w:val="left" w:pos="360" w:leader="none"/>
        <w:tab w:val="left" w:pos="504" w:leader="none"/>
      </w:tabs>
      <w:bidi w:val="0"/>
      <w:spacing w:before="100" w:after="100"/>
      <w:ind w:hanging="0" w:start="72" w:end="144"/>
    </w:pPr>
    <w:rPr>
      <w:rFonts w:ascii="Times New Roman" w:hAnsi="Times New Roman" w:eastAsia="Times New Roman" w:cs="Times New Roman"/>
      <w:color w:val="auto"/>
      <w:sz w:val="18"/>
      <w:szCs w:val="20"/>
      <w:lang w:val="en-US" w:bidi="ar-SA" w:eastAsia="zh-CN"/>
    </w:rPr>
  </w:style>
  <w:style w:type="paragraph" w:styleId="BodyText3">
    <w:name w:val="Body Text 3"/>
    <w:basedOn w:val="Normal"/>
    <w:qFormat/>
    <w:pPr/>
    <w:rPr/>
  </w:style>
  <w:style w:type="paragraph" w:styleId="TableText">
    <w:name w:val="Table Text"/>
    <w:basedOn w:val="Normal"/>
    <w:qFormat/>
    <w:pPr>
      <w:spacing w:before="36" w:after="36"/>
    </w:pPr>
    <w:rPr/>
  </w:style>
  <w:style w:type="paragraph" w:styleId="abullets">
    <w:name w:val="a:bullets"/>
    <w:basedOn w:val="Normal"/>
    <w:qFormat/>
    <w:pPr>
      <w:numPr>
        <w:ilvl w:val="0"/>
        <w:numId w:val="58"/>
      </w:numPr>
      <w:spacing w:before="240" w:after="0"/>
    </w:pPr>
    <w:rPr>
      <w:lang w:val="en-GB"/>
    </w:rPr>
  </w:style>
  <w:style w:type="paragraph" w:styleId="B1bboxA">
    <w:name w:val="B:1:bbox:A"/>
    <w:basedOn w:val="B1bbox"/>
    <w:qFormat/>
    <w:pPr>
      <w:numPr>
        <w:ilvl w:val="0"/>
        <w:numId w:val="54"/>
      </w:numPr>
      <w:tabs>
        <w:tab w:val="left" w:pos="1800" w:leader="none"/>
      </w:tabs>
      <w:ind w:hanging="0" w:start="1800" w:end="0"/>
    </w:pPr>
    <w:rPr/>
  </w:style>
  <w:style w:type="paragraph" w:styleId="SecRN0">
    <w:name w:val="Sec:RN:0"/>
    <w:basedOn w:val="Sub0n"/>
    <w:qFormat/>
    <w:pPr>
      <w:numPr>
        <w:ilvl w:val="0"/>
        <w:numId w:val="0"/>
      </w:numPr>
      <w:ind w:hanging="720" w:start="720" w:end="0"/>
    </w:pPr>
    <w:rPr>
      <w:rFonts w:cs="Times New Roman"/>
    </w:rPr>
  </w:style>
  <w:style w:type="paragraph" w:styleId="HdLet0">
    <w:name w:val="Hd:Let:0"/>
    <w:basedOn w:val="Sub0n"/>
    <w:qFormat/>
    <w:pPr>
      <w:numPr>
        <w:ilvl w:val="0"/>
        <w:numId w:val="0"/>
      </w:numPr>
      <w:spacing w:before="240" w:after="240"/>
      <w:ind w:hanging="720" w:start="1440" w:end="0"/>
    </w:pPr>
    <w:rPr>
      <w:rFonts w:cs="Times New Roman"/>
      <w:sz w:val="28"/>
    </w:rPr>
  </w:style>
  <w:style w:type="paragraph" w:styleId="CommentText">
    <w:name w:val="Comment Text"/>
    <w:basedOn w:val="Normal"/>
    <w:qFormat/>
    <w:pPr/>
    <w:rPr/>
  </w:style>
  <w:style w:type="paragraph" w:styleId="BodyTextIndent2">
    <w:name w:val="Body Text Indent 2"/>
    <w:basedOn w:val="Normal"/>
    <w:qFormat/>
    <w:pPr>
      <w:ind w:hanging="2970" w:start="2970" w:end="0"/>
    </w:pPr>
    <w:rPr>
      <w:color w:val="000000"/>
    </w:rPr>
  </w:style>
  <w:style w:type="paragraph" w:styleId="ListNumber">
    <w:name w:val="List Number"/>
    <w:basedOn w:val="Normal"/>
    <w:qFormat/>
    <w:pPr>
      <w:numPr>
        <w:ilvl w:val="0"/>
        <w:numId w:val="10"/>
      </w:numPr>
    </w:pPr>
    <w:rPr>
      <w:rFonts w:ascii="Times New Roman" w:hAnsi="Times New Roman" w:cs="Times New Roman"/>
    </w:rPr>
  </w:style>
  <w:style w:type="paragraph" w:styleId="ListBullet51">
    <w:name w:val="List Bullet 51"/>
    <w:basedOn w:val="Normal"/>
    <w:qFormat/>
    <w:pPr>
      <w:numPr>
        <w:ilvl w:val="0"/>
        <w:numId w:val="6"/>
      </w:numPr>
    </w:pPr>
    <w:rPr>
      <w:rFonts w:ascii="Times New Roman" w:hAnsi="Times New Roman" w:cs="Times New Roman"/>
    </w:rPr>
  </w:style>
  <w:style w:type="paragraph" w:styleId="ListNumber5">
    <w:name w:val="List Number 5"/>
    <w:basedOn w:val="Normal"/>
    <w:qFormat/>
    <w:pPr>
      <w:numPr>
        <w:ilvl w:val="0"/>
        <w:numId w:val="2"/>
      </w:numPr>
    </w:pPr>
    <w:rPr>
      <w:rFonts w:ascii="Times New Roman" w:hAnsi="Times New Roman" w:cs="Times New Roman"/>
    </w:rPr>
  </w:style>
  <w:style w:type="paragraph" w:styleId="A0spec">
    <w:name w:val="A:0spec"/>
    <w:basedOn w:val="A0"/>
    <w:qFormat/>
    <w:pPr>
      <w:numPr>
        <w:ilvl w:val="0"/>
        <w:numId w:val="39"/>
      </w:numPr>
      <w:tabs>
        <w:tab w:val="clear" w:pos="720"/>
        <w:tab w:val="left" w:pos="1800" w:leader="none"/>
      </w:tabs>
      <w:ind w:hanging="0" w:start="1800" w:end="0"/>
    </w:pPr>
    <w:rPr/>
  </w:style>
  <w:style w:type="paragraph" w:styleId="secy0">
    <w:name w:val="secy:0"/>
    <w:basedOn w:val="Sec0"/>
    <w:next w:val="Sub0n"/>
    <w:qFormat/>
    <w:pPr>
      <w:numPr>
        <w:ilvl w:val="0"/>
        <w:numId w:val="56"/>
      </w:numPr>
    </w:pPr>
    <w:rPr/>
  </w:style>
  <w:style w:type="paragraph" w:styleId="Normal-1">
    <w:name w:val="Normal-1"/>
    <w:basedOn w:val="Normal"/>
    <w:qFormat/>
    <w:pPr>
      <w:numPr>
        <w:ilvl w:val="0"/>
        <w:numId w:val="52"/>
      </w:numPr>
      <w:tabs>
        <w:tab w:val="clear" w:pos="720"/>
        <w:tab w:val="left" w:pos="810" w:leader="none"/>
      </w:tabs>
      <w:spacing w:before="0" w:after="120"/>
    </w:pPr>
    <w:rPr>
      <w:rFonts w:ascii="Palatino" w:hAnsi="Palatino" w:cs="Palatino"/>
      <w:sz w:val="24"/>
    </w:rPr>
  </w:style>
  <w:style w:type="paragraph" w:styleId="sub0indent">
    <w:name w:val="sub:0: indent"/>
    <w:basedOn w:val="Sub0b"/>
    <w:qFormat/>
    <w:pPr>
      <w:keepNext w:val="false"/>
      <w:numPr>
        <w:ilvl w:val="0"/>
        <w:numId w:val="21"/>
      </w:numPr>
      <w:tabs>
        <w:tab w:val="left" w:pos="2160" w:leader="none"/>
      </w:tabs>
      <w:spacing w:before="100" w:after="100"/>
      <w:ind w:hanging="317" w:start="2160" w:end="0"/>
    </w:pPr>
    <w:rPr>
      <w:b w:val="false"/>
      <w:bCs/>
      <w:sz w:val="20"/>
    </w:rPr>
  </w:style>
  <w:style w:type="paragraph" w:styleId="arrowbullet12ptsub2">
    <w:name w:val="arrow bullet 12 pt sub2"/>
    <w:basedOn w:val="sub0indent"/>
    <w:qFormat/>
    <w:pPr>
      <w:numPr>
        <w:ilvl w:val="0"/>
        <w:numId w:val="68"/>
      </w:numPr>
      <w:tabs>
        <w:tab w:val="left" w:pos="360" w:leader="none"/>
        <w:tab w:val="left" w:pos="2160" w:leader="none"/>
      </w:tabs>
      <w:ind w:hanging="317" w:start="2900" w:end="0"/>
    </w:pPr>
    <w:rPr/>
  </w:style>
  <w:style w:type="paragraph" w:styleId="Sub0n2">
    <w:name w:val="Sub:0:n2"/>
    <w:basedOn w:val="Sub0n"/>
    <w:qFormat/>
    <w:pPr>
      <w:keepNext w:val="false"/>
      <w:numPr>
        <w:ilvl w:val="0"/>
        <w:numId w:val="23"/>
      </w:numPr>
      <w:tabs>
        <w:tab w:val="clear" w:pos="720"/>
      </w:tabs>
      <w:spacing w:before="240" w:after="60"/>
      <w:ind w:hanging="806" w:start="1512" w:end="0"/>
      <w:jc w:val="both"/>
    </w:pPr>
    <w:rPr>
      <w:rFonts w:cs="Times New Roman"/>
      <w:sz w:val="28"/>
    </w:rPr>
  </w:style>
  <w:style w:type="paragraph" w:styleId="NormalIndent">
    <w:name w:val="Normal Indent"/>
    <w:basedOn w:val="Normal"/>
    <w:qFormat/>
    <w:pPr>
      <w:ind w:hanging="0" w:start="720" w:end="0"/>
    </w:pPr>
    <w:rPr/>
  </w:style>
  <w:style w:type="paragraph" w:styleId="BodyTextIndent3">
    <w:name w:val="Body Text Indent 3"/>
    <w:basedOn w:val="Normal"/>
    <w:qFormat/>
    <w:pPr>
      <w:ind w:hanging="400" w:start="2000" w:end="0"/>
    </w:pPr>
    <w:rPr>
      <w:sz w:val="16"/>
    </w:rPr>
  </w:style>
  <w:style w:type="paragraph" w:styleId="BlockText">
    <w:name w:val="Block Text"/>
    <w:basedOn w:val="Normal"/>
    <w:qFormat/>
    <w:pPr>
      <w:spacing w:before="0" w:after="120"/>
      <w:ind w:hanging="0" w:start="1440" w:end="1440"/>
    </w:pPr>
    <w:rPr/>
  </w:style>
  <w:style w:type="paragraph" w:styleId="BodyTextFirstIndent">
    <w:name w:val="Body Text First Indent"/>
    <w:basedOn w:val="BodyText"/>
    <w:qFormat/>
    <w:pPr>
      <w:ind w:firstLine="210" w:start="0" w:end="0"/>
      <w:jc w:val="start"/>
    </w:pPr>
    <w:rPr>
      <w:rFonts w:ascii="Arial" w:hAnsi="Arial" w:cs="Arial"/>
      <w:sz w:val="20"/>
    </w:rPr>
  </w:style>
  <w:style w:type="paragraph" w:styleId="BodyTextFirstIndent2">
    <w:name w:val="Body Text First Indent 2"/>
    <w:basedOn w:val="BodyTextIndent"/>
    <w:qFormat/>
    <w:pPr>
      <w:spacing w:before="0" w:after="120"/>
      <w:ind w:firstLine="210" w:start="360" w:end="0"/>
    </w:pPr>
    <w:rPr>
      <w:color w:val="000000"/>
    </w:rPr>
  </w:style>
  <w:style w:type="paragraph" w:styleId="Closing">
    <w:name w:val="Closing"/>
    <w:basedOn w:val="Normal"/>
    <w:qFormat/>
    <w:pPr>
      <w:ind w:hanging="0" w:start="4320" w:end="0"/>
    </w:pPr>
    <w:rPr/>
  </w:style>
  <w:style w:type="paragraph" w:styleId="Date">
    <w:name w:val="Date"/>
    <w:basedOn w:val="Normal"/>
    <w:next w:val="Normal"/>
    <w:qFormat/>
    <w:pPr/>
    <w:rPr/>
  </w:style>
  <w:style w:type="paragraph" w:styleId="DocumentMap">
    <w:name w:val="Document Map"/>
    <w:basedOn w:val="Normal"/>
    <w:qFormat/>
    <w:pPr>
      <w:shd w:fill="000080" w:val="clear"/>
    </w:pPr>
    <w:rPr>
      <w:rFonts w:ascii="Tahoma" w:hAnsi="Tahoma" w:cs="Tahoma"/>
    </w:rPr>
  </w:style>
  <w:style w:type="paragraph" w:styleId="E-mailSignature">
    <w:name w:val="E-mail Signature"/>
    <w:basedOn w:val="Normal"/>
    <w:qFormat/>
    <w:pPr/>
    <w:rPr/>
  </w:style>
  <w:style w:type="paragraph" w:styleId="EndnoteText">
    <w:name w:val="endnote text"/>
    <w:basedOn w:val="Normal"/>
    <w:pPr/>
    <w:rPr/>
  </w:style>
  <w:style w:type="paragraph" w:styleId="EnvelopeAddress">
    <w:name w:val="envelope address"/>
    <w:basedOn w:val="Normal"/>
    <w:pPr>
      <w:ind w:hanging="0" w:start="2880" w:end="0"/>
    </w:pPr>
    <w:rPr>
      <w:rFonts w:cs="Arial"/>
      <w:sz w:val="24"/>
      <w:szCs w:val="24"/>
    </w:rPr>
  </w:style>
  <w:style w:type="paragraph" w:styleId="EnvelopeReturn">
    <w:name w:val="envelope return"/>
    <w:basedOn w:val="Normal"/>
    <w:pPr/>
    <w:rPr>
      <w:rFonts w:cs="Arial"/>
    </w:rPr>
  </w:style>
  <w:style w:type="paragraph" w:styleId="FootnoteText1">
    <w:name w:val="Footnote Text1"/>
    <w:basedOn w:val="Normal"/>
    <w:qFormat/>
    <w:pPr/>
    <w:rPr/>
  </w:style>
  <w:style w:type="paragraph" w:styleId="HTMLAddress">
    <w:name w:val="HTML Address"/>
    <w:basedOn w:val="Normal"/>
    <w:qFormat/>
    <w:pPr/>
    <w:rPr>
      <w:i/>
      <w:iCs/>
    </w:rPr>
  </w:style>
  <w:style w:type="paragraph" w:styleId="HTMLPreformatted">
    <w:name w:val="HTML Preformatted"/>
    <w:basedOn w:val="Normal"/>
    <w:qFormat/>
    <w:pPr/>
    <w:rPr>
      <w:rFonts w:ascii="Courier New" w:hAnsi="Courier New" w:cs="Courier New"/>
    </w:rPr>
  </w:style>
  <w:style w:type="paragraph" w:styleId="Index1">
    <w:name w:val="index 1"/>
    <w:basedOn w:val="Normal"/>
    <w:next w:val="Normal"/>
    <w:pPr>
      <w:ind w:hanging="200" w:start="200" w:end="0"/>
    </w:pPr>
    <w:rPr/>
  </w:style>
  <w:style w:type="paragraph" w:styleId="Index2">
    <w:name w:val="index 2"/>
    <w:basedOn w:val="Normal"/>
    <w:next w:val="Normal"/>
    <w:pPr>
      <w:ind w:hanging="200" w:start="400" w:end="0"/>
    </w:pPr>
    <w:rPr/>
  </w:style>
  <w:style w:type="paragraph" w:styleId="Index3">
    <w:name w:val="index 3"/>
    <w:basedOn w:val="Normal"/>
    <w:next w:val="Normal"/>
    <w:pPr>
      <w:ind w:hanging="200" w:start="600" w:end="0"/>
    </w:pPr>
    <w:rPr/>
  </w:style>
  <w:style w:type="paragraph" w:styleId="Index4">
    <w:name w:val="Index 4"/>
    <w:basedOn w:val="Normal"/>
    <w:next w:val="Normal"/>
    <w:qFormat/>
    <w:pPr>
      <w:ind w:hanging="200" w:start="800" w:end="0"/>
    </w:pPr>
    <w:rPr/>
  </w:style>
  <w:style w:type="paragraph" w:styleId="Index5">
    <w:name w:val="Index 5"/>
    <w:basedOn w:val="Normal"/>
    <w:next w:val="Normal"/>
    <w:qFormat/>
    <w:pPr>
      <w:ind w:hanging="200" w:start="1000" w:end="0"/>
    </w:pPr>
    <w:rPr/>
  </w:style>
  <w:style w:type="paragraph" w:styleId="Index6">
    <w:name w:val="Index 6"/>
    <w:basedOn w:val="Normal"/>
    <w:next w:val="Normal"/>
    <w:qFormat/>
    <w:pPr>
      <w:ind w:hanging="200" w:start="1200" w:end="0"/>
    </w:pPr>
    <w:rPr/>
  </w:style>
  <w:style w:type="paragraph" w:styleId="Index7">
    <w:name w:val="Index 7"/>
    <w:basedOn w:val="Normal"/>
    <w:next w:val="Normal"/>
    <w:qFormat/>
    <w:pPr>
      <w:ind w:hanging="200" w:start="1400" w:end="0"/>
    </w:pPr>
    <w:rPr/>
  </w:style>
  <w:style w:type="paragraph" w:styleId="Index8">
    <w:name w:val="Index 8"/>
    <w:basedOn w:val="Normal"/>
    <w:next w:val="Normal"/>
    <w:qFormat/>
    <w:pPr>
      <w:ind w:hanging="200" w:start="1600" w:end="0"/>
    </w:pPr>
    <w:rPr/>
  </w:style>
  <w:style w:type="paragraph" w:styleId="Index9">
    <w:name w:val="Index 9"/>
    <w:basedOn w:val="Normal"/>
    <w:next w:val="Normal"/>
    <w:qFormat/>
    <w:pPr>
      <w:ind w:hanging="200" w:start="1800" w:end="0"/>
    </w:pPr>
    <w:rPr/>
  </w:style>
  <w:style w:type="paragraph" w:styleId="IndexHeading">
    <w:name w:val="index heading"/>
    <w:basedOn w:val="Normal"/>
    <w:next w:val="Index1"/>
    <w:pPr/>
    <w:rPr>
      <w:rFonts w:cs="Arial"/>
      <w:b/>
      <w:bCs/>
    </w:rPr>
  </w:style>
  <w:style w:type="paragraph" w:styleId="ListBullet2">
    <w:name w:val="List Bullet 2"/>
    <w:basedOn w:val="Normal"/>
    <w:pPr>
      <w:ind w:hanging="360" w:start="720" w:end="0"/>
    </w:pPr>
    <w:rPr/>
  </w:style>
  <w:style w:type="paragraph" w:styleId="ListBullet3">
    <w:name w:val="List Bullet 3"/>
    <w:basedOn w:val="Normal"/>
    <w:pPr>
      <w:ind w:hanging="360" w:start="1080" w:end="0"/>
    </w:pPr>
    <w:rPr/>
  </w:style>
  <w:style w:type="paragraph" w:styleId="ListBullet4">
    <w:name w:val="List Bullet 4"/>
    <w:basedOn w:val="Normal"/>
    <w:pPr>
      <w:ind w:hanging="360" w:start="1440" w:end="0"/>
    </w:pPr>
    <w:rPr/>
  </w:style>
  <w:style w:type="paragraph" w:styleId="ListBullet5">
    <w:name w:val="List Bullet 5"/>
    <w:basedOn w:val="Normal"/>
    <w:pPr>
      <w:ind w:hanging="360" w:start="1800" w:end="0"/>
    </w:pPr>
    <w:rPr/>
  </w:style>
  <w:style w:type="paragraph" w:styleId="ListBullet">
    <w:name w:val="List Bullet"/>
    <w:basedOn w:val="Normal"/>
    <w:qFormat/>
    <w:pPr>
      <w:numPr>
        <w:ilvl w:val="0"/>
        <w:numId w:val="11"/>
      </w:numPr>
    </w:pPr>
    <w:rPr/>
  </w:style>
  <w:style w:type="paragraph" w:styleId="ListBullet21">
    <w:name w:val="List Bullet 21"/>
    <w:basedOn w:val="Normal"/>
    <w:qFormat/>
    <w:pPr>
      <w:numPr>
        <w:ilvl w:val="0"/>
        <w:numId w:val="9"/>
      </w:numPr>
    </w:pPr>
    <w:rPr/>
  </w:style>
  <w:style w:type="paragraph" w:styleId="ListBullet31">
    <w:name w:val="List Bullet 31"/>
    <w:basedOn w:val="Normal"/>
    <w:qFormat/>
    <w:pPr>
      <w:numPr>
        <w:ilvl w:val="0"/>
        <w:numId w:val="8"/>
      </w:numPr>
    </w:pPr>
    <w:rPr/>
  </w:style>
  <w:style w:type="paragraph" w:styleId="ListBullet41">
    <w:name w:val="List Bullet 41"/>
    <w:basedOn w:val="Normal"/>
    <w:qFormat/>
    <w:pPr>
      <w:numPr>
        <w:ilvl w:val="0"/>
        <w:numId w:val="7"/>
      </w:numPr>
    </w:pPr>
    <w:rPr/>
  </w:style>
  <w:style w:type="paragraph" w:styleId="ListContinue">
    <w:name w:val="List Continue"/>
    <w:basedOn w:val="Normal"/>
    <w:qFormat/>
    <w:pPr>
      <w:spacing w:before="0" w:after="120"/>
      <w:ind w:hanging="0" w:start="360" w:end="0"/>
    </w:pPr>
    <w:rPr/>
  </w:style>
  <w:style w:type="paragraph" w:styleId="ListContinue2">
    <w:name w:val="List Continue 2"/>
    <w:basedOn w:val="Normal"/>
    <w:qFormat/>
    <w:pPr>
      <w:spacing w:before="0" w:after="120"/>
      <w:ind w:hanging="0" w:start="720" w:end="0"/>
    </w:pPr>
    <w:rPr/>
  </w:style>
  <w:style w:type="paragraph" w:styleId="ListContinue3">
    <w:name w:val="List Continue 3"/>
    <w:basedOn w:val="Normal"/>
    <w:qFormat/>
    <w:pPr>
      <w:spacing w:before="0" w:after="120"/>
      <w:ind w:hanging="0" w:start="1080" w:end="0"/>
    </w:pPr>
    <w:rPr/>
  </w:style>
  <w:style w:type="paragraph" w:styleId="ListContinue4">
    <w:name w:val="List Continue 4"/>
    <w:basedOn w:val="Normal"/>
    <w:qFormat/>
    <w:pPr>
      <w:spacing w:before="0" w:after="120"/>
      <w:ind w:hanging="0" w:start="1440" w:end="0"/>
    </w:pPr>
    <w:rPr/>
  </w:style>
  <w:style w:type="paragraph" w:styleId="ListContinue5">
    <w:name w:val="List Continue 5"/>
    <w:basedOn w:val="Normal"/>
    <w:qFormat/>
    <w:pPr>
      <w:spacing w:before="0" w:after="120"/>
      <w:ind w:hanging="0" w:start="1800" w:end="0"/>
    </w:pPr>
    <w:rPr/>
  </w:style>
  <w:style w:type="paragraph" w:styleId="ListNumber2">
    <w:name w:val="List Number 2"/>
    <w:basedOn w:val="Normal"/>
    <w:qFormat/>
    <w:pPr>
      <w:numPr>
        <w:ilvl w:val="0"/>
        <w:numId w:val="5"/>
      </w:numPr>
    </w:pPr>
    <w:rPr/>
  </w:style>
  <w:style w:type="paragraph" w:styleId="ListNumber3">
    <w:name w:val="List Number 3"/>
    <w:basedOn w:val="Normal"/>
    <w:qFormat/>
    <w:pPr>
      <w:numPr>
        <w:ilvl w:val="0"/>
        <w:numId w:val="4"/>
      </w:numPr>
    </w:pPr>
    <w:rPr/>
  </w:style>
  <w:style w:type="paragraph" w:styleId="ListNumber4">
    <w:name w:val="List Number 4"/>
    <w:basedOn w:val="Normal"/>
    <w:qFormat/>
    <w:pPr>
      <w:numPr>
        <w:ilvl w:val="0"/>
        <w:numId w:val="3"/>
      </w:numPr>
    </w:pPr>
    <w:rPr/>
  </w:style>
  <w:style w:type="paragraph" w:styleId="MacroText">
    <w:name w:val="Macro Text"/>
    <w:qFormat/>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pPr>
    <w:rPr>
      <w:rFonts w:ascii="Courier New" w:hAnsi="Courier New" w:eastAsia="Times New Roman" w:cs="Courier New"/>
      <w:color w:val="auto"/>
      <w:sz w:val="20"/>
      <w:szCs w:val="20"/>
      <w:lang w:val="en-US" w:bidi="ar-SA" w:eastAsia="zh-CN"/>
    </w:rPr>
  </w:style>
  <w:style w:type="paragraph" w:styleId="MessageHeader">
    <w:name w:val="Message Header"/>
    <w:basedOn w:val="Normal"/>
    <w:qFormat/>
    <w:pPr>
      <w:pBdr>
        <w:top w:val="single" w:sz="6" w:space="1" w:color="000000"/>
        <w:left w:val="single" w:sz="6" w:space="1" w:color="000000"/>
        <w:bottom w:val="single" w:sz="6" w:space="1" w:color="000000"/>
        <w:right w:val="single" w:sz="6" w:space="1" w:color="000000"/>
      </w:pBdr>
      <w:shd w:fill="CCCCCC" w:val="clear"/>
      <w:ind w:hanging="1080" w:start="1080" w:end="0"/>
    </w:pPr>
    <w:rPr>
      <w:rFonts w:cs="Arial"/>
      <w:sz w:val="24"/>
      <w:szCs w:val="24"/>
    </w:rPr>
  </w:style>
  <w:style w:type="paragraph" w:styleId="NormalWeb">
    <w:name w:val="Normal (Web)"/>
    <w:basedOn w:val="Normal"/>
    <w:qFormat/>
    <w:pPr/>
    <w:rPr>
      <w:rFonts w:ascii="Times New Roman" w:hAnsi="Times New Roman" w:cs="Times New Roman"/>
      <w:sz w:val="24"/>
      <w:szCs w:val="24"/>
    </w:rPr>
  </w:style>
  <w:style w:type="paragraph" w:styleId="NoteHeading">
    <w:name w:val="Note Heading"/>
    <w:basedOn w:val="Normal"/>
    <w:next w:val="Normal"/>
    <w:qFormat/>
    <w:pPr/>
    <w:rPr/>
  </w:style>
  <w:style w:type="paragraph" w:styleId="PlainText">
    <w:name w:val="Plain Text"/>
    <w:basedOn w:val="Normal"/>
    <w:qFormat/>
    <w:pPr/>
    <w:rPr>
      <w:rFonts w:ascii="Courier New" w:hAnsi="Courier New" w:cs="Courier New"/>
    </w:rPr>
  </w:style>
  <w:style w:type="paragraph" w:styleId="Salutation">
    <w:name w:val="Salutation"/>
    <w:basedOn w:val="Normal"/>
    <w:next w:val="Normal"/>
    <w:qFormat/>
    <w:pPr/>
    <w:rPr/>
  </w:style>
  <w:style w:type="paragraph" w:styleId="Signature">
    <w:name w:val="Signature"/>
    <w:basedOn w:val="Normal"/>
    <w:pPr>
      <w:ind w:hanging="0" w:start="4320" w:end="0"/>
    </w:pPr>
    <w:rPr/>
  </w:style>
  <w:style w:type="paragraph" w:styleId="Subtitle">
    <w:name w:val="Subtitle"/>
    <w:basedOn w:val="Normal"/>
    <w:next w:val="BodyText"/>
    <w:qFormat/>
    <w:pPr>
      <w:spacing w:before="0" w:after="60"/>
      <w:jc w:val="center"/>
      <w:outlineLvl w:val="1"/>
    </w:pPr>
    <w:rPr>
      <w:rFonts w:cs="Arial"/>
      <w:sz w:val="24"/>
      <w:szCs w:val="24"/>
    </w:rPr>
  </w:style>
  <w:style w:type="paragraph" w:styleId="TableofAuthorities">
    <w:name w:val="Table of Authorities"/>
    <w:basedOn w:val="Normal"/>
    <w:next w:val="Normal"/>
    <w:qFormat/>
    <w:pPr>
      <w:ind w:hanging="200" w:start="200" w:end="0"/>
    </w:pPr>
    <w:rPr/>
  </w:style>
  <w:style w:type="paragraph" w:styleId="TableofFigures">
    <w:name w:val="Table of Figures"/>
    <w:basedOn w:val="Normal"/>
    <w:next w:val="Normal"/>
    <w:qFormat/>
    <w:pPr>
      <w:ind w:hanging="400" w:start="400" w:end="0"/>
    </w:pPr>
    <w:rPr/>
  </w:style>
  <w:style w:type="paragraph" w:styleId="TOAHeading">
    <w:name w:val="TOA Heading"/>
    <w:basedOn w:val="Normal"/>
    <w:next w:val="Normal"/>
    <w:qFormat/>
    <w:pPr>
      <w:spacing w:before="120" w:after="0"/>
    </w:pPr>
    <w:rPr>
      <w:rFonts w:cs="Arial"/>
      <w:b/>
      <w:bCs/>
      <w:sz w:val="24"/>
      <w:szCs w:val="24"/>
    </w:rPr>
  </w:style>
  <w:style w:type="paragraph" w:styleId="TOC2">
    <w:name w:val="toc 2"/>
    <w:basedOn w:val="Normal"/>
    <w:next w:val="Normal"/>
    <w:pPr>
      <w:ind w:hanging="0" w:start="200" w:end="0"/>
    </w:pPr>
    <w:rPr/>
  </w:style>
  <w:style w:type="paragraph" w:styleId="TOC3">
    <w:name w:val="toc 3"/>
    <w:basedOn w:val="Normal"/>
    <w:next w:val="Normal"/>
    <w:pPr>
      <w:ind w:hanging="0" w:start="400" w:end="0"/>
    </w:pPr>
    <w:rPr/>
  </w:style>
  <w:style w:type="paragraph" w:styleId="TOC4">
    <w:name w:val="toc 4"/>
    <w:basedOn w:val="Normal"/>
    <w:next w:val="Normal"/>
    <w:pPr>
      <w:ind w:hanging="0" w:start="600" w:end="0"/>
    </w:pPr>
    <w:rPr/>
  </w:style>
  <w:style w:type="paragraph" w:styleId="TOC5">
    <w:name w:val="toc 5"/>
    <w:basedOn w:val="Normal"/>
    <w:next w:val="Normal"/>
    <w:pPr>
      <w:ind w:hanging="0" w:start="800" w:end="0"/>
    </w:pPr>
    <w:rPr/>
  </w:style>
  <w:style w:type="paragraph" w:styleId="TOC6">
    <w:name w:val="toc 6"/>
    <w:basedOn w:val="Normal"/>
    <w:next w:val="Normal"/>
    <w:pPr>
      <w:ind w:hanging="0" w:start="1000" w:end="0"/>
    </w:pPr>
    <w:rPr/>
  </w:style>
  <w:style w:type="paragraph" w:styleId="TOC7">
    <w:name w:val="toc 7"/>
    <w:basedOn w:val="Normal"/>
    <w:next w:val="Normal"/>
    <w:pPr>
      <w:ind w:hanging="0" w:start="1200" w:end="0"/>
    </w:pPr>
    <w:rPr/>
  </w:style>
  <w:style w:type="paragraph" w:styleId="TOC8">
    <w:name w:val="toc 8"/>
    <w:basedOn w:val="Normal"/>
    <w:next w:val="Normal"/>
    <w:pPr>
      <w:ind w:hanging="0" w:start="1400" w:end="0"/>
    </w:pPr>
    <w:rPr/>
  </w:style>
  <w:style w:type="paragraph" w:styleId="TOC9">
    <w:name w:val="toc 9"/>
    <w:basedOn w:val="Normal"/>
    <w:next w:val="Normal"/>
    <w:pPr>
      <w:ind w:hanging="0" w:start="1600" w:end="0"/>
    </w:pPr>
    <w:rPr/>
  </w:style>
  <w:style w:type="paragraph" w:styleId="Text">
    <w:name w:val="Text"/>
    <w:basedOn w:val="Caption"/>
    <w:qFormat/>
    <w:pPr/>
    <w:rPr/>
  </w:style>
  <w:style w:type="paragraph" w:styleId="WW-Text">
    <w:name w:val="WW-Text"/>
    <w:basedOn w:val="Normal"/>
    <w:qFormat/>
    <w:pPr>
      <w:numPr>
        <w:ilvl w:val="0"/>
        <w:numId w:val="0"/>
      </w:numPr>
      <w:tabs>
        <w:tab w:val="clear" w:pos="720"/>
        <w:tab w:val="left" w:pos="2160" w:leader="none"/>
      </w:tabs>
      <w:spacing w:before="120" w:after="0"/>
      <w:ind w:hanging="0" w:start="0" w:end="0"/>
      <w:jc w:val="both"/>
    </w:pPr>
    <w:rPr>
      <w:rFonts w:ascii="Times New Roman" w:hAnsi="Times New Roman" w:cs="Times New Roman"/>
      <w:color w:val="000000"/>
      <w:sz w:val="22"/>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 w:type="numbering" w:styleId="WW8Num52">
    <w:name w:val="WW8Num52"/>
    <w:qFormat/>
  </w:style>
  <w:style w:type="numbering" w:styleId="WW8Num53">
    <w:name w:val="WW8Num53"/>
    <w:qFormat/>
  </w:style>
  <w:style w:type="numbering" w:styleId="WW8Num54">
    <w:name w:val="WW8Num54"/>
    <w:qFormat/>
  </w:style>
  <w:style w:type="numbering" w:styleId="WW8Num55">
    <w:name w:val="WW8Num55"/>
    <w:qFormat/>
  </w:style>
  <w:style w:type="numbering" w:styleId="WW8Num56">
    <w:name w:val="WW8Num56"/>
    <w:qFormat/>
  </w:style>
  <w:style w:type="numbering" w:styleId="WW8Num57">
    <w:name w:val="WW8Num57"/>
    <w:qFormat/>
  </w:style>
  <w:style w:type="numbering" w:styleId="WW8Num58">
    <w:name w:val="WW8Num58"/>
    <w:qFormat/>
  </w:style>
  <w:style w:type="numbering" w:styleId="WW8Num59">
    <w:name w:val="WW8Num59"/>
    <w:qFormat/>
  </w:style>
  <w:style w:type="numbering" w:styleId="WW8Num60">
    <w:name w:val="WW8Num60"/>
    <w:qFormat/>
  </w:style>
  <w:style w:type="numbering" w:styleId="WW8Num61">
    <w:name w:val="WW8Num61"/>
    <w:qFormat/>
  </w:style>
  <w:style w:type="numbering" w:styleId="WW8Num62">
    <w:name w:val="WW8Num62"/>
    <w:qFormat/>
  </w:style>
  <w:style w:type="numbering" w:styleId="WW8Num63">
    <w:name w:val="WW8Num63"/>
    <w:qFormat/>
  </w:style>
  <w:style w:type="numbering" w:styleId="WW8Num64">
    <w:name w:val="WW8Num64"/>
    <w:qFormat/>
  </w:style>
  <w:style w:type="numbering" w:styleId="WW8Num65">
    <w:name w:val="WW8Num65"/>
    <w:qFormat/>
  </w:style>
  <w:style w:type="numbering" w:styleId="WW8Num66">
    <w:name w:val="WW8Num66"/>
    <w:qFormat/>
  </w:style>
  <w:style w:type="numbering" w:styleId="WW8Num67">
    <w:name w:val="WW8Num67"/>
    <w:qFormat/>
  </w:style>
  <w:style w:type="numbering" w:styleId="WW8Num68">
    <w:name w:val="WW8Num68"/>
    <w:qFormat/>
  </w:style>
  <w:style w:type="numbering" w:styleId="WW8Num69">
    <w:name w:val="WW8Num69"/>
    <w:qFormat/>
  </w:style>
  <w:style w:type="numbering" w:styleId="WW8Num70">
    <w:name w:val="WW8Num70"/>
    <w:qFormat/>
  </w:style>
  <w:style w:type="numbering" w:styleId="WW8Num71">
    <w:name w:val="WW8Num71"/>
    <w:qFormat/>
  </w:style>
  <w:style w:type="numbering" w:styleId="WW8Num72">
    <w:name w:val="WW8Num72"/>
    <w:qFormat/>
  </w:style>
  <w:style w:type="numbering" w:styleId="WW8Num73">
    <w:name w:val="WW8Num73"/>
    <w:qFormat/>
  </w:style>
  <w:style w:type="numbering" w:styleId="WW8Num74">
    <w:name w:val="WW8Num74"/>
    <w:qFormat/>
  </w:style>
  <w:style w:type="numbering" w:styleId="WW8Num75">
    <w:name w:val="WW8Num75"/>
    <w:qFormat/>
  </w:style>
  <w:style w:type="numbering" w:styleId="WW8Num76">
    <w:name w:val="WW8Num76"/>
    <w:qFormat/>
  </w:style>
  <w:style w:type="numbering" w:styleId="WW8Num77">
    <w:name w:val="WW8Num77"/>
    <w:qFormat/>
  </w:style>
  <w:style w:type="numbering" w:styleId="WW8Num78">
    <w:name w:val="WW8Num78"/>
    <w:qFormat/>
  </w:style>
  <w:style w:type="numbering" w:styleId="WW8Num79">
    <w:name w:val="WW8Num79"/>
    <w:qFormat/>
  </w:style>
  <w:style w:type="numbering" w:styleId="WW8Num80">
    <w:name w:val="WW8Num80"/>
    <w:qFormat/>
  </w:style>
  <w:style w:type="numbering" w:styleId="WW8Num81">
    <w:name w:val="WW8Num81"/>
    <w:qFormat/>
  </w:style>
  <w:style w:type="numbering" w:styleId="WW8Num82">
    <w:name w:val="WW8Num82"/>
    <w:qFormat/>
  </w:style>
  <w:style w:type="numbering" w:styleId="WW8Num83">
    <w:name w:val="WW8Num83"/>
    <w:qFormat/>
  </w:style>
  <w:style w:type="numbering" w:styleId="WW8Num84">
    <w:name w:val="WW8Num84"/>
    <w:qFormat/>
  </w:style>
  <w:style w:type="numbering" w:styleId="WW8Num85">
    <w:name w:val="WW8Num85"/>
    <w:qFormat/>
  </w:style>
  <w:style w:type="numbering" w:styleId="WW8Num86">
    <w:name w:val="WW8Num86"/>
    <w:qFormat/>
  </w:style>
  <w:style w:type="numbering" w:styleId="WW8Num87">
    <w:name w:val="WW8Num87"/>
    <w:qFormat/>
  </w:style>
  <w:style w:type="numbering" w:styleId="WW8Num88">
    <w:name w:val="WW8Num88"/>
    <w:qFormat/>
  </w:style>
  <w:style w:type="numbering" w:styleId="WW8Num89">
    <w:name w:val="WW8Num89"/>
    <w:qFormat/>
  </w:style>
  <w:style w:type="numbering" w:styleId="WW8Num90">
    <w:name w:val="WW8Num90"/>
    <w:qFormat/>
  </w:style>
  <w:style w:type="numbering" w:styleId="WW8Num91">
    <w:name w:val="WW8Num91"/>
    <w:qFormat/>
  </w:style>
  <w:style w:type="numbering" w:styleId="WW8Num92">
    <w:name w:val="WW8Num92"/>
    <w:qFormat/>
  </w:style>
  <w:style w:type="numbering" w:styleId="WW8Num93">
    <w:name w:val="WW8Num93"/>
    <w:qFormat/>
  </w:style>
  <w:style w:type="numbering" w:styleId="WW8Num94">
    <w:name w:val="WW8Num94"/>
    <w:qFormat/>
  </w:style>
  <w:style w:type="numbering" w:styleId="WW8Num95">
    <w:name w:val="WW8Num95"/>
    <w:qFormat/>
  </w:style>
  <w:style w:type="numbering" w:styleId="WW8Num96">
    <w:name w:val="WW8Num96"/>
    <w:qFormat/>
  </w:style>
  <w:style w:type="numbering" w:styleId="WW8Num97">
    <w:name w:val="WW8Num97"/>
    <w:qFormat/>
  </w:style>
  <w:style w:type="numbering" w:styleId="WW8Num98">
    <w:name w:val="WW8Num98"/>
    <w:qFormat/>
  </w:style>
  <w:style w:type="numbering" w:styleId="WW8Num99">
    <w:name w:val="WW8Num99"/>
    <w:qFormat/>
  </w:style>
  <w:style w:type="numbering" w:styleId="WW8Num100">
    <w:name w:val="WW8Num100"/>
    <w:qFormat/>
  </w:style>
  <w:style w:type="numbering" w:styleId="WW8Num101">
    <w:name w:val="WW8Num101"/>
    <w:qFormat/>
  </w:style>
  <w:style w:type="numbering" w:styleId="WW8Num102">
    <w:name w:val="WW8Num102"/>
    <w:qFormat/>
  </w:style>
  <w:style w:type="numbering" w:styleId="WW8Num103">
    <w:name w:val="WW8Num103"/>
    <w:qFormat/>
  </w:style>
  <w:style w:type="numbering" w:styleId="WW8Num104">
    <w:name w:val="WW8Num104"/>
    <w:qFormat/>
  </w:style>
  <w:style w:type="numbering" w:styleId="WW8Num105">
    <w:name w:val="WW8Num105"/>
    <w:qFormat/>
  </w:style>
  <w:style w:type="numbering" w:styleId="WW8Num106">
    <w:name w:val="WW8Num106"/>
    <w:qFormat/>
  </w:style>
  <w:style w:type="numbering" w:styleId="WW8Num107">
    <w:name w:val="WW8Num107"/>
    <w:qFormat/>
  </w:style>
  <w:style w:type="numbering" w:styleId="WW8Num108">
    <w:name w:val="WW8Num108"/>
    <w:qFormat/>
  </w:style>
  <w:style w:type="numbering" w:styleId="WW8Num109">
    <w:name w:val="WW8Num109"/>
    <w:qFormat/>
  </w:style>
  <w:style w:type="numbering" w:styleId="WW8Num110">
    <w:name w:val="WW8Num110"/>
    <w:qFormat/>
  </w:style>
  <w:style w:type="numbering" w:styleId="WW8Num111">
    <w:name w:val="WW8Num111"/>
    <w:qFormat/>
  </w:style>
  <w:style w:type="numbering" w:styleId="WW8Num112">
    <w:name w:val="WW8Num112"/>
    <w:qFormat/>
  </w:style>
  <w:style w:type="numbering" w:styleId="WW8Num113">
    <w:name w:val="WW8Num113"/>
    <w:qFormat/>
  </w:style>
  <w:style w:type="numbering" w:styleId="WW8Num114">
    <w:name w:val="WW8Num114"/>
    <w:qFormat/>
  </w:style>
  <w:style w:type="numbering" w:styleId="WW8Num115">
    <w:name w:val="WW8Num115"/>
    <w:qFormat/>
  </w:style>
  <w:style w:type="numbering" w:styleId="WW8Num116">
    <w:name w:val="WW8Num116"/>
    <w:qFormat/>
  </w:style>
  <w:style w:type="numbering" w:styleId="WW8Num117">
    <w:name w:val="WW8Num117"/>
    <w:qFormat/>
  </w:style>
  <w:style w:type="numbering" w:styleId="WW8Num118">
    <w:name w:val="WW8Num118"/>
    <w:qFormat/>
  </w:style>
  <w:style w:type="numbering" w:styleId="WW8Num119">
    <w:name w:val="WW8Num119"/>
    <w:qFormat/>
  </w:style>
  <w:style w:type="numbering" w:styleId="WW8Num120">
    <w:name w:val="WW8Num120"/>
    <w:qFormat/>
  </w:style>
  <w:style w:type="numbering" w:styleId="WW8Num121">
    <w:name w:val="WW8Num121"/>
    <w:qFormat/>
  </w:style>
  <w:style w:type="numbering" w:styleId="WW8Num122">
    <w:name w:val="WW8Num122"/>
    <w:qFormat/>
  </w:style>
  <w:style w:type="numbering" w:styleId="WW8Num123">
    <w:name w:val="WW8Num123"/>
    <w:qFormat/>
  </w:style>
  <w:style w:type="numbering" w:styleId="WW8Num124">
    <w:name w:val="WW8Num124"/>
    <w:qFormat/>
  </w:style>
  <w:style w:type="numbering" w:styleId="WW8Num125">
    <w:name w:val="WW8Num125"/>
    <w:qFormat/>
  </w:style>
  <w:style w:type="numbering" w:styleId="WW8Num126">
    <w:name w:val="WW8Num126"/>
    <w:qFormat/>
  </w:style>
  <w:style w:type="numbering" w:styleId="WW8Num127">
    <w:name w:val="WW8Num127"/>
    <w:qFormat/>
  </w:style>
  <w:style w:type="numbering" w:styleId="WW8Num128">
    <w:name w:val="WW8Num128"/>
    <w:qFormat/>
  </w:style>
  <w:style w:type="numbering" w:styleId="WW8Num129">
    <w:name w:val="WW8Num129"/>
    <w:qFormat/>
  </w:style>
  <w:style w:type="numbering" w:styleId="WW8Num130">
    <w:name w:val="WW8Num130"/>
    <w:qFormat/>
  </w:style>
  <w:style w:type="numbering" w:styleId="WW8Num131">
    <w:name w:val="WW8Num131"/>
    <w:qFormat/>
  </w:style>
  <w:style w:type="numbering" w:styleId="WW8Num132">
    <w:name w:val="WW8Num132"/>
    <w:qFormat/>
  </w:style>
  <w:style w:type="numbering" w:styleId="WW8Num133">
    <w:name w:val="WW8Num133"/>
    <w:qFormat/>
  </w:style>
  <w:style w:type="numbering" w:styleId="WW8Num134">
    <w:name w:val="WW8Num134"/>
    <w:qFormat/>
  </w:style>
  <w:style w:type="numbering" w:styleId="WW8Num135">
    <w:name w:val="WW8Num135"/>
    <w:qFormat/>
  </w:style>
  <w:style w:type="numbering" w:styleId="WW8Num136">
    <w:name w:val="WW8Num136"/>
    <w:qFormat/>
  </w:style>
  <w:style w:type="numbering" w:styleId="WW8Num137">
    <w:name w:val="WW8Num137"/>
    <w:qFormat/>
  </w:style>
  <w:style w:type="numbering" w:styleId="WW8Num138">
    <w:name w:val="WW8Num138"/>
    <w:qFormat/>
  </w:style>
  <w:style w:type="numbering" w:styleId="WW8Num139">
    <w:name w:val="WW8Num139"/>
    <w:qFormat/>
  </w:style>
  <w:style w:type="numbering" w:styleId="WW8Num140">
    <w:name w:val="WW8Num140"/>
    <w:qFormat/>
  </w:style>
  <w:style w:type="numbering" w:styleId="WW8Num141">
    <w:name w:val="WW8Num141"/>
    <w:qFormat/>
  </w:style>
  <w:style w:type="numbering" w:styleId="WW8Num142">
    <w:name w:val="WW8Num142"/>
    <w:qFormat/>
  </w:style>
  <w:style w:type="numbering" w:styleId="WW8Num143">
    <w:name w:val="WW8Num143"/>
    <w:qFormat/>
  </w:style>
  <w:style w:type="numbering" w:styleId="WW8Num144">
    <w:name w:val="WW8Num144"/>
    <w:qFormat/>
  </w:style>
  <w:style w:type="numbering" w:styleId="WW8Num145">
    <w:name w:val="WW8Num145"/>
    <w:qFormat/>
  </w:style>
  <w:style w:type="numbering" w:styleId="WW8Num146">
    <w:name w:val="WW8Num146"/>
    <w:qFormat/>
  </w:style>
  <w:style w:type="numbering" w:styleId="WW8Num147">
    <w:name w:val="WW8Num147"/>
    <w:qFormat/>
  </w:style>
  <w:style w:type="numbering" w:styleId="WW8Num148">
    <w:name w:val="WW8Num148"/>
    <w:qFormat/>
  </w:style>
  <w:style w:type="numbering" w:styleId="WW8Num149">
    <w:name w:val="WW8Num149"/>
    <w:qFormat/>
  </w:style>
  <w:style w:type="numbering" w:styleId="WW8Num150">
    <w:name w:val="WW8Num150"/>
    <w:qFormat/>
  </w:style>
  <w:style w:type="numbering" w:styleId="WW8Num151">
    <w:name w:val="WW8Num151"/>
    <w:qFormat/>
  </w:style>
  <w:style w:type="numbering" w:styleId="WW8Num152">
    <w:name w:val="WW8Num152"/>
    <w:qFormat/>
  </w:style>
  <w:style w:type="numbering" w:styleId="WW8Num153">
    <w:name w:val="WW8Num153"/>
    <w:qFormat/>
  </w:style>
  <w:style w:type="numbering" w:styleId="WW8Num154">
    <w:name w:val="WW8Num154"/>
    <w:qFormat/>
  </w:style>
  <w:style w:type="numbering" w:styleId="WW8Num155">
    <w:name w:val="WW8Num155"/>
    <w:qFormat/>
  </w:style>
  <w:style w:type="numbering" w:styleId="WW8Num156">
    <w:name w:val="WW8Num156"/>
    <w:qFormat/>
  </w:style>
  <w:style w:type="numbering" w:styleId="WW8Num157">
    <w:name w:val="WW8Num157"/>
    <w:qFormat/>
  </w:style>
  <w:style w:type="numbering" w:styleId="WW8Num158">
    <w:name w:val="WW8Num158"/>
    <w:qFormat/>
  </w:style>
  <w:style w:type="numbering" w:styleId="WW8Num159">
    <w:name w:val="WW8Num159"/>
    <w:qFormat/>
  </w:style>
  <w:style w:type="numbering" w:styleId="WW8Num160">
    <w:name w:val="WW8Num160"/>
    <w:qFormat/>
  </w:style>
  <w:style w:type="numbering" w:styleId="WW8Num161">
    <w:name w:val="WW8Num161"/>
    <w:qFormat/>
  </w:style>
  <w:style w:type="numbering" w:styleId="WW8Num162">
    <w:name w:val="WW8Num162"/>
    <w:qFormat/>
  </w:style>
  <w:style w:type="numbering" w:styleId="WW8Num163">
    <w:name w:val="WW8Num163"/>
    <w:qFormat/>
  </w:style>
  <w:style w:type="numbering" w:styleId="WW8Num164">
    <w:name w:val="WW8Num164"/>
    <w:qFormat/>
  </w:style>
  <w:style w:type="numbering" w:styleId="WW8Num165">
    <w:name w:val="WW8Num165"/>
    <w:qFormat/>
  </w:style>
  <w:style w:type="numbering" w:styleId="WW8Num166">
    <w:name w:val="WW8Num166"/>
    <w:qFormat/>
  </w:style>
  <w:style w:type="numbering" w:styleId="WW8Num167">
    <w:name w:val="WW8Num167"/>
    <w:qFormat/>
  </w:style>
  <w:style w:type="numbering" w:styleId="WW8Num168">
    <w:name w:val="WW8Num168"/>
    <w:qFormat/>
  </w:style>
  <w:style w:type="numbering" w:styleId="WW8Num169">
    <w:name w:val="WW8Num169"/>
    <w:qFormat/>
  </w:style>
  <w:style w:type="numbering" w:styleId="WW8Num170">
    <w:name w:val="WW8Num170"/>
    <w:qFormat/>
  </w:style>
  <w:style w:type="numbering" w:styleId="WW8Num171">
    <w:name w:val="WW8Num171"/>
    <w:qFormat/>
  </w:style>
  <w:style w:type="numbering" w:styleId="WW8Num172">
    <w:name w:val="WW8Num172"/>
    <w:qFormat/>
  </w:style>
  <w:style w:type="numbering" w:styleId="WW8Num173">
    <w:name w:val="WW8Num173"/>
    <w:qFormat/>
  </w:style>
  <w:style w:type="numbering" w:styleId="WW8Num174">
    <w:name w:val="WW8Num174"/>
    <w:qFormat/>
  </w:style>
  <w:style w:type="numbering" w:styleId="WW8Num175">
    <w:name w:val="WW8Num175"/>
    <w:qFormat/>
  </w:style>
  <w:style w:type="numbering" w:styleId="WW8Num176">
    <w:name w:val="WW8Num176"/>
    <w:qFormat/>
  </w:style>
  <w:style w:type="numbering" w:styleId="WW8Num177">
    <w:name w:val="WW8Num177"/>
    <w:qFormat/>
  </w:style>
  <w:style w:type="numbering" w:styleId="WW8Num178">
    <w:name w:val="WW8Num178"/>
    <w:qFormat/>
  </w:style>
  <w:style w:type="numbering" w:styleId="WW8Num179">
    <w:name w:val="WW8Num179"/>
    <w:qFormat/>
  </w:style>
  <w:style w:type="numbering" w:styleId="WW8Num180">
    <w:name w:val="WW8Num180"/>
    <w:qFormat/>
  </w:style>
  <w:style w:type="numbering" w:styleId="WW8Num181">
    <w:name w:val="WW8Num181"/>
    <w:qFormat/>
  </w:style>
  <w:style w:type="numbering" w:styleId="WW8Num182">
    <w:name w:val="WW8Num182"/>
    <w:qFormat/>
  </w:style>
  <w:style w:type="numbering" w:styleId="WW8Num183">
    <w:name w:val="WW8Num183"/>
    <w:qFormat/>
  </w:style>
  <w:style w:type="numbering" w:styleId="WW8Num184">
    <w:name w:val="WW8Num184"/>
    <w:qFormat/>
  </w:style>
  <w:style w:type="numbering" w:styleId="WW8Num185">
    <w:name w:val="WW8Num185"/>
    <w:qFormat/>
  </w:style>
  <w:style w:type="numbering" w:styleId="WW8Num186">
    <w:name w:val="WW8Num186"/>
    <w:qFormat/>
  </w:style>
  <w:style w:type="numbering" w:styleId="WW8Num187">
    <w:name w:val="WW8Num187"/>
    <w:qFormat/>
  </w:style>
  <w:style w:type="numbering" w:styleId="WW8Num188">
    <w:name w:val="WW8Num188"/>
    <w:qFormat/>
  </w:style>
  <w:style w:type="numbering" w:styleId="WW8Num189">
    <w:name w:val="WW8Num189"/>
    <w:qFormat/>
  </w:style>
  <w:style w:type="numbering" w:styleId="WW8Num190">
    <w:name w:val="WW8Num190"/>
    <w:qFormat/>
  </w:style>
  <w:style w:type="numbering" w:styleId="WW8Num191">
    <w:name w:val="WW8Num191"/>
    <w:qFormat/>
  </w:style>
  <w:style w:type="numbering" w:styleId="WW8Num192">
    <w:name w:val="WW8Num192"/>
    <w:qFormat/>
  </w:style>
  <w:style w:type="numbering" w:styleId="WW8Num193">
    <w:name w:val="WW8Num193"/>
    <w:qFormat/>
  </w:style>
  <w:style w:type="numbering" w:styleId="WW8Num194">
    <w:name w:val="WW8Num194"/>
    <w:qFormat/>
  </w:style>
  <w:style w:type="numbering" w:styleId="WW8Num195">
    <w:name w:val="WW8Num195"/>
    <w:qFormat/>
  </w:style>
  <w:style w:type="numbering" w:styleId="WW8Num196">
    <w:name w:val="WW8Num196"/>
    <w:qFormat/>
  </w:style>
  <w:style w:type="numbering" w:styleId="WW8Num197">
    <w:name w:val="WW8Num197"/>
    <w:qFormat/>
  </w:style>
  <w:style w:type="numbering" w:styleId="WW8Num198">
    <w:name w:val="WW8Num198"/>
    <w:qFormat/>
  </w:style>
  <w:style w:type="numbering" w:styleId="WW8Num199">
    <w:name w:val="WW8Num199"/>
    <w:qFormat/>
  </w:style>
  <w:style w:type="numbering" w:styleId="WW8Num200">
    <w:name w:val="WW8Num200"/>
    <w:qFormat/>
  </w:style>
  <w:style w:type="numbering" w:styleId="WW8Num201">
    <w:name w:val="WW8Num201"/>
    <w:qFormat/>
  </w:style>
  <w:style w:type="numbering" w:styleId="WW8Num202">
    <w:name w:val="WW8Num202"/>
    <w:qFormat/>
  </w:style>
  <w:style w:type="numbering" w:styleId="WW8Num203">
    <w:name w:val="WW8Num203"/>
    <w:qFormat/>
  </w:style>
  <w:style w:type="numbering" w:styleId="WW8Num204">
    <w:name w:val="WW8Num204"/>
    <w:qFormat/>
  </w:style>
  <w:style w:type="numbering" w:styleId="WW8Num205">
    <w:name w:val="WW8Num205"/>
    <w:qFormat/>
  </w:style>
  <w:style w:type="numbering" w:styleId="WW8Num206">
    <w:name w:val="WW8Num206"/>
    <w:qFormat/>
  </w:style>
  <w:style w:type="numbering" w:styleId="WW8Num207">
    <w:name w:val="WW8Num207"/>
    <w:qFormat/>
  </w:style>
  <w:style w:type="numbering" w:styleId="WW8Num208">
    <w:name w:val="WW8Num208"/>
    <w:qFormat/>
  </w:style>
  <w:style w:type="numbering" w:styleId="WW8Num209">
    <w:name w:val="WW8Num209"/>
    <w:qFormat/>
  </w:style>
  <w:style w:type="numbering" w:styleId="WW8Num210">
    <w:name w:val="WW8Num210"/>
    <w:qFormat/>
  </w:style>
  <w:style w:type="numbering" w:styleId="WW8Num211">
    <w:name w:val="WW8Num211"/>
    <w:qFormat/>
  </w:style>
  <w:style w:type="numbering" w:styleId="WW8Num212">
    <w:name w:val="WW8Num212"/>
    <w:qFormat/>
  </w:style>
  <w:style w:type="numbering" w:styleId="WW8Num213">
    <w:name w:val="WW8Num213"/>
    <w:qFormat/>
  </w:style>
  <w:style w:type="numbering" w:styleId="WW8Num214">
    <w:name w:val="WW8Num214"/>
    <w:qFormat/>
  </w:style>
  <w:style w:type="numbering" w:styleId="WW8Num215">
    <w:name w:val="WW8Num215"/>
    <w:qFormat/>
  </w:style>
  <w:style w:type="numbering" w:styleId="WW8Num216">
    <w:name w:val="WW8Num216"/>
    <w:qFormat/>
  </w:style>
  <w:style w:type="numbering" w:styleId="WW8Num217">
    <w:name w:val="WW8Num217"/>
    <w:qFormat/>
  </w:style>
  <w:style w:type="numbering" w:styleId="WW8Num218">
    <w:name w:val="WW8Num218"/>
    <w:qFormat/>
  </w:style>
  <w:style w:type="numbering" w:styleId="WW8Num219">
    <w:name w:val="WW8Num219"/>
    <w:qFormat/>
  </w:style>
  <w:style w:type="numbering" w:styleId="WW8Num220">
    <w:name w:val="WW8Num220"/>
    <w:qFormat/>
  </w:style>
  <w:style w:type="numbering" w:styleId="WW8Num221">
    <w:name w:val="WW8Num221"/>
    <w:qFormat/>
  </w:style>
  <w:style w:type="numbering" w:styleId="WW8Num222">
    <w:name w:val="WW8Num222"/>
    <w:qFormat/>
  </w:style>
  <w:style w:type="numbering" w:styleId="WW8Num223">
    <w:name w:val="WW8Num223"/>
    <w:qFormat/>
  </w:style>
  <w:style w:type="numbering" w:styleId="WW8Num224">
    <w:name w:val="WW8Num224"/>
    <w:qFormat/>
  </w:style>
  <w:style w:type="numbering" w:styleId="WW8Num225">
    <w:name w:val="WW8Num225"/>
    <w:qFormat/>
  </w:style>
  <w:style w:type="numbering" w:styleId="WW8Num226">
    <w:name w:val="WW8Num226"/>
    <w:qFormat/>
  </w:style>
  <w:style w:type="numbering" w:styleId="WW8Num227">
    <w:name w:val="WW8Num227"/>
    <w:qFormat/>
  </w:style>
  <w:style w:type="numbering" w:styleId="WW8Num228">
    <w:name w:val="WW8Num228"/>
    <w:qFormat/>
  </w:style>
  <w:style w:type="numbering" w:styleId="WW8Num229">
    <w:name w:val="WW8Num229"/>
    <w:qFormat/>
  </w:style>
  <w:style w:type="numbering" w:styleId="WW8Num230">
    <w:name w:val="WW8Num230"/>
    <w:qFormat/>
  </w:style>
  <w:style w:type="numbering" w:styleId="WW8Num231">
    <w:name w:val="WW8Num231"/>
    <w:qFormat/>
  </w:style>
  <w:style w:type="numbering" w:styleId="WW8Num232">
    <w:name w:val="WW8Num232"/>
    <w:qFormat/>
  </w:style>
  <w:style w:type="numbering" w:styleId="WW8Num233">
    <w:name w:val="WW8Num233"/>
    <w:qFormat/>
  </w:style>
  <w:style w:type="numbering" w:styleId="WW8Num234">
    <w:name w:val="WW8Num234"/>
    <w:qFormat/>
  </w:style>
  <w:style w:type="numbering" w:styleId="WW8Num235">
    <w:name w:val="WW8Num235"/>
    <w:qFormat/>
  </w:style>
  <w:style w:type="numbering" w:styleId="WW8Num236">
    <w:name w:val="WW8Num236"/>
    <w:qFormat/>
  </w:style>
  <w:style w:type="numbering" w:styleId="WW8Num237">
    <w:name w:val="WW8Num237"/>
    <w:qFormat/>
  </w:style>
  <w:style w:type="numbering" w:styleId="WW8Num238">
    <w:name w:val="WW8Num238"/>
    <w:qFormat/>
  </w:style>
  <w:style w:type="numbering" w:styleId="WW8Num239">
    <w:name w:val="WW8Num239"/>
    <w:qFormat/>
  </w:style>
  <w:style w:type="numbering" w:styleId="WW8Num240">
    <w:name w:val="WW8Num240"/>
    <w:qFormat/>
  </w:style>
  <w:style w:type="numbering" w:styleId="WW8Num241">
    <w:name w:val="WW8Num241"/>
    <w:qFormat/>
  </w:style>
  <w:style w:type="numbering" w:styleId="WW8Num242">
    <w:name w:val="WW8Num242"/>
    <w:qFormat/>
  </w:style>
  <w:style w:type="numbering" w:styleId="WW8Num243">
    <w:name w:val="WW8Num243"/>
    <w:qFormat/>
  </w:style>
  <w:style w:type="numbering" w:styleId="WW8Num244">
    <w:name w:val="WW8Num244"/>
    <w:qFormat/>
  </w:style>
  <w:style w:type="numbering" w:styleId="WW8Num245">
    <w:name w:val="WW8Num245"/>
    <w:qFormat/>
  </w:style>
  <w:style w:type="numbering" w:styleId="WW8Num246">
    <w:name w:val="WW8Num246"/>
    <w:qFormat/>
  </w:style>
  <w:style w:type="numbering" w:styleId="WW8Num247">
    <w:name w:val="WW8Num247"/>
    <w:qFormat/>
  </w:style>
  <w:style w:type="numbering" w:styleId="WW8Num248">
    <w:name w:val="WW8Num248"/>
    <w:qFormat/>
  </w:style>
  <w:style w:type="numbering" w:styleId="WW8Num249">
    <w:name w:val="WW8Num249"/>
    <w:qFormat/>
  </w:style>
  <w:style w:type="numbering" w:styleId="WW8Num250">
    <w:name w:val="WW8Num250"/>
    <w:qFormat/>
  </w:style>
  <w:style w:type="numbering" w:styleId="WW8Num251">
    <w:name w:val="WW8Num251"/>
    <w:qFormat/>
  </w:style>
  <w:style w:type="numbering" w:styleId="WW8Num252">
    <w:name w:val="WW8Num252"/>
    <w:qFormat/>
  </w:style>
  <w:style w:type="numbering" w:styleId="WW8Num253">
    <w:name w:val="WW8Num253"/>
    <w:qFormat/>
  </w:style>
  <w:style w:type="numbering" w:styleId="WW8Num254">
    <w:name w:val="WW8Num254"/>
    <w:qFormat/>
  </w:style>
  <w:style w:type="numbering" w:styleId="WW8Num255">
    <w:name w:val="WW8Num255"/>
    <w:qFormat/>
  </w:style>
  <w:style w:type="numbering" w:styleId="WW8Num256">
    <w:name w:val="WW8Num256"/>
    <w:qFormat/>
  </w:style>
  <w:style w:type="numbering" w:styleId="WW8Num257">
    <w:name w:val="WW8Num257"/>
    <w:qFormat/>
  </w:style>
  <w:style w:type="numbering" w:styleId="WW8Num258">
    <w:name w:val="WW8Num258"/>
    <w:qFormat/>
  </w:style>
  <w:style w:type="numbering" w:styleId="WW8Num259">
    <w:name w:val="WW8Num259"/>
    <w:qFormat/>
  </w:style>
  <w:style w:type="numbering" w:styleId="WW8Num260">
    <w:name w:val="WW8Num260"/>
    <w:qFormat/>
  </w:style>
  <w:style w:type="numbering" w:styleId="WW8Num261">
    <w:name w:val="WW8Num261"/>
    <w:qFormat/>
  </w:style>
  <w:style w:type="numbering" w:styleId="WW8Num262">
    <w:name w:val="WW8Num262"/>
    <w:qFormat/>
  </w:style>
  <w:style w:type="numbering" w:styleId="WW8Num263">
    <w:name w:val="WW8Num263"/>
    <w:qFormat/>
  </w:style>
  <w:style w:type="numbering" w:styleId="WW8Num264">
    <w:name w:val="WW8Num264"/>
    <w:qFormat/>
  </w:style>
  <w:style w:type="numbering" w:styleId="WW8Num265">
    <w:name w:val="WW8Num265"/>
    <w:qFormat/>
  </w:style>
  <w:style w:type="numbering" w:styleId="WW8Num266">
    <w:name w:val="WW8Num266"/>
    <w:qFormat/>
  </w:style>
  <w:style w:type="numbering" w:styleId="WW8Num267">
    <w:name w:val="WW8Num267"/>
    <w:qFormat/>
  </w:style>
  <w:style w:type="numbering" w:styleId="WW8Num268">
    <w:name w:val="WW8Num268"/>
    <w:qFormat/>
  </w:style>
  <w:style w:type="numbering" w:styleId="WW8Num269">
    <w:name w:val="WW8Num269"/>
    <w:qFormat/>
  </w:style>
  <w:style w:type="numbering" w:styleId="WW8Num270">
    <w:name w:val="WW8Num270"/>
    <w:qFormat/>
  </w:style>
  <w:style w:type="numbering" w:styleId="WW8Num271">
    <w:name w:val="WW8Num271"/>
    <w:qFormat/>
  </w:style>
  <w:style w:type="numbering" w:styleId="WW8Num272">
    <w:name w:val="WW8Num272"/>
    <w:qFormat/>
  </w:style>
  <w:style w:type="numbering" w:styleId="WW8Num273">
    <w:name w:val="WW8Num273"/>
    <w:qFormat/>
  </w:style>
  <w:style w:type="numbering" w:styleId="WW8Num274">
    <w:name w:val="WW8Num274"/>
    <w:qFormat/>
  </w:style>
  <w:style w:type="numbering" w:styleId="WW8Num275">
    <w:name w:val="WW8Num275"/>
    <w:qFormat/>
  </w:style>
  <w:style w:type="numbering" w:styleId="WW8Num276">
    <w:name w:val="WW8Num276"/>
    <w:qFormat/>
  </w:style>
  <w:style w:type="numbering" w:styleId="WW8Num277">
    <w:name w:val="WW8Num277"/>
    <w:qFormat/>
  </w:style>
  <w:style w:type="numbering" w:styleId="WW8Num278">
    <w:name w:val="WW8Num278"/>
    <w:qFormat/>
  </w:style>
  <w:style w:type="numbering" w:styleId="WW8Num279">
    <w:name w:val="WW8Num279"/>
    <w:qFormat/>
  </w:style>
  <w:style w:type="numbering" w:styleId="WW8Num280">
    <w:name w:val="WW8Num280"/>
    <w:qFormat/>
  </w:style>
  <w:style w:type="numbering" w:styleId="WW8Num281">
    <w:name w:val="WW8Num281"/>
    <w:qFormat/>
  </w:style>
  <w:style w:type="numbering" w:styleId="WW8Num282">
    <w:name w:val="WW8Num282"/>
    <w:qFormat/>
  </w:style>
  <w:style w:type="numbering" w:styleId="WW8Num283">
    <w:name w:val="WW8Num283"/>
    <w:qFormat/>
  </w:style>
  <w:style w:type="numbering" w:styleId="WW8Num284">
    <w:name w:val="WW8Num284"/>
    <w:qFormat/>
  </w:style>
  <w:style w:type="numbering" w:styleId="WW8Num285">
    <w:name w:val="WW8Num285"/>
    <w:qFormat/>
  </w:style>
  <w:style w:type="numbering" w:styleId="WW8Num286">
    <w:name w:val="WW8Num286"/>
    <w:qFormat/>
  </w:style>
  <w:style w:type="numbering" w:styleId="WW8Num287">
    <w:name w:val="WW8Num287"/>
    <w:qFormat/>
  </w:style>
  <w:style w:type="numbering" w:styleId="WW8Num288">
    <w:name w:val="WW8Num288"/>
    <w:qFormat/>
  </w:style>
  <w:style w:type="numbering" w:styleId="WW8Num289">
    <w:name w:val="WW8Num289"/>
    <w:qFormat/>
  </w:style>
  <w:style w:type="numbering" w:styleId="WW8Num290">
    <w:name w:val="WW8Num290"/>
    <w:qFormat/>
  </w:style>
  <w:style w:type="numbering" w:styleId="WW8Num291">
    <w:name w:val="WW8Num291"/>
    <w:qFormat/>
  </w:style>
  <w:style w:type="numbering" w:styleId="WW8Num292">
    <w:name w:val="WW8Num292"/>
    <w:qFormat/>
  </w:style>
  <w:style w:type="numbering" w:styleId="WW8Num293">
    <w:name w:val="WW8Num293"/>
    <w:qFormat/>
  </w:style>
  <w:style w:type="numbering" w:styleId="WW8Num294">
    <w:name w:val="WW8Num294"/>
    <w:qFormat/>
  </w:style>
  <w:style w:type="numbering" w:styleId="WW8Num295">
    <w:name w:val="WW8Num295"/>
    <w:qFormat/>
  </w:style>
  <w:style w:type="numbering" w:styleId="WW8Num296">
    <w:name w:val="WW8Num296"/>
    <w:qFormat/>
  </w:style>
  <w:style w:type="numbering" w:styleId="WW8Num297">
    <w:name w:val="WW8Num297"/>
    <w:qFormat/>
  </w:style>
  <w:style w:type="numbering" w:styleId="WW8Num298">
    <w:name w:val="WW8Num298"/>
    <w:qFormat/>
  </w:style>
  <w:style w:type="numbering" w:styleId="WW8Num299">
    <w:name w:val="WW8Num299"/>
    <w:qFormat/>
  </w:style>
  <w:style w:type="numbering" w:styleId="WW8Num300">
    <w:name w:val="WW8Num300"/>
    <w:qFormat/>
  </w:style>
  <w:style w:type="numbering" w:styleId="WW8Num301">
    <w:name w:val="WW8Num301"/>
    <w:qFormat/>
  </w:style>
  <w:style w:type="numbering" w:styleId="WW8Num302">
    <w:name w:val="WW8Num302"/>
    <w:qFormat/>
  </w:style>
  <w:style w:type="numbering" w:styleId="WW8Num303">
    <w:name w:val="WW8Num303"/>
    <w:qFormat/>
  </w:style>
  <w:style w:type="numbering" w:styleId="WW8Num304">
    <w:name w:val="WW8Num304"/>
    <w:qFormat/>
  </w:style>
  <w:style w:type="numbering" w:styleId="WW8Num305">
    <w:name w:val="WW8Num305"/>
    <w:qFormat/>
  </w:style>
  <w:style w:type="numbering" w:styleId="WW8Num306">
    <w:name w:val="WW8Num306"/>
    <w:qFormat/>
  </w:style>
  <w:style w:type="numbering" w:styleId="WW8Num307">
    <w:name w:val="WW8Num307"/>
    <w:qFormat/>
  </w:style>
  <w:style w:type="numbering" w:styleId="WW8Num308">
    <w:name w:val="WW8Num308"/>
    <w:qFormat/>
  </w:style>
  <w:style w:type="numbering" w:styleId="WW8Num309">
    <w:name w:val="WW8Num309"/>
    <w:qFormat/>
  </w:style>
  <w:style w:type="numbering" w:styleId="WW8Num310">
    <w:name w:val="WW8Num310"/>
    <w:qFormat/>
  </w:style>
  <w:style w:type="numbering" w:styleId="WW8Num311">
    <w:name w:val="WW8Num311"/>
    <w:qFormat/>
  </w:style>
  <w:style w:type="numbering" w:styleId="WW8Num312">
    <w:name w:val="WW8Num312"/>
    <w:qFormat/>
  </w:style>
  <w:style w:type="numbering" w:styleId="WW8Num313">
    <w:name w:val="WW8Num313"/>
    <w:qFormat/>
  </w:style>
  <w:style w:type="numbering" w:styleId="WW8Num314">
    <w:name w:val="WW8Num314"/>
    <w:qFormat/>
  </w:style>
  <w:style w:type="numbering" w:styleId="WW8Num315">
    <w:name w:val="WW8Num315"/>
    <w:qFormat/>
  </w:style>
  <w:style w:type="numbering" w:styleId="WW8Num316">
    <w:name w:val="WW8Num316"/>
    <w:qFormat/>
  </w:style>
  <w:style w:type="numbering" w:styleId="WW8Num317">
    <w:name w:val="WW8Num317"/>
    <w:qFormat/>
  </w:style>
  <w:style w:type="numbering" w:styleId="WW8Num318">
    <w:name w:val="WW8Num318"/>
    <w:qFormat/>
  </w:style>
  <w:style w:type="numbering" w:styleId="WW8Num319">
    <w:name w:val="WW8Num319"/>
    <w:qFormat/>
  </w:style>
  <w:style w:type="numbering" w:styleId="WW8Num320">
    <w:name w:val="WW8Num320"/>
    <w:qFormat/>
  </w:style>
  <w:style w:type="numbering" w:styleId="WW8Num321">
    <w:name w:val="WW8Num321"/>
    <w:qFormat/>
  </w:style>
  <w:style w:type="numbering" w:styleId="WW8Num322">
    <w:name w:val="WW8Num322"/>
    <w:qFormat/>
  </w:style>
  <w:style w:type="numbering" w:styleId="WW8Num323">
    <w:name w:val="WW8Num323"/>
    <w:qFormat/>
  </w:style>
  <w:style w:type="numbering" w:styleId="WW8Num324">
    <w:name w:val="WW8Num324"/>
    <w:qFormat/>
  </w:style>
  <w:style w:type="numbering" w:styleId="WW8Num325">
    <w:name w:val="WW8Num325"/>
    <w:qFormat/>
  </w:style>
  <w:style w:type="numbering" w:styleId="WW8Num326">
    <w:name w:val="WW8Num326"/>
    <w:qFormat/>
  </w:style>
  <w:style w:type="numbering" w:styleId="WW8Num327">
    <w:name w:val="WW8Num327"/>
    <w:qFormat/>
  </w:style>
  <w:style w:type="numbering" w:styleId="WW8Num328">
    <w:name w:val="WW8Num328"/>
    <w:qFormat/>
  </w:style>
  <w:style w:type="numbering" w:styleId="WW8Num329">
    <w:name w:val="WW8Num329"/>
    <w:qFormat/>
  </w:style>
  <w:style w:type="numbering" w:styleId="WW8Num330">
    <w:name w:val="WW8Num330"/>
    <w:qFormat/>
  </w:style>
  <w:style w:type="numbering" w:styleId="WW8Num331">
    <w:name w:val="WW8Num331"/>
    <w:qFormat/>
  </w:style>
  <w:style w:type="numbering" w:styleId="WW8Num332">
    <w:name w:val="WW8Num332"/>
    <w:qFormat/>
  </w:style>
  <w:style w:type="numbering" w:styleId="WW8Num333">
    <w:name w:val="WW8Num333"/>
    <w:qFormat/>
  </w:style>
  <w:style w:type="numbering" w:styleId="WW8Num334">
    <w:name w:val="WW8Num334"/>
    <w:qFormat/>
  </w:style>
  <w:style w:type="numbering" w:styleId="WW8Num335">
    <w:name w:val="WW8Num335"/>
    <w:qFormat/>
  </w:style>
  <w:style w:type="numbering" w:styleId="WW8Num336">
    <w:name w:val="WW8Num336"/>
    <w:qFormat/>
  </w:style>
  <w:style w:type="numbering" w:styleId="WW8Num337">
    <w:name w:val="WW8Num337"/>
    <w:qFormat/>
  </w:style>
  <w:style w:type="numbering" w:styleId="WW8Num338">
    <w:name w:val="WW8Num338"/>
    <w:qFormat/>
  </w:style>
  <w:style w:type="numbering" w:styleId="WW8Num339">
    <w:name w:val="WW8Num339"/>
    <w:qFormat/>
  </w:style>
  <w:style w:type="numbering" w:styleId="WW8Num340">
    <w:name w:val="WW8Num340"/>
    <w:qFormat/>
  </w:style>
  <w:style w:type="numbering" w:styleId="WW8Num341">
    <w:name w:val="WW8Num341"/>
    <w:qFormat/>
  </w:style>
  <w:style w:type="numbering" w:styleId="WW8Num342">
    <w:name w:val="WW8Num342"/>
    <w:qFormat/>
  </w:style>
  <w:style w:type="numbering" w:styleId="WW8Num343">
    <w:name w:val="WW8Num343"/>
    <w:qFormat/>
  </w:style>
  <w:style w:type="numbering" w:styleId="WW8Num344">
    <w:name w:val="WW8Num344"/>
    <w:qFormat/>
  </w:style>
  <w:style w:type="numbering" w:styleId="WW8Num345">
    <w:name w:val="WW8Num345"/>
    <w:qFormat/>
  </w:style>
  <w:style w:type="numbering" w:styleId="WW8Num346">
    <w:name w:val="WW8Num346"/>
    <w:qFormat/>
  </w:style>
  <w:style w:type="numbering" w:styleId="WW8Num347">
    <w:name w:val="WW8Num347"/>
    <w:qFormat/>
  </w:style>
  <w:style w:type="numbering" w:styleId="WW8Num348">
    <w:name w:val="WW8Num348"/>
    <w:qFormat/>
  </w:style>
  <w:style w:type="numbering" w:styleId="WW8Num349">
    <w:name w:val="WW8Num349"/>
    <w:qFormat/>
  </w:style>
  <w:style w:type="numbering" w:styleId="WW8Num350">
    <w:name w:val="WW8Num350"/>
    <w:qFormat/>
  </w:style>
  <w:style w:type="numbering" w:styleId="WW8Num351">
    <w:name w:val="WW8Num351"/>
    <w:qFormat/>
  </w:style>
  <w:style w:type="numbering" w:styleId="WW8Num352">
    <w:name w:val="WW8Num352"/>
    <w:qFormat/>
  </w:style>
  <w:style w:type="numbering" w:styleId="WW8Num353">
    <w:name w:val="WW8Num353"/>
    <w:qFormat/>
  </w:style>
  <w:style w:type="numbering" w:styleId="WW8Num354">
    <w:name w:val="WW8Num354"/>
    <w:qFormat/>
  </w:style>
  <w:style w:type="numbering" w:styleId="WW8Num355">
    <w:name w:val="WW8Num355"/>
    <w:qFormat/>
  </w:style>
  <w:style w:type="numbering" w:styleId="WW8Num356">
    <w:name w:val="WW8Num356"/>
    <w:qFormat/>
  </w:style>
  <w:style w:type="numbering" w:styleId="WW8Num357">
    <w:name w:val="WW8Num357"/>
    <w:qFormat/>
  </w:style>
  <w:style w:type="numbering" w:styleId="WW8Num358">
    <w:name w:val="WW8Num358"/>
    <w:qFormat/>
  </w:style>
  <w:style w:type="numbering" w:styleId="WW8Num359">
    <w:name w:val="WW8Num359"/>
    <w:qFormat/>
  </w:style>
  <w:style w:type="numbering" w:styleId="WW8Num360">
    <w:name w:val="WW8Num360"/>
    <w:qFormat/>
  </w:style>
  <w:style w:type="numbering" w:styleId="WW8Num361">
    <w:name w:val="WW8Num361"/>
    <w:qFormat/>
  </w:style>
  <w:style w:type="numbering" w:styleId="WW8Num362">
    <w:name w:val="WW8Num362"/>
    <w:qFormat/>
  </w:style>
  <w:style w:type="numbering" w:styleId="WW8Num363">
    <w:name w:val="WW8Num363"/>
    <w:qFormat/>
  </w:style>
  <w:style w:type="numbering" w:styleId="WW8Num364">
    <w:name w:val="WW8Num364"/>
    <w:qFormat/>
  </w:style>
  <w:style w:type="numbering" w:styleId="WW8Num365">
    <w:name w:val="WW8Num365"/>
    <w:qFormat/>
  </w:style>
  <w:style w:type="numbering" w:styleId="WW8Num366">
    <w:name w:val="WW8Num366"/>
    <w:qFormat/>
  </w:style>
  <w:style w:type="numbering" w:styleId="WW8Num367">
    <w:name w:val="WW8Num367"/>
    <w:qFormat/>
  </w:style>
  <w:style w:type="numbering" w:styleId="WW8Num368">
    <w:name w:val="WW8Num368"/>
    <w:qFormat/>
  </w:style>
  <w:style w:type="numbering" w:styleId="WW8Num369">
    <w:name w:val="WW8Num369"/>
    <w:qFormat/>
  </w:style>
  <w:style w:type="numbering" w:styleId="WW8Num370">
    <w:name w:val="WW8Num370"/>
    <w:qFormat/>
  </w:style>
  <w:style w:type="numbering" w:styleId="WW8Num371">
    <w:name w:val="WW8Num371"/>
    <w:qFormat/>
  </w:style>
  <w:style w:type="numbering" w:styleId="WW8Num372">
    <w:name w:val="WW8Num372"/>
    <w:qFormat/>
  </w:style>
  <w:style w:type="numbering" w:styleId="WW8Num373">
    <w:name w:val="WW8Num373"/>
    <w:qFormat/>
  </w:style>
  <w:style w:type="numbering" w:styleId="WW8Num374">
    <w:name w:val="WW8Num374"/>
    <w:qFormat/>
  </w:style>
  <w:style w:type="numbering" w:styleId="WW8Num375">
    <w:name w:val="WW8Num375"/>
    <w:qFormat/>
  </w:style>
  <w:style w:type="numbering" w:styleId="WW8Num376">
    <w:name w:val="WW8Num376"/>
    <w:qFormat/>
  </w:style>
  <w:style w:type="numbering" w:styleId="WW8Num377">
    <w:name w:val="WW8Num377"/>
    <w:qFormat/>
  </w:style>
  <w:style w:type="numbering" w:styleId="WW8Num378">
    <w:name w:val="WW8Num378"/>
    <w:qFormat/>
  </w:style>
  <w:style w:type="numbering" w:styleId="WW8Num379">
    <w:name w:val="WW8Num379"/>
    <w:qFormat/>
  </w:style>
  <w:style w:type="numbering" w:styleId="WW8Num380">
    <w:name w:val="WW8Num380"/>
    <w:qFormat/>
  </w:style>
  <w:style w:type="numbering" w:styleId="WW8Num381">
    <w:name w:val="WW8Num381"/>
    <w:qFormat/>
  </w:style>
  <w:style w:type="numbering" w:styleId="WW8Num382">
    <w:name w:val="WW8Num382"/>
    <w:qFormat/>
  </w:style>
  <w:style w:type="numbering" w:styleId="WW8Num383">
    <w:name w:val="WW8Num383"/>
    <w:qFormat/>
  </w:style>
  <w:style w:type="numbering" w:styleId="WW8Num384">
    <w:name w:val="WW8Num384"/>
    <w:qFormat/>
  </w:style>
  <w:style w:type="numbering" w:styleId="WW8Num385">
    <w:name w:val="WW8Num385"/>
    <w:qFormat/>
  </w:style>
  <w:style w:type="numbering" w:styleId="WW8Num386">
    <w:name w:val="WW8Num386"/>
    <w:qFormat/>
  </w:style>
  <w:style w:type="numbering" w:styleId="WW8Num387">
    <w:name w:val="WW8Num387"/>
    <w:qFormat/>
  </w:style>
  <w:style w:type="numbering" w:styleId="WW8Num388">
    <w:name w:val="WW8Num388"/>
    <w:qFormat/>
  </w:style>
  <w:style w:type="numbering" w:styleId="WW8Num389">
    <w:name w:val="WW8Num389"/>
    <w:qFormat/>
  </w:style>
  <w:style w:type="numbering" w:styleId="WW8Num390">
    <w:name w:val="WW8Num390"/>
    <w:qFormat/>
  </w:style>
  <w:style w:type="numbering" w:styleId="WW8Num391">
    <w:name w:val="WW8Num391"/>
    <w:qFormat/>
  </w:style>
  <w:style w:type="numbering" w:styleId="WW8Num392">
    <w:name w:val="WW8Num392"/>
    <w:qFormat/>
  </w:style>
  <w:style w:type="numbering" w:styleId="WW8Num393">
    <w:name w:val="WW8Num393"/>
    <w:qFormat/>
  </w:style>
  <w:style w:type="numbering" w:styleId="WW8Num394">
    <w:name w:val="WW8Num394"/>
    <w:qFormat/>
  </w:style>
  <w:style w:type="numbering" w:styleId="WW8Num395">
    <w:name w:val="WW8Num395"/>
    <w:qFormat/>
  </w:style>
  <w:style w:type="numbering" w:styleId="WW8Num396">
    <w:name w:val="WW8Num396"/>
    <w:qFormat/>
  </w:style>
  <w:style w:type="numbering" w:styleId="WW8Num397">
    <w:name w:val="WW8Num397"/>
    <w:qFormat/>
  </w:style>
  <w:style w:type="numbering" w:styleId="WW8Num398">
    <w:name w:val="WW8Num398"/>
    <w:qFormat/>
  </w:style>
  <w:style w:type="numbering" w:styleId="WW8Num399">
    <w:name w:val="WW8Num399"/>
    <w:qFormat/>
  </w:style>
  <w:style w:type="numbering" w:styleId="WW8Num400">
    <w:name w:val="WW8Num400"/>
    <w:qFormat/>
  </w:style>
  <w:style w:type="numbering" w:styleId="WW8Num401">
    <w:name w:val="WW8Num401"/>
    <w:qFormat/>
  </w:style>
  <w:style w:type="numbering" w:styleId="WW8Num402">
    <w:name w:val="WW8Num402"/>
    <w:qFormat/>
  </w:style>
  <w:style w:type="numbering" w:styleId="WW8Num403">
    <w:name w:val="WW8Num403"/>
    <w:qFormat/>
  </w:style>
  <w:style w:type="numbering" w:styleId="WW8Num404">
    <w:name w:val="WW8Num404"/>
    <w:qFormat/>
  </w:style>
  <w:style w:type="numbering" w:styleId="WW8Num405">
    <w:name w:val="WW8Num405"/>
    <w:qFormat/>
  </w:style>
  <w:style w:type="numbering" w:styleId="WW8Num406">
    <w:name w:val="WW8Num406"/>
    <w:qFormat/>
  </w:style>
  <w:style w:type="numbering" w:styleId="WW8Num407">
    <w:name w:val="WW8Num407"/>
    <w:qFormat/>
  </w:style>
  <w:style w:type="numbering" w:styleId="WW8Num408">
    <w:name w:val="WW8Num408"/>
    <w:qFormat/>
  </w:style>
  <w:style w:type="numbering" w:styleId="WW8Num409">
    <w:name w:val="WW8Num409"/>
    <w:qFormat/>
  </w:style>
  <w:style w:type="numbering" w:styleId="WW8Num410">
    <w:name w:val="WW8Num410"/>
    <w:qFormat/>
  </w:style>
  <w:style w:type="numbering" w:styleId="WW8Num411">
    <w:name w:val="WW8Num411"/>
    <w:qFormat/>
  </w:style>
  <w:style w:type="numbering" w:styleId="WW8Num412">
    <w:name w:val="WW8Num412"/>
    <w:qFormat/>
  </w:style>
  <w:style w:type="numbering" w:styleId="WW8Num413">
    <w:name w:val="WW8Num413"/>
    <w:qFormat/>
  </w:style>
  <w:style w:type="numbering" w:styleId="WW8Num414">
    <w:name w:val="WW8Num414"/>
    <w:qFormat/>
  </w:style>
  <w:style w:type="numbering" w:styleId="WW8Num415">
    <w:name w:val="WW8Num415"/>
    <w:qFormat/>
  </w:style>
  <w:style w:type="numbering" w:styleId="WW8Num416">
    <w:name w:val="WW8Num416"/>
    <w:qFormat/>
  </w:style>
  <w:style w:type="numbering" w:styleId="WW8Num417">
    <w:name w:val="WW8Num417"/>
    <w:qFormat/>
  </w:style>
  <w:style w:type="numbering" w:styleId="WW8Num418">
    <w:name w:val="WW8Num418"/>
    <w:qFormat/>
  </w:style>
  <w:style w:type="numbering" w:styleId="WW8Num419">
    <w:name w:val="WW8Num419"/>
    <w:qFormat/>
  </w:style>
  <w:style w:type="numbering" w:styleId="WW8Num420">
    <w:name w:val="WW8Num420"/>
    <w:qFormat/>
  </w:style>
  <w:style w:type="numbering" w:styleId="WW8Num421">
    <w:name w:val="WW8Num421"/>
    <w:qFormat/>
  </w:style>
  <w:style w:type="numbering" w:styleId="WW8Num422">
    <w:name w:val="WW8Num422"/>
    <w:qFormat/>
  </w:style>
  <w:style w:type="numbering" w:styleId="WW8Num423">
    <w:name w:val="WW8Num423"/>
    <w:qFormat/>
  </w:style>
  <w:style w:type="numbering" w:styleId="WW8Num424">
    <w:name w:val="WW8Num424"/>
    <w:qFormat/>
  </w:style>
  <w:style w:type="numbering" w:styleId="WW8Num425">
    <w:name w:val="WW8Num425"/>
    <w:qFormat/>
  </w:style>
  <w:style w:type="numbering" w:styleId="WW8Num426">
    <w:name w:val="WW8Num426"/>
    <w:qFormat/>
  </w:style>
  <w:style w:type="numbering" w:styleId="WW8Num427">
    <w:name w:val="WW8Num427"/>
    <w:qFormat/>
  </w:style>
  <w:style w:type="numbering" w:styleId="WW8Num428">
    <w:name w:val="WW8Num428"/>
    <w:qFormat/>
  </w:style>
  <w:style w:type="numbering" w:styleId="WW8Num429">
    <w:name w:val="WW8Num429"/>
    <w:qFormat/>
  </w:style>
  <w:style w:type="numbering" w:styleId="WW8Num430">
    <w:name w:val="WW8Num430"/>
    <w:qFormat/>
  </w:style>
  <w:style w:type="numbering" w:styleId="WW8Num431">
    <w:name w:val="WW8Num431"/>
    <w:qFormat/>
  </w:style>
  <w:style w:type="numbering" w:styleId="WW8Num432">
    <w:name w:val="WW8Num432"/>
    <w:qFormat/>
  </w:style>
  <w:style w:type="numbering" w:styleId="WW8Num433">
    <w:name w:val="WW8Num433"/>
    <w:qFormat/>
  </w:style>
  <w:style w:type="numbering" w:styleId="WW8Num434">
    <w:name w:val="WW8Num434"/>
    <w:qFormat/>
  </w:style>
  <w:style w:type="numbering" w:styleId="WW8Num435">
    <w:name w:val="WW8Num435"/>
    <w:qFormat/>
  </w:style>
  <w:style w:type="numbering" w:styleId="WW8Num436">
    <w:name w:val="WW8Num436"/>
    <w:qFormat/>
  </w:style>
  <w:style w:type="numbering" w:styleId="WW8Num437">
    <w:name w:val="WW8Num437"/>
    <w:qFormat/>
  </w:style>
  <w:style w:type="numbering" w:styleId="WW8Num438">
    <w:name w:val="WW8Num438"/>
    <w:qFormat/>
  </w:style>
  <w:style w:type="numbering" w:styleId="WW8Num439">
    <w:name w:val="WW8Num439"/>
    <w:qFormat/>
  </w:style>
  <w:style w:type="numbering" w:styleId="WW8Num440">
    <w:name w:val="WW8Num440"/>
    <w:qFormat/>
  </w:style>
  <w:style w:type="numbering" w:styleId="WW8Num441">
    <w:name w:val="WW8Num441"/>
    <w:qFormat/>
  </w:style>
  <w:style w:type="numbering" w:styleId="WW8Num442">
    <w:name w:val="WW8Num442"/>
    <w:qFormat/>
  </w:style>
  <w:style w:type="numbering" w:styleId="WW8Num443">
    <w:name w:val="WW8Num443"/>
    <w:qFormat/>
  </w:style>
  <w:style w:type="numbering" w:styleId="WW8Num444">
    <w:name w:val="WW8Num444"/>
    <w:qFormat/>
  </w:style>
  <w:style w:type="numbering" w:styleId="WW8Num445">
    <w:name w:val="WW8Num445"/>
    <w:qFormat/>
  </w:style>
  <w:style w:type="numbering" w:styleId="WW8Num446">
    <w:name w:val="WW8Num446"/>
    <w:qFormat/>
  </w:style>
  <w:style w:type="numbering" w:styleId="WW8Num447">
    <w:name w:val="WW8Num447"/>
    <w:qFormat/>
  </w:style>
  <w:style w:type="numbering" w:styleId="WW8Num448">
    <w:name w:val="WW8Num448"/>
    <w:qFormat/>
  </w:style>
  <w:style w:type="numbering" w:styleId="WW8Num449">
    <w:name w:val="WW8Num449"/>
    <w:qFormat/>
  </w:style>
  <w:style w:type="numbering" w:styleId="WW8Num450">
    <w:name w:val="WW8Num450"/>
    <w:qFormat/>
  </w:style>
  <w:style w:type="numbering" w:styleId="WW8Num451">
    <w:name w:val="WW8Num451"/>
    <w:qFormat/>
  </w:style>
  <w:style w:type="numbering" w:styleId="WW8Num452">
    <w:name w:val="WW8Num452"/>
    <w:qFormat/>
  </w:style>
  <w:style w:type="numbering" w:styleId="WW8Num453">
    <w:name w:val="WW8Num453"/>
    <w:qFormat/>
  </w:style>
  <w:style w:type="numbering" w:styleId="WW8Num454">
    <w:name w:val="WW8Num454"/>
    <w:qFormat/>
  </w:style>
  <w:style w:type="numbering" w:styleId="WW8Num455">
    <w:name w:val="WW8Num455"/>
    <w:qFormat/>
  </w:style>
  <w:style w:type="numbering" w:styleId="WW8Num456">
    <w:name w:val="WW8Num456"/>
    <w:qFormat/>
  </w:style>
  <w:style w:type="numbering" w:styleId="WW8Num457">
    <w:name w:val="WW8Num457"/>
    <w:qFormat/>
  </w:style>
  <w:style w:type="numbering" w:styleId="WW8Num458">
    <w:name w:val="WW8Num458"/>
    <w:qFormat/>
  </w:style>
  <w:style w:type="numbering" w:styleId="WW8Num459">
    <w:name w:val="WW8Num459"/>
    <w:qFormat/>
  </w:style>
  <w:style w:type="numbering" w:styleId="WW8Num460">
    <w:name w:val="WW8Num460"/>
    <w:qFormat/>
  </w:style>
  <w:style w:type="numbering" w:styleId="WW8Num461">
    <w:name w:val="WW8Num461"/>
    <w:qFormat/>
  </w:style>
  <w:style w:type="numbering" w:styleId="WW8Num462">
    <w:name w:val="WW8Num462"/>
    <w:qFormat/>
  </w:style>
  <w:style w:type="numbering" w:styleId="WW8Num463">
    <w:name w:val="WW8Num463"/>
    <w:qFormat/>
  </w:style>
  <w:style w:type="numbering" w:styleId="WW8Num464">
    <w:name w:val="WW8Num464"/>
    <w:qFormat/>
  </w:style>
  <w:style w:type="numbering" w:styleId="WW8Num465">
    <w:name w:val="WW8Num465"/>
    <w:qFormat/>
  </w:style>
  <w:style w:type="numbering" w:styleId="WW8Num466">
    <w:name w:val="WW8Num466"/>
    <w:qFormat/>
  </w:style>
  <w:style w:type="numbering" w:styleId="WW8Num467">
    <w:name w:val="WW8Num467"/>
    <w:qFormat/>
  </w:style>
  <w:style w:type="numbering" w:styleId="WW8Num468">
    <w:name w:val="WW8Num468"/>
    <w:qFormat/>
  </w:style>
  <w:style w:type="numbering" w:styleId="WW8Num469">
    <w:name w:val="WW8Num469"/>
    <w:qFormat/>
  </w:style>
  <w:style w:type="numbering" w:styleId="WW8Num470">
    <w:name w:val="WW8Num470"/>
    <w:qFormat/>
  </w:style>
  <w:style w:type="numbering" w:styleId="WW8Num471">
    <w:name w:val="WW8Num471"/>
    <w:qFormat/>
  </w:style>
  <w:style w:type="numbering" w:styleId="WW8Num472">
    <w:name w:val="WW8Num472"/>
    <w:qFormat/>
  </w:style>
  <w:style w:type="numbering" w:styleId="WW8Num473">
    <w:name w:val="WW8Num473"/>
    <w:qFormat/>
  </w:style>
  <w:style w:type="numbering" w:styleId="WW8Num474">
    <w:name w:val="WW8Num474"/>
    <w:qFormat/>
  </w:style>
  <w:style w:type="numbering" w:styleId="WW8Num475">
    <w:name w:val="WW8Num475"/>
    <w:qFormat/>
  </w:style>
  <w:style w:type="numbering" w:styleId="WW8Num476">
    <w:name w:val="WW8Num476"/>
    <w:qFormat/>
  </w:style>
  <w:style w:type="numbering" w:styleId="WW8Num477">
    <w:name w:val="WW8Num477"/>
    <w:qFormat/>
  </w:style>
  <w:style w:type="numbering" w:styleId="WW8Num478">
    <w:name w:val="WW8Num478"/>
    <w:qFormat/>
  </w:style>
  <w:style w:type="numbering" w:styleId="WW8Num479">
    <w:name w:val="WW8Num479"/>
    <w:qFormat/>
  </w:style>
  <w:style w:type="numbering" w:styleId="WW8Num480">
    <w:name w:val="WW8Num480"/>
    <w:qFormat/>
  </w:style>
  <w:style w:type="numbering" w:styleId="WW8Num481">
    <w:name w:val="WW8Num481"/>
    <w:qFormat/>
  </w:style>
  <w:style w:type="numbering" w:styleId="WW8Num482">
    <w:name w:val="WW8Num482"/>
    <w:qFormat/>
  </w:style>
  <w:style w:type="numbering" w:styleId="WW8Num483">
    <w:name w:val="WW8Num483"/>
    <w:qFormat/>
  </w:style>
  <w:style w:type="numbering" w:styleId="WW8Num484">
    <w:name w:val="WW8Num484"/>
    <w:qFormat/>
  </w:style>
  <w:style w:type="numbering" w:styleId="WW8Num485">
    <w:name w:val="WW8Num485"/>
    <w:qFormat/>
  </w:style>
  <w:style w:type="numbering" w:styleId="WW8Num486">
    <w:name w:val="WW8Num486"/>
    <w:qFormat/>
  </w:style>
  <w:style w:type="numbering" w:styleId="WW8Num487">
    <w:name w:val="WW8Num487"/>
    <w:qFormat/>
  </w:style>
  <w:style w:type="numbering" w:styleId="WW8Num488">
    <w:name w:val="WW8Num488"/>
    <w:qFormat/>
  </w:style>
  <w:style w:type="numbering" w:styleId="WW8Num489">
    <w:name w:val="WW8Num489"/>
    <w:qFormat/>
  </w:style>
  <w:style w:type="numbering" w:styleId="WW8Num490">
    <w:name w:val="WW8Num490"/>
    <w:qFormat/>
  </w:style>
  <w:style w:type="numbering" w:styleId="WW8Num491">
    <w:name w:val="WW8Num491"/>
    <w:qFormat/>
  </w:style>
  <w:style w:type="numbering" w:styleId="WW8Num492">
    <w:name w:val="WW8Num492"/>
    <w:qFormat/>
  </w:style>
  <w:style w:type="numbering" w:styleId="WW8Num493">
    <w:name w:val="WW8Num493"/>
    <w:qFormat/>
  </w:style>
  <w:style w:type="numbering" w:styleId="WW8Num494">
    <w:name w:val="WW8Num494"/>
    <w:qFormat/>
  </w:style>
  <w:style w:type="numbering" w:styleId="WW8Num495">
    <w:name w:val="WW8Num495"/>
    <w:qFormat/>
  </w:style>
  <w:style w:type="numbering" w:styleId="WW8Num496">
    <w:name w:val="WW8Num496"/>
    <w:qFormat/>
  </w:style>
  <w:style w:type="numbering" w:styleId="WW8Num497">
    <w:name w:val="WW8Num497"/>
    <w:qFormat/>
  </w:style>
  <w:style w:type="numbering" w:styleId="WW8Num498">
    <w:name w:val="WW8Num498"/>
    <w:qFormat/>
  </w:style>
  <w:style w:type="numbering" w:styleId="WW8Num499">
    <w:name w:val="WW8Num499"/>
    <w:qFormat/>
  </w:style>
  <w:style w:type="numbering" w:styleId="WW8Num500">
    <w:name w:val="WW8Num500"/>
    <w:qFormat/>
  </w:style>
  <w:style w:type="numbering" w:styleId="WW8Num501">
    <w:name w:val="WW8Num501"/>
    <w:qFormat/>
  </w:style>
  <w:style w:type="numbering" w:styleId="WW8Num502">
    <w:name w:val="WW8Num502"/>
    <w:qFormat/>
  </w:style>
  <w:style w:type="numbering" w:styleId="WW8Num503">
    <w:name w:val="WW8Num503"/>
    <w:qFormat/>
  </w:style>
  <w:style w:type="numbering" w:styleId="WW8Num504">
    <w:name w:val="WW8Num504"/>
    <w:qFormat/>
  </w:style>
  <w:style w:type="numbering" w:styleId="WW8Num505">
    <w:name w:val="WW8Num505"/>
    <w:qFormat/>
  </w:style>
  <w:style w:type="numbering" w:styleId="WW8Num506">
    <w:name w:val="WW8Num506"/>
    <w:qFormat/>
  </w:style>
  <w:style w:type="numbering" w:styleId="WW8Num507">
    <w:name w:val="WW8Num507"/>
    <w:qFormat/>
  </w:style>
  <w:style w:type="numbering" w:styleId="WW8Num508">
    <w:name w:val="WW8Num508"/>
    <w:qFormat/>
  </w:style>
  <w:style w:type="numbering" w:styleId="WW8Num509">
    <w:name w:val="WW8Num509"/>
    <w:qFormat/>
  </w:style>
  <w:style w:type="numbering" w:styleId="WW8Num510">
    <w:name w:val="WW8Num510"/>
    <w:qFormat/>
  </w:style>
  <w:style w:type="numbering" w:styleId="WW8Num511">
    <w:name w:val="WW8Num511"/>
    <w:qFormat/>
  </w:style>
  <w:style w:type="numbering" w:styleId="WW8Num512">
    <w:name w:val="WW8Num512"/>
    <w:qFormat/>
  </w:style>
  <w:style w:type="numbering" w:styleId="WW8Num513">
    <w:name w:val="WW8Num513"/>
    <w:qFormat/>
  </w:style>
  <w:style w:type="numbering" w:styleId="WW8Num514">
    <w:name w:val="WW8Num514"/>
    <w:qFormat/>
  </w:style>
  <w:style w:type="numbering" w:styleId="WW8Num515">
    <w:name w:val="WW8Num515"/>
    <w:qFormat/>
  </w:style>
  <w:style w:type="numbering" w:styleId="WW8Num516">
    <w:name w:val="WW8Num516"/>
    <w:qFormat/>
  </w:style>
  <w:style w:type="numbering" w:styleId="WW8Num517">
    <w:name w:val="WW8Num517"/>
    <w:qFormat/>
  </w:style>
  <w:style w:type="numbering" w:styleId="WW8Num518">
    <w:name w:val="WW8Num518"/>
    <w:qFormat/>
  </w:style>
  <w:style w:type="numbering" w:styleId="WW8Num519">
    <w:name w:val="WW8Num519"/>
    <w:qFormat/>
  </w:style>
  <w:style w:type="numbering" w:styleId="WW8Num520">
    <w:name w:val="WW8Num520"/>
    <w:qFormat/>
  </w:style>
  <w:style w:type="numbering" w:styleId="WW8Num521">
    <w:name w:val="WW8Num521"/>
    <w:qFormat/>
  </w:style>
  <w:style w:type="numbering" w:styleId="WW8Num522">
    <w:name w:val="WW8Num522"/>
    <w:qFormat/>
  </w:style>
  <w:style w:type="numbering" w:styleId="WW8Num523">
    <w:name w:val="WW8Num523"/>
    <w:qFormat/>
  </w:style>
  <w:style w:type="numbering" w:styleId="WW8Num524">
    <w:name w:val="WW8Num524"/>
    <w:qFormat/>
  </w:style>
  <w:style w:type="numbering" w:styleId="WW8Num525">
    <w:name w:val="WW8Num525"/>
    <w:qFormat/>
  </w:style>
  <w:style w:type="numbering" w:styleId="WW8Num526">
    <w:name w:val="WW8Num526"/>
    <w:qFormat/>
  </w:style>
  <w:style w:type="numbering" w:styleId="WW8Num527">
    <w:name w:val="WW8Num527"/>
    <w:qFormat/>
  </w:style>
  <w:style w:type="numbering" w:styleId="WW8Num528">
    <w:name w:val="WW8Num528"/>
    <w:qFormat/>
  </w:style>
  <w:style w:type="numbering" w:styleId="WW8Num529">
    <w:name w:val="WW8Num529"/>
    <w:qFormat/>
  </w:style>
  <w:style w:type="numbering" w:styleId="WW8Num530">
    <w:name w:val="WW8Num530"/>
    <w:qFormat/>
  </w:style>
  <w:style w:type="numbering" w:styleId="WW8Num531">
    <w:name w:val="WW8Num531"/>
    <w:qFormat/>
  </w:style>
  <w:style w:type="numbering" w:styleId="WW8Num532">
    <w:name w:val="WW8Num532"/>
    <w:qFormat/>
  </w:style>
  <w:style w:type="numbering" w:styleId="WW8Num533">
    <w:name w:val="WW8Num533"/>
    <w:qFormat/>
  </w:style>
  <w:style w:type="numbering" w:styleId="WW8Num534">
    <w:name w:val="WW8Num534"/>
    <w:qFormat/>
  </w:style>
  <w:style w:type="numbering" w:styleId="WW8Num535">
    <w:name w:val="WW8Num535"/>
    <w:qFormat/>
  </w:style>
  <w:style w:type="numbering" w:styleId="WW8Num536">
    <w:name w:val="WW8Num536"/>
    <w:qFormat/>
  </w:style>
  <w:style w:type="numbering" w:styleId="WW8Num537">
    <w:name w:val="WW8Num537"/>
    <w:qFormat/>
  </w:style>
  <w:style w:type="numbering" w:styleId="WW8Num538">
    <w:name w:val="WW8Num538"/>
    <w:qFormat/>
  </w:style>
  <w:style w:type="numbering" w:styleId="WW8Num539">
    <w:name w:val="WW8Num539"/>
    <w:qFormat/>
  </w:style>
  <w:style w:type="numbering" w:styleId="WW8Num540">
    <w:name w:val="WW8Num540"/>
    <w:qFormat/>
  </w:style>
  <w:style w:type="numbering" w:styleId="WW8Num541">
    <w:name w:val="WW8Num541"/>
    <w:qFormat/>
  </w:style>
  <w:style w:type="numbering" w:styleId="WW8Num542">
    <w:name w:val="WW8Num542"/>
    <w:qFormat/>
  </w:style>
  <w:style w:type="numbering" w:styleId="WW8Num543">
    <w:name w:val="WW8Num543"/>
    <w:qFormat/>
  </w:style>
  <w:style w:type="numbering" w:styleId="WW8Num544">
    <w:name w:val="WW8Num544"/>
    <w:qFormat/>
  </w:style>
  <w:style w:type="numbering" w:styleId="WW8Num545">
    <w:name w:val="WW8Num545"/>
    <w:qFormat/>
  </w:style>
  <w:style w:type="numbering" w:styleId="WW8Num546">
    <w:name w:val="WW8Num546"/>
    <w:qFormat/>
  </w:style>
  <w:style w:type="numbering" w:styleId="WW8Num547">
    <w:name w:val="WW8Num547"/>
    <w:qFormat/>
  </w:style>
  <w:style w:type="numbering" w:styleId="WW8Num548">
    <w:name w:val="WW8Num548"/>
    <w:qFormat/>
  </w:style>
  <w:style w:type="numbering" w:styleId="WW8Num549">
    <w:name w:val="WW8Num549"/>
    <w:qFormat/>
  </w:style>
  <w:style w:type="numbering" w:styleId="WW8Num550">
    <w:name w:val="WW8Num550"/>
    <w:qFormat/>
  </w:style>
  <w:style w:type="numbering" w:styleId="WW8Num551">
    <w:name w:val="WW8Num551"/>
    <w:qFormat/>
  </w:style>
  <w:style w:type="numbering" w:styleId="WW8Num552">
    <w:name w:val="WW8Num552"/>
    <w:qFormat/>
  </w:style>
  <w:style w:type="numbering" w:styleId="WW8Num553">
    <w:name w:val="WW8Num553"/>
    <w:qFormat/>
  </w:style>
  <w:style w:type="numbering" w:styleId="WW8Num554">
    <w:name w:val="WW8Num554"/>
    <w:qFormat/>
  </w:style>
  <w:style w:type="numbering" w:styleId="WW8Num555">
    <w:name w:val="WW8Num555"/>
    <w:qFormat/>
  </w:style>
  <w:style w:type="numbering" w:styleId="WW8Num556">
    <w:name w:val="WW8Num556"/>
    <w:qFormat/>
  </w:style>
  <w:style w:type="numbering" w:styleId="WW8Num557">
    <w:name w:val="WW8Num557"/>
    <w:qFormat/>
  </w:style>
  <w:style w:type="numbering" w:styleId="WW8Num558">
    <w:name w:val="WW8Num558"/>
    <w:qFormat/>
  </w:style>
  <w:style w:type="numbering" w:styleId="WW8Num559">
    <w:name w:val="WW8Num559"/>
    <w:qFormat/>
  </w:style>
  <w:style w:type="numbering" w:styleId="WW8Num560">
    <w:name w:val="WW8Num560"/>
    <w:qFormat/>
  </w:style>
  <w:style w:type="numbering" w:styleId="WW8Num561">
    <w:name w:val="WW8Num561"/>
    <w:qFormat/>
  </w:style>
  <w:style w:type="numbering" w:styleId="WW8Num562">
    <w:name w:val="WW8Num562"/>
    <w:qFormat/>
  </w:style>
  <w:style w:type="numbering" w:styleId="WW8Num563">
    <w:name w:val="WW8Num563"/>
    <w:qFormat/>
  </w:style>
  <w:style w:type="numbering" w:styleId="WW8Num564">
    <w:name w:val="WW8Num564"/>
    <w:qFormat/>
  </w:style>
  <w:style w:type="numbering" w:styleId="WW8Num565">
    <w:name w:val="WW8Num565"/>
    <w:qFormat/>
  </w:style>
  <w:style w:type="numbering" w:styleId="WW8Num566">
    <w:name w:val="WW8Num566"/>
    <w:qFormat/>
  </w:style>
  <w:style w:type="numbering" w:styleId="WW8Num567">
    <w:name w:val="WW8Num567"/>
    <w:qFormat/>
  </w:style>
  <w:style w:type="numbering" w:styleId="WW8Num568">
    <w:name w:val="WW8Num568"/>
    <w:qFormat/>
  </w:style>
  <w:style w:type="numbering" w:styleId="WW8Num569">
    <w:name w:val="WW8Num569"/>
    <w:qFormat/>
  </w:style>
  <w:style w:type="numbering" w:styleId="WW8Num570">
    <w:name w:val="WW8Num570"/>
    <w:qFormat/>
  </w:style>
  <w:style w:type="numbering" w:styleId="WW8Num571">
    <w:name w:val="WW8Num571"/>
    <w:qFormat/>
  </w:style>
  <w:style w:type="numbering" w:styleId="WW8Num572">
    <w:name w:val="WW8Num572"/>
    <w:qFormat/>
  </w:style>
  <w:style w:type="numbering" w:styleId="WW8Num573">
    <w:name w:val="WW8Num573"/>
    <w:qFormat/>
  </w:style>
  <w:style w:type="numbering" w:styleId="WW8Num574">
    <w:name w:val="WW8Num574"/>
    <w:qFormat/>
  </w:style>
  <w:style w:type="numbering" w:styleId="WW8Num575">
    <w:name w:val="WW8Num575"/>
    <w:qFormat/>
  </w:style>
  <w:style w:type="numbering" w:styleId="WW8Num576">
    <w:name w:val="WW8Num576"/>
    <w:qFormat/>
  </w:style>
  <w:style w:type="numbering" w:styleId="WW8Num577">
    <w:name w:val="WW8Num577"/>
    <w:qFormat/>
  </w:style>
  <w:style w:type="numbering" w:styleId="WW8Num578">
    <w:name w:val="WW8Num578"/>
    <w:qFormat/>
  </w:style>
  <w:style w:type="numbering" w:styleId="WW8Num579">
    <w:name w:val="WW8Num579"/>
    <w:qFormat/>
  </w:style>
  <w:style w:type="numbering" w:styleId="WW8Num580">
    <w:name w:val="WW8Num580"/>
    <w:qFormat/>
  </w:style>
  <w:style w:type="numbering" w:styleId="WW8Num581">
    <w:name w:val="WW8Num581"/>
    <w:qFormat/>
  </w:style>
  <w:style w:type="numbering" w:styleId="WW8Num582">
    <w:name w:val="WW8Num582"/>
    <w:qFormat/>
  </w:style>
  <w:style w:type="numbering" w:styleId="WW8Num583">
    <w:name w:val="WW8Num583"/>
    <w:qFormat/>
  </w:style>
  <w:style w:type="numbering" w:styleId="WW8Num584">
    <w:name w:val="WW8Num584"/>
    <w:qFormat/>
  </w:style>
  <w:style w:type="numbering" w:styleId="WW8Num585">
    <w:name w:val="WW8Num585"/>
    <w:qFormat/>
  </w:style>
  <w:style w:type="numbering" w:styleId="WW8Num586">
    <w:name w:val="WW8Num586"/>
    <w:qFormat/>
  </w:style>
  <w:style w:type="numbering" w:styleId="WW8Num587">
    <w:name w:val="WW8Num587"/>
    <w:qFormat/>
  </w:style>
  <w:style w:type="numbering" w:styleId="WW8Num588">
    <w:name w:val="WW8Num588"/>
    <w:qFormat/>
  </w:style>
  <w:style w:type="numbering" w:styleId="WW8Num589">
    <w:name w:val="WW8Num589"/>
    <w:qFormat/>
  </w:style>
  <w:style w:type="numbering" w:styleId="WW8Num590">
    <w:name w:val="WW8Num590"/>
    <w:qFormat/>
  </w:style>
  <w:style w:type="numbering" w:styleId="WW8Num591">
    <w:name w:val="WW8Num591"/>
    <w:qFormat/>
  </w:style>
  <w:style w:type="numbering" w:styleId="WW8Num592">
    <w:name w:val="WW8Num592"/>
    <w:qFormat/>
  </w:style>
  <w:style w:type="numbering" w:styleId="WW8Num593">
    <w:name w:val="WW8Num593"/>
    <w:qFormat/>
  </w:style>
  <w:style w:type="numbering" w:styleId="WW8Num594">
    <w:name w:val="WW8Num594"/>
    <w:qFormat/>
  </w:style>
  <w:style w:type="numbering" w:styleId="WW8Num595">
    <w:name w:val="WW8Num595"/>
    <w:qFormat/>
  </w:style>
  <w:style w:type="numbering" w:styleId="WW8Num596">
    <w:name w:val="WW8Num596"/>
    <w:qFormat/>
  </w:style>
  <w:style w:type="numbering" w:styleId="WW8Num597">
    <w:name w:val="WW8Num597"/>
    <w:qFormat/>
  </w:style>
  <w:style w:type="numbering" w:styleId="WW8Num598">
    <w:name w:val="WW8Num598"/>
    <w:qFormat/>
  </w:style>
  <w:style w:type="numbering" w:styleId="WW8Num599">
    <w:name w:val="WW8Num599"/>
    <w:qFormat/>
  </w:style>
  <w:style w:type="numbering" w:styleId="WW8Num600">
    <w:name w:val="WW8Num600"/>
    <w:qFormat/>
  </w:style>
  <w:style w:type="numbering" w:styleId="WW8Num601">
    <w:name w:val="WW8Num601"/>
    <w:qFormat/>
  </w:style>
  <w:style w:type="numbering" w:styleId="WW8Num602">
    <w:name w:val="WW8Num602"/>
    <w:qFormat/>
  </w:style>
  <w:style w:type="numbering" w:styleId="WW8Num603">
    <w:name w:val="WW8Num603"/>
    <w:qFormat/>
  </w:style>
  <w:style w:type="numbering" w:styleId="WW8Num604">
    <w:name w:val="WW8Num604"/>
    <w:qFormat/>
  </w:style>
  <w:style w:type="numbering" w:styleId="WW8Num605">
    <w:name w:val="WW8Num605"/>
    <w:qFormat/>
  </w:style>
  <w:style w:type="numbering" w:styleId="WW8Num606">
    <w:name w:val="WW8Num606"/>
    <w:qFormat/>
  </w:style>
  <w:style w:type="numbering" w:styleId="WW8Num607">
    <w:name w:val="WW8Num607"/>
    <w:qFormat/>
  </w:style>
  <w:style w:type="numbering" w:styleId="WW8Num608">
    <w:name w:val="WW8Num608"/>
    <w:qFormat/>
  </w:style>
  <w:style w:type="numbering" w:styleId="WW8Num609">
    <w:name w:val="WW8Num609"/>
    <w:qFormat/>
  </w:style>
  <w:style w:type="numbering" w:styleId="WW8Num610">
    <w:name w:val="WW8Num610"/>
    <w:qFormat/>
  </w:style>
  <w:style w:type="numbering" w:styleId="WW8Num611">
    <w:name w:val="WW8Num611"/>
    <w:qFormat/>
  </w:style>
  <w:style w:type="numbering" w:styleId="WW8Num612">
    <w:name w:val="WW8Num612"/>
    <w:qFormat/>
  </w:style>
  <w:style w:type="numbering" w:styleId="WW8Num613">
    <w:name w:val="WW8Num613"/>
    <w:qFormat/>
  </w:style>
  <w:style w:type="numbering" w:styleId="WW8Num614">
    <w:name w:val="WW8Num614"/>
    <w:qFormat/>
  </w:style>
  <w:style w:type="numbering" w:styleId="WW8Num615">
    <w:name w:val="WW8Num615"/>
    <w:qFormat/>
  </w:style>
  <w:style w:type="numbering" w:styleId="WW8Num616">
    <w:name w:val="WW8Num616"/>
    <w:qFormat/>
  </w:style>
  <w:style w:type="numbering" w:styleId="WW8Num617">
    <w:name w:val="WW8Num617"/>
    <w:qFormat/>
  </w:style>
  <w:style w:type="numbering" w:styleId="WW8Num618">
    <w:name w:val="WW8Num618"/>
    <w:qFormat/>
  </w:style>
  <w:style w:type="numbering" w:styleId="WW8Num619">
    <w:name w:val="WW8Num619"/>
    <w:qFormat/>
  </w:style>
  <w:style w:type="numbering" w:styleId="WW8Num620">
    <w:name w:val="WW8Num620"/>
    <w:qFormat/>
  </w:style>
  <w:style w:type="numbering" w:styleId="WW8Num621">
    <w:name w:val="WW8Num621"/>
    <w:qFormat/>
  </w:style>
  <w:style w:type="numbering" w:styleId="WW8Num622">
    <w:name w:val="WW8Num622"/>
    <w:qFormat/>
  </w:style>
  <w:style w:type="numbering" w:styleId="WW8Num623">
    <w:name w:val="WW8Num623"/>
    <w:qFormat/>
  </w:style>
  <w:style w:type="numbering" w:styleId="WW8Num624">
    <w:name w:val="WW8Num624"/>
    <w:qFormat/>
  </w:style>
  <w:style w:type="numbering" w:styleId="WW8Num625">
    <w:name w:val="WW8Num625"/>
    <w:qFormat/>
  </w:style>
  <w:style w:type="numbering" w:styleId="WW8Num626">
    <w:name w:val="WW8Num626"/>
    <w:qFormat/>
  </w:style>
  <w:style w:type="numbering" w:styleId="WW8Num627">
    <w:name w:val="WW8Num627"/>
    <w:qFormat/>
  </w:style>
  <w:style w:type="numbering" w:styleId="WW8Num628">
    <w:name w:val="WW8Num628"/>
    <w:qFormat/>
  </w:style>
  <w:style w:type="numbering" w:styleId="WW8Num629">
    <w:name w:val="WW8Num629"/>
    <w:qFormat/>
  </w:style>
  <w:style w:type="numbering" w:styleId="WW8Num630">
    <w:name w:val="WW8Num630"/>
    <w:qFormat/>
  </w:style>
  <w:style w:type="numbering" w:styleId="WW8Num631">
    <w:name w:val="WW8Num631"/>
    <w:qFormat/>
  </w:style>
  <w:style w:type="numbering" w:styleId="WW8Num632">
    <w:name w:val="WW8Num632"/>
    <w:qFormat/>
  </w:style>
  <w:style w:type="numbering" w:styleId="WW8Num633">
    <w:name w:val="WW8Num633"/>
    <w:qFormat/>
  </w:style>
  <w:style w:type="numbering" w:styleId="WW8Num634">
    <w:name w:val="WW8Num634"/>
    <w:qFormat/>
  </w:style>
  <w:style w:type="numbering" w:styleId="WW8Num635">
    <w:name w:val="WW8Num635"/>
    <w:qFormat/>
  </w:style>
  <w:style w:type="numbering" w:styleId="WW8Num636">
    <w:name w:val="WW8Num636"/>
    <w:qFormat/>
  </w:style>
  <w:style w:type="numbering" w:styleId="WW8Num637">
    <w:name w:val="WW8Num637"/>
    <w:qFormat/>
  </w:style>
  <w:style w:type="numbering" w:styleId="WW8Num638">
    <w:name w:val="WW8Num638"/>
    <w:qFormat/>
  </w:style>
  <w:style w:type="numbering" w:styleId="WW8Num639">
    <w:name w:val="WW8Num639"/>
    <w:qFormat/>
  </w:style>
  <w:style w:type="numbering" w:styleId="WW8Num640">
    <w:name w:val="WW8Num640"/>
    <w:qFormat/>
  </w:style>
  <w:style w:type="numbering" w:styleId="WW8Num641">
    <w:name w:val="WW8Num641"/>
    <w:qFormat/>
  </w:style>
  <w:style w:type="numbering" w:styleId="WW8Num642">
    <w:name w:val="WW8Num642"/>
    <w:qFormat/>
  </w:style>
  <w:style w:type="numbering" w:styleId="WW8Num643">
    <w:name w:val="WW8Num643"/>
    <w:qFormat/>
  </w:style>
  <w:style w:type="numbering" w:styleId="WW8Num644">
    <w:name w:val="WW8Num644"/>
    <w:qFormat/>
  </w:style>
  <w:style w:type="numbering" w:styleId="WW8Num645">
    <w:name w:val="WW8Num645"/>
    <w:qFormat/>
  </w:style>
  <w:style w:type="numbering" w:styleId="WW8Num646">
    <w:name w:val="WW8Num646"/>
    <w:qFormat/>
  </w:style>
  <w:style w:type="numbering" w:styleId="WW8Num647">
    <w:name w:val="WW8Num647"/>
    <w:qFormat/>
  </w:style>
  <w:style w:type="numbering" w:styleId="WW8Num648">
    <w:name w:val="WW8Num648"/>
    <w:qFormat/>
  </w:style>
  <w:style w:type="numbering" w:styleId="WW8Num649">
    <w:name w:val="WW8Num649"/>
    <w:qFormat/>
  </w:style>
  <w:style w:type="numbering" w:styleId="WW8Num650">
    <w:name w:val="WW8Num650"/>
    <w:qFormat/>
  </w:style>
  <w:style w:type="numbering" w:styleId="WW8Num651">
    <w:name w:val="WW8Num651"/>
    <w:qFormat/>
  </w:style>
  <w:style w:type="numbering" w:styleId="WW8Num652">
    <w:name w:val="WW8Num652"/>
    <w:qFormat/>
  </w:style>
  <w:style w:type="numbering" w:styleId="WW8Num653">
    <w:name w:val="WW8Num653"/>
    <w:qFormat/>
  </w:style>
  <w:style w:type="numbering" w:styleId="WW8Num654">
    <w:name w:val="WW8Num654"/>
    <w:qFormat/>
  </w:style>
  <w:style w:type="numbering" w:styleId="WW8Num655">
    <w:name w:val="WW8Num655"/>
    <w:qFormat/>
  </w:style>
  <w:style w:type="numbering" w:styleId="WW8Num656">
    <w:name w:val="WW8Num656"/>
    <w:qFormat/>
  </w:style>
  <w:style w:type="numbering" w:styleId="WW8Num657">
    <w:name w:val="WW8Num657"/>
    <w:qFormat/>
  </w:style>
  <w:style w:type="numbering" w:styleId="WW8Num658">
    <w:name w:val="WW8Num658"/>
    <w:qFormat/>
  </w:style>
  <w:style w:type="numbering" w:styleId="WW8Num659">
    <w:name w:val="WW8Num659"/>
    <w:qFormat/>
  </w:style>
  <w:style w:type="numbering" w:styleId="WW8Num660">
    <w:name w:val="WW8Num660"/>
    <w:qFormat/>
  </w:style>
  <w:style w:type="numbering" w:styleId="WW8Num661">
    <w:name w:val="WW8Num661"/>
    <w:qFormat/>
  </w:style>
  <w:style w:type="numbering" w:styleId="WW8Num662">
    <w:name w:val="WW8Num662"/>
    <w:qFormat/>
  </w:style>
  <w:style w:type="numbering" w:styleId="WW8Num663">
    <w:name w:val="WW8Num663"/>
    <w:qFormat/>
  </w:style>
  <w:style w:type="numbering" w:styleId="WW8Num664">
    <w:name w:val="WW8Num664"/>
    <w:qFormat/>
  </w:style>
  <w:style w:type="numbering" w:styleId="WW8Num665">
    <w:name w:val="WW8Num665"/>
    <w:qFormat/>
  </w:style>
  <w:style w:type="numbering" w:styleId="WW8Num666">
    <w:name w:val="WW8Num666"/>
    <w:qFormat/>
  </w:style>
  <w:style w:type="numbering" w:styleId="WW8Num667">
    <w:name w:val="WW8Num667"/>
    <w:qFormat/>
  </w:style>
  <w:style w:type="numbering" w:styleId="WW8Num668">
    <w:name w:val="WW8Num668"/>
    <w:qFormat/>
  </w:style>
  <w:style w:type="numbering" w:styleId="WW8Num669">
    <w:name w:val="WW8Num669"/>
    <w:qFormat/>
  </w:style>
  <w:style w:type="numbering" w:styleId="WW8Num670">
    <w:name w:val="WW8Num670"/>
    <w:qFormat/>
  </w:style>
  <w:style w:type="numbering" w:styleId="WW8Num671">
    <w:name w:val="WW8Num671"/>
    <w:qFormat/>
  </w:style>
  <w:style w:type="numbering" w:styleId="WW8Num672">
    <w:name w:val="WW8Num672"/>
    <w:qFormat/>
  </w:style>
  <w:style w:type="numbering" w:styleId="WW8Num673">
    <w:name w:val="WW8Num673"/>
    <w:qFormat/>
  </w:style>
  <w:style w:type="numbering" w:styleId="WW8Num674">
    <w:name w:val="WW8Num674"/>
    <w:qFormat/>
  </w:style>
  <w:style w:type="numbering" w:styleId="WW8Num675">
    <w:name w:val="WW8Num675"/>
    <w:qFormat/>
  </w:style>
  <w:style w:type="numbering" w:styleId="WW8Num676">
    <w:name w:val="WW8Num676"/>
    <w:qFormat/>
  </w:style>
  <w:style w:type="numbering" w:styleId="WW8Num677">
    <w:name w:val="WW8Num677"/>
    <w:qFormat/>
  </w:style>
  <w:style w:type="numbering" w:styleId="WW8Num678">
    <w:name w:val="WW8Num678"/>
    <w:qFormat/>
  </w:style>
  <w:style w:type="numbering" w:styleId="WW8Num679">
    <w:name w:val="WW8Num679"/>
    <w:qFormat/>
  </w:style>
  <w:style w:type="numbering" w:styleId="WW8Num680">
    <w:name w:val="WW8Num680"/>
    <w:qFormat/>
  </w:style>
  <w:style w:type="numbering" w:styleId="WW8Num681">
    <w:name w:val="WW8Num681"/>
    <w:qFormat/>
  </w:style>
  <w:style w:type="numbering" w:styleId="WW8Num682">
    <w:name w:val="WW8Num682"/>
    <w:qFormat/>
  </w:style>
  <w:style w:type="numbering" w:styleId="WW8Num683">
    <w:name w:val="WW8Num683"/>
    <w:qFormat/>
  </w:style>
  <w:style w:type="numbering" w:styleId="WW8Num684">
    <w:name w:val="WW8Num684"/>
    <w:qFormat/>
  </w:style>
  <w:style w:type="numbering" w:styleId="WW8Num685">
    <w:name w:val="WW8Num685"/>
    <w:qFormat/>
  </w:style>
  <w:style w:type="numbering" w:styleId="WW8Num686">
    <w:name w:val="WW8Num686"/>
    <w:qFormat/>
  </w:style>
  <w:style w:type="numbering" w:styleId="WW8Num687">
    <w:name w:val="WW8Num687"/>
    <w:qFormat/>
  </w:style>
  <w:style w:type="numbering" w:styleId="WW8Num688">
    <w:name w:val="WW8Num688"/>
    <w:qFormat/>
  </w:style>
  <w:style w:type="numbering" w:styleId="WW8Num689">
    <w:name w:val="WW8Num689"/>
    <w:qFormat/>
  </w:style>
  <w:style w:type="numbering" w:styleId="WW8Num690">
    <w:name w:val="WW8Num690"/>
    <w:qFormat/>
  </w:style>
  <w:style w:type="numbering" w:styleId="WW8Num691">
    <w:name w:val="WW8Num691"/>
    <w:qFormat/>
  </w:style>
  <w:style w:type="numbering" w:styleId="WW8Num692">
    <w:name w:val="WW8Num692"/>
    <w:qFormat/>
  </w:style>
  <w:style w:type="numbering" w:styleId="WW8Num693">
    <w:name w:val="WW8Num693"/>
    <w:qFormat/>
  </w:style>
  <w:style w:type="numbering" w:styleId="WW8Num694">
    <w:name w:val="WW8Num694"/>
    <w:qFormat/>
  </w:style>
  <w:style w:type="numbering" w:styleId="WW8Num695">
    <w:name w:val="WW8Num695"/>
    <w:qFormat/>
  </w:style>
  <w:style w:type="numbering" w:styleId="WW8Num696">
    <w:name w:val="WW8Num696"/>
    <w:qFormat/>
  </w:style>
  <w:style w:type="numbering" w:styleId="WW8Num697">
    <w:name w:val="WW8Num697"/>
    <w:qFormat/>
  </w:style>
  <w:style w:type="numbering" w:styleId="WW8Num698">
    <w:name w:val="WW8Num698"/>
    <w:qFormat/>
  </w:style>
  <w:style w:type="numbering" w:styleId="WW8Num699">
    <w:name w:val="WW8Num699"/>
    <w:qFormat/>
  </w:style>
  <w:style w:type="numbering" w:styleId="WW8Num700">
    <w:name w:val="WW8Num700"/>
    <w:qFormat/>
  </w:style>
  <w:style w:type="numbering" w:styleId="WW8Num701">
    <w:name w:val="WW8Num701"/>
    <w:qFormat/>
  </w:style>
  <w:style w:type="numbering" w:styleId="WW8Num702">
    <w:name w:val="WW8Num702"/>
    <w:qFormat/>
  </w:style>
  <w:style w:type="numbering" w:styleId="WW8Num703">
    <w:name w:val="WW8Num703"/>
    <w:qFormat/>
  </w:style>
  <w:style w:type="numbering" w:styleId="WW8Num704">
    <w:name w:val="WW8Num704"/>
    <w:qFormat/>
  </w:style>
  <w:style w:type="numbering" w:styleId="WW8Num705">
    <w:name w:val="WW8Num705"/>
    <w:qFormat/>
  </w:style>
  <w:style w:type="numbering" w:styleId="WW8Num706">
    <w:name w:val="WW8Num706"/>
    <w:qFormat/>
  </w:style>
  <w:style w:type="numbering" w:styleId="WW8Num707">
    <w:name w:val="WW8Num707"/>
    <w:qFormat/>
  </w:style>
  <w:style w:type="numbering" w:styleId="WW8Num708">
    <w:name w:val="WW8Num708"/>
    <w:qFormat/>
  </w:style>
  <w:style w:type="numbering" w:styleId="WW8Num709">
    <w:name w:val="WW8Num709"/>
    <w:qFormat/>
  </w:style>
  <w:style w:type="numbering" w:styleId="WW8Num710">
    <w:name w:val="WW8Num710"/>
    <w:qFormat/>
  </w:style>
  <w:style w:type="numbering" w:styleId="WW8Num711">
    <w:name w:val="WW8Num711"/>
    <w:qFormat/>
  </w:style>
  <w:style w:type="numbering" w:styleId="WW8Num712">
    <w:name w:val="WW8Num712"/>
    <w:qFormat/>
  </w:style>
  <w:style w:type="numbering" w:styleId="WW8Num713">
    <w:name w:val="WW8Num713"/>
    <w:qFormat/>
  </w:style>
  <w:style w:type="numbering" w:styleId="WW8Num714">
    <w:name w:val="WW8Num714"/>
    <w:qFormat/>
  </w:style>
  <w:style w:type="numbering" w:styleId="WW8Num715">
    <w:name w:val="WW8Num715"/>
    <w:qFormat/>
  </w:style>
  <w:style w:type="numbering" w:styleId="WW8Num716">
    <w:name w:val="WW8Num716"/>
    <w:qFormat/>
  </w:style>
  <w:style w:type="numbering" w:styleId="WW8Num717">
    <w:name w:val="WW8Num717"/>
    <w:qFormat/>
  </w:style>
  <w:style w:type="numbering" w:styleId="WW8Num718">
    <w:name w:val="WW8Num718"/>
    <w:qFormat/>
  </w:style>
  <w:style w:type="numbering" w:styleId="WW8Num719">
    <w:name w:val="WW8Num719"/>
    <w:qFormat/>
  </w:style>
  <w:style w:type="numbering" w:styleId="WW8Num720">
    <w:name w:val="WW8Num720"/>
    <w:qFormat/>
  </w:style>
  <w:style w:type="numbering" w:styleId="WW8Num721">
    <w:name w:val="WW8Num721"/>
    <w:qFormat/>
  </w:style>
  <w:style w:type="numbering" w:styleId="WW8Num722">
    <w:name w:val="WW8Num722"/>
    <w:qFormat/>
  </w:style>
  <w:style w:type="numbering" w:styleId="WW8Num723">
    <w:name w:val="WW8Num723"/>
    <w:qFormat/>
  </w:style>
  <w:style w:type="numbering" w:styleId="WW8Num724">
    <w:name w:val="WW8Num724"/>
    <w:qFormat/>
  </w:style>
  <w:style w:type="numbering" w:styleId="WW8Num725">
    <w:name w:val="WW8Num725"/>
    <w:qFormat/>
  </w:style>
  <w:style w:type="numbering" w:styleId="WW8Num726">
    <w:name w:val="WW8Num726"/>
    <w:qFormat/>
  </w:style>
  <w:style w:type="numbering" w:styleId="WW8Num727">
    <w:name w:val="WW8Num727"/>
    <w:qFormat/>
  </w:style>
  <w:style w:type="numbering" w:styleId="WW8Num728">
    <w:name w:val="WW8Num728"/>
    <w:qFormat/>
  </w:style>
  <w:style w:type="numbering" w:styleId="WW8Num729">
    <w:name w:val="WW8Num729"/>
    <w:qFormat/>
  </w:style>
  <w:style w:type="numbering" w:styleId="WW8Num730">
    <w:name w:val="WW8Num730"/>
    <w:qFormat/>
  </w:style>
  <w:style w:type="numbering" w:styleId="WW8Num731">
    <w:name w:val="WW8Num731"/>
    <w:qFormat/>
  </w:style>
  <w:style w:type="numbering" w:styleId="WW8Num732">
    <w:name w:val="WW8Num732"/>
    <w:qFormat/>
  </w:style>
  <w:style w:type="numbering" w:styleId="WW8Num733">
    <w:name w:val="WW8Num733"/>
    <w:qFormat/>
  </w:style>
  <w:style w:type="numbering" w:styleId="WW8Num734">
    <w:name w:val="WW8Num734"/>
    <w:qFormat/>
  </w:style>
  <w:style w:type="numbering" w:styleId="WW8Num735">
    <w:name w:val="WW8Num735"/>
    <w:qFormat/>
  </w:style>
  <w:style w:type="numbering" w:styleId="WW8Num736">
    <w:name w:val="WW8Num736"/>
    <w:qFormat/>
  </w:style>
  <w:style w:type="numbering" w:styleId="WW8Num737">
    <w:name w:val="WW8Num737"/>
    <w:qFormat/>
  </w:style>
  <w:style w:type="numbering" w:styleId="WW8Num738">
    <w:name w:val="WW8Num738"/>
    <w:qFormat/>
  </w:style>
  <w:style w:type="numbering" w:styleId="WW8Num739">
    <w:name w:val="WW8Num739"/>
    <w:qFormat/>
  </w:style>
  <w:style w:type="numbering" w:styleId="WW8Num740">
    <w:name w:val="WW8Num740"/>
    <w:qFormat/>
  </w:style>
  <w:style w:type="numbering" w:styleId="WW8Num741">
    <w:name w:val="WW8Num741"/>
    <w:qFormat/>
  </w:style>
  <w:style w:type="numbering" w:styleId="WW8Num742">
    <w:name w:val="WW8Num742"/>
    <w:qFormat/>
  </w:style>
  <w:style w:type="numbering" w:styleId="WW8Num743">
    <w:name w:val="WW8Num743"/>
    <w:qFormat/>
  </w:style>
  <w:style w:type="numbering" w:styleId="WW8Num744">
    <w:name w:val="WW8Num744"/>
    <w:qFormat/>
  </w:style>
  <w:style w:type="numbering" w:styleId="WW8Num745">
    <w:name w:val="WW8Num745"/>
    <w:qFormat/>
  </w:style>
  <w:style w:type="numbering" w:styleId="WW8Num746">
    <w:name w:val="WW8Num746"/>
    <w:qFormat/>
  </w:style>
  <w:style w:type="numbering" w:styleId="WW8Num747">
    <w:name w:val="WW8Num747"/>
    <w:qFormat/>
  </w:style>
  <w:style w:type="numbering" w:styleId="WW8Num748">
    <w:name w:val="WW8Num748"/>
    <w:qFormat/>
  </w:style>
  <w:style w:type="numbering" w:styleId="WW8Num749">
    <w:name w:val="WW8Num749"/>
    <w:qFormat/>
  </w:style>
  <w:style w:type="numbering" w:styleId="WW8Num750">
    <w:name w:val="WW8Num750"/>
    <w:qFormat/>
  </w:style>
  <w:style w:type="numbering" w:styleId="WW8Num751">
    <w:name w:val="WW8Num751"/>
    <w:qFormat/>
  </w:style>
  <w:style w:type="numbering" w:styleId="WW8Num752">
    <w:name w:val="WW8Num752"/>
    <w:qFormat/>
  </w:style>
  <w:style w:type="numbering" w:styleId="WW8Num753">
    <w:name w:val="WW8Num753"/>
    <w:qFormat/>
  </w:style>
  <w:style w:type="numbering" w:styleId="WW8Num754">
    <w:name w:val="WW8Num754"/>
    <w:qFormat/>
  </w:style>
  <w:style w:type="numbering" w:styleId="WW8Num755">
    <w:name w:val="WW8Num755"/>
    <w:qFormat/>
  </w:style>
  <w:style w:type="numbering" w:styleId="WW8Num756">
    <w:name w:val="WW8Num756"/>
    <w:qFormat/>
  </w:style>
  <w:style w:type="numbering" w:styleId="WW8Num757">
    <w:name w:val="WW8Num757"/>
    <w:qFormat/>
  </w:style>
  <w:style w:type="numbering" w:styleId="WW8Num758">
    <w:name w:val="WW8Num758"/>
    <w:qFormat/>
  </w:style>
  <w:style w:type="numbering" w:styleId="WW8Num759">
    <w:name w:val="WW8Num759"/>
    <w:qFormat/>
  </w:style>
  <w:style w:type="numbering" w:styleId="WW8Num760">
    <w:name w:val="WW8Num760"/>
    <w:qFormat/>
  </w:style>
  <w:style w:type="numbering" w:styleId="WW8Num761">
    <w:name w:val="WW8Num761"/>
    <w:qFormat/>
  </w:style>
  <w:style w:type="numbering" w:styleId="WW8Num762">
    <w:name w:val="WW8Num762"/>
    <w:qFormat/>
  </w:style>
  <w:style w:type="numbering" w:styleId="WW8Num763">
    <w:name w:val="WW8Num763"/>
    <w:qFormat/>
  </w:style>
  <w:style w:type="numbering" w:styleId="WW8Num764">
    <w:name w:val="WW8Num764"/>
    <w:qFormat/>
  </w:style>
  <w:style w:type="numbering" w:styleId="WW8Num765">
    <w:name w:val="WW8Num765"/>
    <w:qFormat/>
  </w:style>
  <w:style w:type="numbering" w:styleId="WW8Num766">
    <w:name w:val="WW8Num766"/>
    <w:qFormat/>
  </w:style>
  <w:style w:type="numbering" w:styleId="WW8Num767">
    <w:name w:val="WW8Num767"/>
    <w:qFormat/>
  </w:style>
  <w:style w:type="numbering" w:styleId="WW8Num768">
    <w:name w:val="WW8Num768"/>
    <w:qFormat/>
  </w:style>
  <w:style w:type="numbering" w:styleId="WW8Num769">
    <w:name w:val="WW8Num769"/>
    <w:qFormat/>
  </w:style>
  <w:style w:type="numbering" w:styleId="WW8Num770">
    <w:name w:val="WW8Num770"/>
    <w:qFormat/>
  </w:style>
  <w:style w:type="numbering" w:styleId="WW8Num771">
    <w:name w:val="WW8Num771"/>
    <w:qFormat/>
  </w:style>
  <w:style w:type="numbering" w:styleId="WW8Num772">
    <w:name w:val="WW8Num772"/>
    <w:qFormat/>
  </w:style>
  <w:style w:type="numbering" w:styleId="WW8Num773">
    <w:name w:val="WW8Num773"/>
    <w:qFormat/>
  </w:style>
  <w:style w:type="numbering" w:styleId="WW8Num774">
    <w:name w:val="WW8Num774"/>
    <w:qFormat/>
  </w:style>
  <w:style w:type="numbering" w:styleId="WW8Num775">
    <w:name w:val="WW8Num775"/>
    <w:qFormat/>
  </w:style>
  <w:style w:type="numbering" w:styleId="WW8Num776">
    <w:name w:val="WW8Num776"/>
    <w:qFormat/>
  </w:style>
  <w:style w:type="numbering" w:styleId="WW8Num777">
    <w:name w:val="WW8Num777"/>
    <w:qFormat/>
  </w:style>
  <w:style w:type="numbering" w:styleId="WW8Num778">
    <w:name w:val="WW8Num778"/>
    <w:qFormat/>
  </w:style>
  <w:style w:type="numbering" w:styleId="WW8Num779">
    <w:name w:val="WW8Num779"/>
    <w:qFormat/>
  </w:style>
  <w:style w:type="numbering" w:styleId="WW8Num780">
    <w:name w:val="WW8Num780"/>
    <w:qFormat/>
  </w:style>
  <w:style w:type="numbering" w:styleId="WW8Num781">
    <w:name w:val="WW8Num781"/>
    <w:qFormat/>
  </w:style>
  <w:style w:type="numbering" w:styleId="WW8Num782">
    <w:name w:val="WW8Num782"/>
    <w:qFormat/>
  </w:style>
  <w:style w:type="numbering" w:styleId="WW8Num783">
    <w:name w:val="WW8Num783"/>
    <w:qFormat/>
  </w:style>
  <w:style w:type="numbering" w:styleId="WW8Num784">
    <w:name w:val="WW8Num784"/>
    <w:qFormat/>
  </w:style>
  <w:style w:type="numbering" w:styleId="WW8Num785">
    <w:name w:val="WW8Num785"/>
    <w:qFormat/>
  </w:style>
  <w:style w:type="numbering" w:styleId="WW8Num786">
    <w:name w:val="WW8Num786"/>
    <w:qFormat/>
  </w:style>
  <w:style w:type="numbering" w:styleId="WW8Num787">
    <w:name w:val="WW8Num787"/>
    <w:qFormat/>
  </w:style>
  <w:style w:type="numbering" w:styleId="WW8Num788">
    <w:name w:val="WW8Num788"/>
    <w:qFormat/>
  </w:style>
  <w:style w:type="numbering" w:styleId="WW8Num789">
    <w:name w:val="WW8Num789"/>
    <w:qFormat/>
  </w:style>
  <w:style w:type="numbering" w:styleId="WW8Num790">
    <w:name w:val="WW8Num790"/>
    <w:qFormat/>
  </w:style>
  <w:style w:type="numbering" w:styleId="WW8Num791">
    <w:name w:val="WW8Num791"/>
    <w:qFormat/>
  </w:style>
  <w:style w:type="numbering" w:styleId="WW8Num792">
    <w:name w:val="WW8Num792"/>
    <w:qFormat/>
  </w:style>
  <w:style w:type="numbering" w:styleId="WW8Num793">
    <w:name w:val="WW8Num793"/>
    <w:qFormat/>
  </w:style>
  <w:style w:type="numbering" w:styleId="WW8Num794">
    <w:name w:val="WW8Num794"/>
    <w:qFormat/>
  </w:style>
  <w:style w:type="numbering" w:styleId="WW8Num795">
    <w:name w:val="WW8Num795"/>
    <w:qFormat/>
  </w:style>
  <w:style w:type="numbering" w:styleId="WW8Num796">
    <w:name w:val="WW8Num796"/>
    <w:qFormat/>
  </w:style>
  <w:style w:type="numbering" w:styleId="WW8Num797">
    <w:name w:val="WW8Num797"/>
    <w:qFormat/>
  </w:style>
  <w:style w:type="numbering" w:styleId="WW8Num798">
    <w:name w:val="WW8Num798"/>
    <w:qFormat/>
  </w:style>
  <w:style w:type="numbering" w:styleId="WW8Num799">
    <w:name w:val="WW8Num799"/>
    <w:qFormat/>
  </w:style>
  <w:style w:type="numbering" w:styleId="WW8Num800">
    <w:name w:val="WW8Num800"/>
    <w:qFormat/>
  </w:style>
  <w:style w:type="numbering" w:styleId="WW8Num801">
    <w:name w:val="WW8Num801"/>
    <w:qFormat/>
  </w:style>
  <w:style w:type="numbering" w:styleId="WW8Num802">
    <w:name w:val="WW8Num802"/>
    <w:qFormat/>
  </w:style>
  <w:style w:type="numbering" w:styleId="WW8Num803">
    <w:name w:val="WW8Num803"/>
    <w:qFormat/>
  </w:style>
  <w:style w:type="numbering" w:styleId="WW8Num804">
    <w:name w:val="WW8Num804"/>
    <w:qFormat/>
  </w:style>
  <w:style w:type="numbering" w:styleId="WW8Num805">
    <w:name w:val="WW8Num805"/>
    <w:qFormat/>
  </w:style>
  <w:style w:type="numbering" w:styleId="WW8Num806">
    <w:name w:val="WW8Num806"/>
    <w:qFormat/>
  </w:style>
  <w:style w:type="numbering" w:styleId="WW8Num807">
    <w:name w:val="WW8Num807"/>
    <w:qFormat/>
  </w:style>
  <w:style w:type="numbering" w:styleId="WW8Num808">
    <w:name w:val="WW8Num808"/>
    <w:qFormat/>
  </w:style>
  <w:style w:type="numbering" w:styleId="WW8Num809">
    <w:name w:val="WW8Num809"/>
    <w:qFormat/>
  </w:style>
  <w:style w:type="numbering" w:styleId="WW8Num810">
    <w:name w:val="WW8Num810"/>
    <w:qFormat/>
  </w:style>
  <w:style w:type="numbering" w:styleId="WW8Num811">
    <w:name w:val="WW8Num811"/>
    <w:qFormat/>
  </w:style>
  <w:style w:type="numbering" w:styleId="WW8Num812">
    <w:name w:val="WW8Num812"/>
    <w:qFormat/>
  </w:style>
  <w:style w:type="numbering" w:styleId="WW8Num813">
    <w:name w:val="WW8Num813"/>
    <w:qFormat/>
  </w:style>
  <w:style w:type="numbering" w:styleId="WW8Num814">
    <w:name w:val="WW8Num814"/>
    <w:qFormat/>
  </w:style>
  <w:style w:type="numbering" w:styleId="WW8Num815">
    <w:name w:val="WW8Num815"/>
    <w:qFormat/>
  </w:style>
  <w:style w:type="numbering" w:styleId="WW8Num816">
    <w:name w:val="WW8Num816"/>
    <w:qFormat/>
  </w:style>
  <w:style w:type="numbering" w:styleId="WW8Num817">
    <w:name w:val="WW8Num817"/>
    <w:qFormat/>
  </w:style>
  <w:style w:type="numbering" w:styleId="WW8Num818">
    <w:name w:val="WW8Num818"/>
    <w:qFormat/>
  </w:style>
  <w:style w:type="numbering" w:styleId="WW8Num819">
    <w:name w:val="WW8Num819"/>
    <w:qFormat/>
  </w:style>
  <w:style w:type="numbering" w:styleId="WW8Num820">
    <w:name w:val="WW8Num820"/>
    <w:qFormat/>
  </w:style>
  <w:style w:type="numbering" w:styleId="WW8Num821">
    <w:name w:val="WW8Num821"/>
    <w:qFormat/>
  </w:style>
  <w:style w:type="numbering" w:styleId="WW8Num822">
    <w:name w:val="WW8Num822"/>
    <w:qFormat/>
  </w:style>
  <w:style w:type="numbering" w:styleId="WW8Num823">
    <w:name w:val="WW8Num823"/>
    <w:qFormat/>
  </w:style>
  <w:style w:type="numbering" w:styleId="WW8Num824">
    <w:name w:val="WW8Num824"/>
    <w:qFormat/>
  </w:style>
  <w:style w:type="numbering" w:styleId="WW8Num825">
    <w:name w:val="WW8Num825"/>
    <w:qFormat/>
  </w:style>
  <w:style w:type="numbering" w:styleId="WW8Num826">
    <w:name w:val="WW8Num826"/>
    <w:qFormat/>
  </w:style>
  <w:style w:type="numbering" w:styleId="WW8Num827">
    <w:name w:val="WW8Num827"/>
    <w:qFormat/>
  </w:style>
  <w:style w:type="numbering" w:styleId="WW8Num828">
    <w:name w:val="WW8Num828"/>
    <w:qFormat/>
  </w:style>
  <w:style w:type="numbering" w:styleId="WW8Num829">
    <w:name w:val="WW8Num829"/>
    <w:qFormat/>
  </w:style>
  <w:style w:type="numbering" w:styleId="WW8Num830">
    <w:name w:val="WW8Num830"/>
    <w:qFormat/>
  </w:style>
  <w:style w:type="numbering" w:styleId="WW8Num831">
    <w:name w:val="WW8Num831"/>
    <w:qFormat/>
  </w:style>
  <w:style w:type="numbering" w:styleId="WW8Num832">
    <w:name w:val="WW8Num832"/>
    <w:qFormat/>
  </w:style>
  <w:style w:type="numbering" w:styleId="WW8Num833">
    <w:name w:val="WW8Num833"/>
    <w:qFormat/>
  </w:style>
  <w:style w:type="numbering" w:styleId="WW8Num834">
    <w:name w:val="WW8Num834"/>
    <w:qFormat/>
  </w:style>
  <w:style w:type="numbering" w:styleId="WW8Num835">
    <w:name w:val="WW8Num835"/>
    <w:qFormat/>
  </w:style>
  <w:style w:type="numbering" w:styleId="WW8Num836">
    <w:name w:val="WW8Num836"/>
    <w:qFormat/>
  </w:style>
  <w:style w:type="numbering" w:styleId="WW8Num837">
    <w:name w:val="WW8Num837"/>
    <w:qFormat/>
  </w:style>
  <w:style w:type="numbering" w:styleId="WW8Num838">
    <w:name w:val="WW8Num838"/>
    <w:qFormat/>
  </w:style>
  <w:style w:type="numbering" w:styleId="WW8Num839">
    <w:name w:val="WW8Num839"/>
    <w:qFormat/>
  </w:style>
  <w:style w:type="numbering" w:styleId="WW8Num840">
    <w:name w:val="WW8Num840"/>
    <w:qFormat/>
  </w:style>
  <w:style w:type="numbering" w:styleId="WW8Num841">
    <w:name w:val="WW8Num841"/>
    <w:qFormat/>
  </w:style>
  <w:style w:type="numbering" w:styleId="WW8Num842">
    <w:name w:val="WW8Num842"/>
    <w:qFormat/>
  </w:style>
  <w:style w:type="numbering" w:styleId="WW8Num843">
    <w:name w:val="WW8Num843"/>
    <w:qFormat/>
  </w:style>
  <w:style w:type="numbering" w:styleId="WW8Num844">
    <w:name w:val="WW8Num844"/>
    <w:qFormat/>
  </w:style>
  <w:style w:type="numbering" w:styleId="WW8Num845">
    <w:name w:val="WW8Num845"/>
    <w:qFormat/>
  </w:style>
  <w:style w:type="numbering" w:styleId="WW8Num846">
    <w:name w:val="WW8Num846"/>
    <w:qFormat/>
  </w:style>
  <w:style w:type="numbering" w:styleId="WW8Num847">
    <w:name w:val="WW8Num847"/>
    <w:qFormat/>
  </w:style>
  <w:style w:type="numbering" w:styleId="WW8Num848">
    <w:name w:val="WW8Num848"/>
    <w:qFormat/>
  </w:style>
  <w:style w:type="numbering" w:styleId="WW8Num849">
    <w:name w:val="WW8Num849"/>
    <w:qFormat/>
  </w:style>
  <w:style w:type="numbering" w:styleId="WW8Num850">
    <w:name w:val="WW8Num850"/>
    <w:qFormat/>
  </w:style>
  <w:style w:type="numbering" w:styleId="WW8Num851">
    <w:name w:val="WW8Num851"/>
    <w:qFormat/>
  </w:style>
  <w:style w:type="numbering" w:styleId="WW8Num852">
    <w:name w:val="WW8Num852"/>
    <w:qFormat/>
  </w:style>
  <w:style w:type="numbering" w:styleId="WW8Num853">
    <w:name w:val="WW8Num853"/>
    <w:qFormat/>
  </w:style>
  <w:style w:type="numbering" w:styleId="WW8Num854">
    <w:name w:val="WW8Num854"/>
    <w:qFormat/>
  </w:style>
  <w:style w:type="numbering" w:styleId="WW8Num855">
    <w:name w:val="WW8Num855"/>
    <w:qFormat/>
  </w:style>
  <w:style w:type="numbering" w:styleId="WW8Num856">
    <w:name w:val="WW8Num856"/>
    <w:qFormat/>
  </w:style>
  <w:style w:type="numbering" w:styleId="WW8Num857">
    <w:name w:val="WW8Num857"/>
    <w:qFormat/>
  </w:style>
  <w:style w:type="numbering" w:styleId="WW8Num858">
    <w:name w:val="WW8Num858"/>
    <w:qFormat/>
  </w:style>
  <w:style w:type="numbering" w:styleId="WW8Num859">
    <w:name w:val="WW8Num859"/>
    <w:qFormat/>
  </w:style>
  <w:style w:type="numbering" w:styleId="WW8Num860">
    <w:name w:val="WW8Num860"/>
    <w:qFormat/>
  </w:style>
  <w:style w:type="numbering" w:styleId="WW8Num861">
    <w:name w:val="WW8Num861"/>
    <w:qFormat/>
  </w:style>
  <w:style w:type="numbering" w:styleId="WW8Num862">
    <w:name w:val="WW8Num862"/>
    <w:qFormat/>
  </w:style>
  <w:style w:type="numbering" w:styleId="WW8Num863">
    <w:name w:val="WW8Num863"/>
    <w:qFormat/>
  </w:style>
  <w:style w:type="numbering" w:styleId="WW8Num864">
    <w:name w:val="WW8Num864"/>
    <w:qFormat/>
  </w:style>
  <w:style w:type="numbering" w:styleId="WW8Num865">
    <w:name w:val="WW8Num865"/>
    <w:qFormat/>
  </w:style>
  <w:style w:type="numbering" w:styleId="WW8Num866">
    <w:name w:val="WW8Num866"/>
    <w:qFormat/>
  </w:style>
  <w:style w:type="numbering" w:styleId="WW8Num867">
    <w:name w:val="WW8Num867"/>
    <w:qFormat/>
  </w:style>
  <w:style w:type="numbering" w:styleId="WW8Num868">
    <w:name w:val="WW8Num868"/>
    <w:qFormat/>
  </w:style>
  <w:style w:type="numbering" w:styleId="WW8Num869">
    <w:name w:val="WW8Num869"/>
    <w:qFormat/>
  </w:style>
  <w:style w:type="numbering" w:styleId="WW8Num870">
    <w:name w:val="WW8Num870"/>
    <w:qFormat/>
  </w:style>
  <w:style w:type="numbering" w:styleId="WW8Num871">
    <w:name w:val="WW8Num871"/>
    <w:qFormat/>
  </w:style>
  <w:style w:type="numbering" w:styleId="WW8Num872">
    <w:name w:val="WW8Num872"/>
    <w:qFormat/>
  </w:style>
  <w:style w:type="numbering" w:styleId="WW8Num873">
    <w:name w:val="WW8Num873"/>
    <w:qFormat/>
  </w:style>
  <w:style w:type="numbering" w:styleId="WW8Num874">
    <w:name w:val="WW8Num874"/>
    <w:qFormat/>
  </w:style>
  <w:style w:type="numbering" w:styleId="WW8Num875">
    <w:name w:val="WW8Num875"/>
    <w:qFormat/>
  </w:style>
  <w:style w:type="numbering" w:styleId="WW8Num876">
    <w:name w:val="WW8Num876"/>
    <w:qFormat/>
  </w:style>
  <w:style w:type="numbering" w:styleId="WW8Num877">
    <w:name w:val="WW8Num877"/>
    <w:qFormat/>
  </w:style>
  <w:style w:type="numbering" w:styleId="WW8Num878">
    <w:name w:val="WW8Num878"/>
    <w:qFormat/>
  </w:style>
  <w:style w:type="numbering" w:styleId="WW8Num879">
    <w:name w:val="WW8Num879"/>
    <w:qFormat/>
  </w:style>
  <w:style w:type="numbering" w:styleId="WW8Num880">
    <w:name w:val="WW8Num880"/>
    <w:qFormat/>
  </w:style>
  <w:style w:type="numbering" w:styleId="WW8Num881">
    <w:name w:val="WW8Num881"/>
    <w:qFormat/>
  </w:style>
  <w:style w:type="numbering" w:styleId="WW8Num882">
    <w:name w:val="WW8Num882"/>
    <w:qFormat/>
  </w:style>
  <w:style w:type="numbering" w:styleId="WW8Num883">
    <w:name w:val="WW8Num883"/>
    <w:qFormat/>
  </w:style>
  <w:style w:type="numbering" w:styleId="WW8Num884">
    <w:name w:val="WW8Num884"/>
    <w:qFormat/>
  </w:style>
  <w:style w:type="numbering" w:styleId="WW8Num885">
    <w:name w:val="WW8Num885"/>
    <w:qFormat/>
  </w:style>
  <w:style w:type="numbering" w:styleId="WW8Num886">
    <w:name w:val="WW8Num886"/>
    <w:qFormat/>
  </w:style>
  <w:style w:type="numbering" w:styleId="WW8Num887">
    <w:name w:val="WW8Num887"/>
    <w:qFormat/>
  </w:style>
  <w:style w:type="numbering" w:styleId="WW8Num888">
    <w:name w:val="WW8Num888"/>
    <w:qFormat/>
  </w:style>
  <w:style w:type="numbering" w:styleId="WW8Num889">
    <w:name w:val="WW8Num889"/>
    <w:qFormat/>
  </w:style>
  <w:style w:type="numbering" w:styleId="WW8Num890">
    <w:name w:val="WW8Num890"/>
    <w:qFormat/>
  </w:style>
  <w:style w:type="numbering" w:styleId="WW8Num891">
    <w:name w:val="WW8Num891"/>
    <w:qFormat/>
  </w:style>
  <w:style w:type="numbering" w:styleId="WW8Num892">
    <w:name w:val="WW8Num892"/>
    <w:qFormat/>
  </w:style>
  <w:style w:type="numbering" w:styleId="WW8Num893">
    <w:name w:val="WW8Num893"/>
    <w:qFormat/>
  </w:style>
  <w:style w:type="numbering" w:styleId="WW8Num894">
    <w:name w:val="WW8Num894"/>
    <w:qFormat/>
  </w:style>
  <w:style w:type="numbering" w:styleId="WW8Num895">
    <w:name w:val="WW8Num895"/>
    <w:qFormat/>
  </w:style>
  <w:style w:type="numbering" w:styleId="WW8Num896">
    <w:name w:val="WW8Num896"/>
    <w:qFormat/>
  </w:style>
  <w:style w:type="numbering" w:styleId="WW8Num897">
    <w:name w:val="WW8Num897"/>
    <w:qFormat/>
  </w:style>
  <w:style w:type="numbering" w:styleId="WW8Num898">
    <w:name w:val="WW8Num898"/>
    <w:qFormat/>
  </w:style>
  <w:style w:type="numbering" w:styleId="WW8Num899">
    <w:name w:val="WW8Num899"/>
    <w:qFormat/>
  </w:style>
  <w:style w:type="numbering" w:styleId="WW8Num900">
    <w:name w:val="WW8Num900"/>
    <w:qFormat/>
  </w:style>
  <w:style w:type="numbering" w:styleId="WW8Num901">
    <w:name w:val="WW8Num901"/>
    <w:qFormat/>
  </w:style>
  <w:style w:type="numbering" w:styleId="WW8Num902">
    <w:name w:val="WW8Num902"/>
    <w:qFormat/>
  </w:style>
  <w:style w:type="numbering" w:styleId="WW8Num903">
    <w:name w:val="WW8Num903"/>
    <w:qFormat/>
  </w:style>
  <w:style w:type="numbering" w:styleId="WW8Num904">
    <w:name w:val="WW8Num904"/>
    <w:qFormat/>
  </w:style>
  <w:style w:type="numbering" w:styleId="WW8Num905">
    <w:name w:val="WW8Num905"/>
    <w:qFormat/>
  </w:style>
  <w:style w:type="numbering" w:styleId="WW8Num906">
    <w:name w:val="WW8Num906"/>
    <w:qFormat/>
  </w:style>
  <w:style w:type="numbering" w:styleId="WW8Num907">
    <w:name w:val="WW8Num907"/>
    <w:qFormat/>
  </w:style>
  <w:style w:type="numbering" w:styleId="WW8Num908">
    <w:name w:val="WW8Num908"/>
    <w:qFormat/>
  </w:style>
  <w:style w:type="numbering" w:styleId="WW8Num909">
    <w:name w:val="WW8Num909"/>
    <w:qFormat/>
  </w:style>
  <w:style w:type="numbering" w:styleId="WW8Num910">
    <w:name w:val="WW8Num910"/>
    <w:qFormat/>
  </w:style>
  <w:style w:type="numbering" w:styleId="WW8Num911">
    <w:name w:val="WW8Num911"/>
    <w:qFormat/>
  </w:style>
  <w:style w:type="numbering" w:styleId="WW8Num912">
    <w:name w:val="WW8Num912"/>
    <w:qFormat/>
  </w:style>
  <w:style w:type="numbering" w:styleId="WW8Num913">
    <w:name w:val="WW8Num913"/>
    <w:qFormat/>
  </w:style>
  <w:style w:type="numbering" w:styleId="WW8Num914">
    <w:name w:val="WW8Num914"/>
    <w:qFormat/>
  </w:style>
  <w:style w:type="numbering" w:styleId="WW8Num915">
    <w:name w:val="WW8Num915"/>
    <w:qFormat/>
  </w:style>
  <w:style w:type="numbering" w:styleId="WW8Num916">
    <w:name w:val="WW8Num916"/>
    <w:qFormat/>
  </w:style>
  <w:style w:type="numbering" w:styleId="WW8Num917">
    <w:name w:val="WW8Num917"/>
    <w:qFormat/>
  </w:style>
  <w:style w:type="numbering" w:styleId="WW8Num918">
    <w:name w:val="WW8Num918"/>
    <w:qFormat/>
  </w:style>
  <w:style w:type="numbering" w:styleId="WW8Num919">
    <w:name w:val="WW8Num919"/>
    <w:qFormat/>
  </w:style>
  <w:style w:type="numbering" w:styleId="WW8Num920">
    <w:name w:val="WW8Num920"/>
    <w:qFormat/>
  </w:style>
  <w:style w:type="numbering" w:styleId="WW8Num921">
    <w:name w:val="WW8Num921"/>
    <w:qFormat/>
  </w:style>
  <w:style w:type="numbering" w:styleId="WW8Num922">
    <w:name w:val="WW8Num922"/>
    <w:qFormat/>
  </w:style>
  <w:style w:type="numbering" w:styleId="WW8Num923">
    <w:name w:val="WW8Num923"/>
    <w:qFormat/>
  </w:style>
  <w:style w:type="numbering" w:styleId="WW8Num924">
    <w:name w:val="WW8Num924"/>
    <w:qFormat/>
  </w:style>
  <w:style w:type="numbering" w:styleId="WW8Num925">
    <w:name w:val="WW8Num925"/>
    <w:qFormat/>
  </w:style>
  <w:style w:type="numbering" w:styleId="WW8Num926">
    <w:name w:val="WW8Num926"/>
    <w:qFormat/>
  </w:style>
  <w:style w:type="numbering" w:styleId="WW8Num927">
    <w:name w:val="WW8Num927"/>
    <w:qFormat/>
  </w:style>
  <w:style w:type="numbering" w:styleId="WW8Num928">
    <w:name w:val="WW8Num928"/>
    <w:qFormat/>
  </w:style>
  <w:style w:type="numbering" w:styleId="WW8Num929">
    <w:name w:val="WW8Num929"/>
    <w:qFormat/>
  </w:style>
  <w:style w:type="numbering" w:styleId="WW8Num930">
    <w:name w:val="WW8Num930"/>
    <w:qFormat/>
  </w:style>
  <w:style w:type="numbering" w:styleId="WW8Num931">
    <w:name w:val="WW8Num931"/>
    <w:qFormat/>
  </w:style>
  <w:style w:type="numbering" w:styleId="WW8Num932">
    <w:name w:val="WW8Num932"/>
    <w:qFormat/>
  </w:style>
  <w:style w:type="numbering" w:styleId="WW8Num933">
    <w:name w:val="WW8Num933"/>
    <w:qFormat/>
  </w:style>
  <w:style w:type="numbering" w:styleId="WW8Num934">
    <w:name w:val="WW8Num934"/>
    <w:qFormat/>
  </w:style>
  <w:style w:type="numbering" w:styleId="WW8Num935">
    <w:name w:val="WW8Num935"/>
    <w:qFormat/>
  </w:style>
  <w:style w:type="numbering" w:styleId="WW8Num936">
    <w:name w:val="WW8Num936"/>
    <w:qFormat/>
  </w:style>
  <w:style w:type="numbering" w:styleId="WW8Num937">
    <w:name w:val="WW8Num937"/>
    <w:qFormat/>
  </w:style>
  <w:style w:type="numbering" w:styleId="WW8Num938">
    <w:name w:val="WW8Num938"/>
    <w:qFormat/>
  </w:style>
  <w:style w:type="numbering" w:styleId="WW8Num939">
    <w:name w:val="WW8Num939"/>
    <w:qFormat/>
  </w:style>
  <w:style w:type="numbering" w:styleId="WW8Num940">
    <w:name w:val="WW8Num940"/>
    <w:qFormat/>
  </w:style>
  <w:style w:type="numbering" w:styleId="WW8Num941">
    <w:name w:val="WW8Num941"/>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eader" Target="header4.xml"/><Relationship Id="rId11" Type="http://schemas.openxmlformats.org/officeDocument/2006/relationships/header" Target="header5.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wmf"/>
</Relationships>
</file>

<file path=word/_rels/footer2.xml.rels><?xml version="1.0" encoding="UTF-8"?>
<Relationships xmlns="http://schemas.openxmlformats.org/package/2006/relationships"><Relationship Id="rId1" Type="http://schemas.openxmlformats.org/officeDocument/2006/relationships/image" Target="media/image1.wmf"/>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info memo.dot</Template>
  <TotalTime>1053</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2001-07-25T17:13:00Z</dcterms:created>
  <dc:creator>Jon Hoff</dc:creator>
  <dc:description/>
  <dc:language>en-CA</dc:language>
  <cp:lastModifiedBy>jmyung</cp:lastModifiedBy>
  <cp:lastPrinted>2001-08-03T14:47:00Z</cp:lastPrinted>
  <dcterms:modified xsi:type="dcterms:W3CDTF">2001-08-06T07:13:00Z</dcterms:modified>
  <cp:revision>71</cp:revision>
  <dc:subject/>
  <dc:title>Date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dyPage">
    <vt:r8>5</vt:r8>
  </property>
  <property fmtid="{D5CDD505-2E9C-101B-9397-08002B2CF9AE}" pid="3" name="Confidential">
    <vt:bool>1</vt:bool>
  </property>
  <property fmtid="{D5CDD505-2E9C-101B-9397-08002B2CF9AE}" pid="4" name="CoverPage">
    <vt:r8>1</vt:r8>
  </property>
  <property fmtid="{D5CDD505-2E9C-101B-9397-08002B2CF9AE}" pid="5" name="Date">
    <vt:lpwstr>August 2000</vt:lpwstr>
  </property>
  <property fmtid="{D5CDD505-2E9C-101B-9397-08002B2CF9AE}" pid="6" name="DateStamp">
    <vt:bool>1</vt:bool>
  </property>
  <property fmtid="{D5CDD505-2E9C-101B-9397-08002B2CF9AE}" pid="7" name="FilenameStamp">
    <vt:bool>1</vt:bool>
  </property>
  <property fmtid="{D5CDD505-2E9C-101B-9397-08002B2CF9AE}" pid="8" name="IntroPage">
    <vt:r8>2</vt:r8>
  </property>
  <property fmtid="{D5CDD505-2E9C-101B-9397-08002B2CF9AE}" pid="9" name="Logo">
    <vt:lpwstr>C:\Program Files\Microsoft Office\Templates\IBD Templates\Logos\Color\Small CreditSuisse WMF-RGB logos\CS-First Boston Logo RGB Color.wmf</vt:lpwstr>
  </property>
  <property fmtid="{D5CDD505-2E9C-101B-9397-08002B2CF9AE}" pid="10" name="PageNumber">
    <vt:bool>1</vt:bool>
  </property>
  <property fmtid="{D5CDD505-2E9C-101B-9397-08002B2CF9AE}" pid="11" name="PathStamp">
    <vt:bool>1</vt:bool>
  </property>
  <property fmtid="{D5CDD505-2E9C-101B-9397-08002B2CF9AE}" pid="12" name="SDPage">
    <vt:r8>4</vt:r8>
  </property>
  <property fmtid="{D5CDD505-2E9C-101B-9397-08002B2CF9AE}" pid="13" name="StartingPageNumber">
    <vt:r8>1</vt:r8>
  </property>
  <property fmtid="{D5CDD505-2E9C-101B-9397-08002B2CF9AE}" pid="14" name="TOCPage">
    <vt:r8>3</vt:r8>
  </property>
  <property fmtid="{D5CDD505-2E9C-101B-9397-08002B2CF9AE}" pid="15" name="TableOfContentsShowPageNumber">
    <vt:bool>0</vt:bool>
  </property>
  <property fmtid="{D5CDD505-2E9C-101B-9397-08002B2CF9AE}" pid="16" name="TableOfContentsTabLeaders">
    <vt:bool>0</vt:bool>
  </property>
  <property fmtid="{D5CDD505-2E9C-101B-9397-08002B2CF9AE}" pid="17" name="TimeStamp">
    <vt:bool>0</vt:bool>
  </property>
  <property fmtid="{D5CDD505-2E9C-101B-9397-08002B2CF9AE}" pid="18" name="Title">
    <vt:lpwstr>Enron North America</vt:lpwstr>
  </property>
</Properties>
</file>