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embeddings/oleObject1.xlsx" ContentType="application/vnd.openxmlformats-officedocument.spreadsheetml.sheet"/>
  <Override PartName="/word/embeddings/oleObject2.xlsx" ContentType="application/vnd.openxmlformats-officedocument.spreadsheetml.sheet"/>
  <Override PartName="/word/embeddings/oleObject3.xlsx" ContentType="application/vnd.openxmlformats-officedocument.spreadsheetml.sheet"/>
  <Override PartName="/word/embeddings/oleObject4.xlsx" ContentType="application/vnd.openxmlformats-officedocument.spreadsheetml.sheet"/>
  <Override PartName="/word/embeddings/oleObject5.xlsx" ContentType="application/vnd.openxmlformats-officedocument.spreadsheetml.sheet"/>
  <Override PartName="/word/embeddings/oleObject6.xlsx" ContentType="application/vnd.openxmlformats-officedocument.spreadsheetml.sheet"/>
  <Override PartName="/word/embeddings/oleObject7.xlsx" ContentType="application/vnd.openxmlformats-officedocument.spreadsheetml.sheet"/>
  <Override PartName="/word/media/image1.wmf" ContentType="image/x-wmf"/>
  <Override PartName="/word/media/image2.wmf" ContentType="image/x-wmf"/>
  <Override PartName="/word/media/image3.wmf" ContentType="image/x-wmf"/>
  <Override PartName="/word/media/image4.wmf" ContentType="image/x-wmf"/>
  <Override PartName="/word/media/image5.png" ContentType="image/png"/>
  <Override PartName="/word/media/image6.wmf" ContentType="image/x-wmf"/>
  <Override PartName="/word/media/image7.png" ContentType="image/png"/>
  <Override PartName="/word/media/image8.wmf" ContentType="image/x-wmf"/>
  <Override PartName="/word/media/image9.wmf" ContentType="image/x-wmf"/>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
        <w:numPr>
          <w:ilvl w:val="0"/>
          <w:numId w:val="0"/>
        </w:numPr>
        <w:outlineLvl w:val="0"/>
        <w:rPr>
          <w:sz w:val="24"/>
        </w:rPr>
      </w:pPr>
      <w:r>
        <w:rPr>
          <w:sz w:val="24"/>
        </w:rPr>
        <w:t>FLORIDA ENERGY MARKET OVERVIEW</w:t>
      </w:r>
    </w:p>
    <w:p>
      <w:pPr>
        <w:pStyle w:val="Normal"/>
        <w:rPr>
          <w:sz w:val="24"/>
        </w:rPr>
      </w:pPr>
      <w:r>
        <w:rPr>
          <w:sz w:val="24"/>
        </w:rPr>
      </w:r>
    </w:p>
    <w:p>
      <w:pPr>
        <w:pStyle w:val="Normal"/>
        <w:rPr>
          <w:sz w:val="24"/>
        </w:rPr>
      </w:pPr>
      <w:r>
        <w:rPr>
          <w:sz w:val="24"/>
        </w:rPr>
        <w:tab/>
        <w:t>In order to address concerns with regard to possible Florida natural gas and electricity shortages in the upcoming year, the gas fundamentals group has conducted extensive research of the Florida energy market. We analyzed market fundamentals, historical trends in supply and consumption of natural gas.  We have also identified possible developments in the Florida energy market over the next 1-2 year period.</w:t>
      </w:r>
    </w:p>
    <w:p>
      <w:pPr>
        <w:pStyle w:val="Normal"/>
        <w:rPr>
          <w:sz w:val="24"/>
        </w:rPr>
      </w:pPr>
      <w:r>
        <w:rPr>
          <w:sz w:val="24"/>
        </w:rPr>
      </w:r>
    </w:p>
    <w:p>
      <w:pPr>
        <w:pStyle w:val="Heading2"/>
        <w:rPr/>
      </w:pPr>
      <w:r>
        <w:rPr/>
        <w:t>Introduction</w:t>
      </w:r>
    </w:p>
    <w:p>
      <w:pPr>
        <w:pStyle w:val="Normal"/>
        <w:ind w:firstLine="720" w:end="0"/>
        <w:rPr>
          <w:sz w:val="24"/>
        </w:rPr>
      </w:pPr>
      <w:r>
        <w:rPr>
          <w:sz w:val="24"/>
        </w:rPr>
        <w:t>Florida is the nation’s fourth most populous state with a population of 15.5 million people. The population growth rate is expected to be 1.81% in the year 2001 and an average of 1.54% over the period of 2000-2007.  The Census Bureau projects that Florida will become the nation’s third largest state between 2015 and 2020.</w:t>
      </w:r>
    </w:p>
    <w:p>
      <w:pPr>
        <w:pStyle w:val="Normal"/>
        <w:ind w:firstLine="720" w:end="0"/>
        <w:rPr>
          <w:sz w:val="24"/>
        </w:rPr>
      </w:pPr>
      <w:r>
        <w:rPr>
          <w:sz w:val="24"/>
        </w:rPr>
      </w:r>
    </w:p>
    <w:p>
      <w:pPr>
        <w:pStyle w:val="Normal"/>
        <w:ind w:firstLine="720" w:end="0"/>
        <w:rPr>
          <w:sz w:val="24"/>
        </w:rPr>
      </w:pPr>
      <w:r>
        <w:rPr>
          <w:sz w:val="24"/>
        </w:rPr>
        <w:t>In recent years the prime source of growth in energy demand came from residential consumers. The number of private housing starts is expected to grow on a steady rate by 145,000 – 150,000 every year over the next 5 – 7 years. The total number of Florida households is currently around 6.12 million and is expected to grow to 6.89 million by 2007 (or 1.8% on average every year).</w:t>
      </w:r>
    </w:p>
    <w:p>
      <w:pPr>
        <w:pStyle w:val="Normal"/>
        <w:ind w:firstLine="720" w:end="0"/>
        <w:rPr>
          <w:sz w:val="24"/>
        </w:rPr>
      </w:pPr>
      <w:r>
        <w:rPr>
          <w:sz w:val="24"/>
        </w:rPr>
      </w:r>
    </w:p>
    <w:p>
      <w:pPr>
        <w:pStyle w:val="Normal"/>
        <w:ind w:firstLine="720" w:end="0"/>
        <w:rPr/>
      </w:pPr>
      <w:r>
        <w:rPr>
          <w:sz w:val="24"/>
        </w:rPr>
        <w:t>The Florida energy market is dominated by vertically integrated utilities that maintain substantial generation resources (ranked 3</w:t>
      </w:r>
      <w:r>
        <w:rPr>
          <w:sz w:val="24"/>
          <w:vertAlign w:val="superscript"/>
        </w:rPr>
        <w:t xml:space="preserve">rd </w:t>
      </w:r>
      <w:r>
        <w:rPr>
          <w:sz w:val="24"/>
        </w:rPr>
        <w:t>in generation capacity in the US). These utilities have weak economic incentives to provide transmission access to non-affiliated merchants on the same basis as they do to their affiliated merchants.</w:t>
      </w:r>
    </w:p>
    <w:p>
      <w:pPr>
        <w:pStyle w:val="Normal"/>
        <w:ind w:firstLine="720" w:end="0"/>
        <w:rPr>
          <w:sz w:val="24"/>
        </w:rPr>
      </w:pPr>
      <w:r>
        <w:rPr>
          <w:sz w:val="24"/>
        </w:rPr>
      </w:r>
    </w:p>
    <w:p>
      <w:pPr>
        <w:pStyle w:val="Normal"/>
        <w:ind w:firstLine="720" w:end="0"/>
        <w:rPr>
          <w:sz w:val="24"/>
        </w:rPr>
      </w:pPr>
      <w:r>
        <w:rPr>
          <w:sz w:val="24"/>
        </w:rPr>
        <w:t>Florida law restricts construction of merchant power plants by independent power producers, thus complicating the development of a competitive market for the sale of electricity.</w:t>
      </w:r>
    </w:p>
    <w:p>
      <w:pPr>
        <w:pStyle w:val="Normal"/>
        <w:ind w:firstLine="720" w:end="0"/>
        <w:rPr>
          <w:sz w:val="24"/>
        </w:rPr>
      </w:pPr>
      <w:r>
        <w:rPr>
          <w:sz w:val="24"/>
        </w:rPr>
      </w:r>
    </w:p>
    <w:p>
      <w:pPr>
        <w:pStyle w:val="Normal"/>
        <w:numPr>
          <w:ilvl w:val="0"/>
          <w:numId w:val="0"/>
        </w:numPr>
        <w:ind w:firstLine="720" w:end="0"/>
        <w:outlineLvl w:val="0"/>
        <w:rPr>
          <w:sz w:val="24"/>
          <w:u w:val="single"/>
        </w:rPr>
      </w:pPr>
      <w:r>
        <w:rPr>
          <w:sz w:val="24"/>
          <w:u w:val="single"/>
        </w:rPr>
        <w:t>Florida power market fundamentals.</w:t>
      </w:r>
    </w:p>
    <w:p>
      <w:pPr>
        <w:pStyle w:val="Normal"/>
        <w:ind w:firstLine="720" w:end="0"/>
        <w:rPr>
          <w:sz w:val="24"/>
        </w:rPr>
      </w:pPr>
      <w:r>
        <w:object w:dxaOrig="7681" w:dyaOrig="5121">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position:absolute;margin-left:46.8pt;margin-top:34.15pt;width:364.5pt;height:258pt;mso-wrap-distance-left:9.05pt;mso-wrap-distance-right:9.05pt;mso-position-horizontal-relative:text;mso-position-vertical-relative:text" filled="f" o:ole="">
            <v:imagedata r:id="rId3" o:title=""/>
            <w10:wrap type="topAndBottom"/>
          </v:shape>
          <o:OLEObject Type="Embed" ProgID="Excel.Sheet.12" ShapeID="ole_rId2" DrawAspect="Content" ObjectID="_2107125308" r:id="rId2"/>
        </w:object>
      </w:r>
      <w:r>
        <w:rPr>
          <w:sz w:val="24"/>
        </w:rPr>
        <w:t>Florida is a net importer of energy resources, including electricity. The primary source of electric generation in the state is coal, followed by natural gas and heating oil.</w:t>
      </w:r>
      <w:r>
        <w:rPr/>
        <w:t xml:space="preserve"> </w:t>
      </w:r>
    </w:p>
    <w:p>
      <w:pPr>
        <w:pStyle w:val="Heading1"/>
        <w:ind w:hanging="0" w:start="0"/>
        <w:jc w:val="start"/>
        <w:rPr>
          <w:b w:val="false"/>
          <w:sz w:val="24"/>
        </w:rPr>
      </w:pPr>
      <w:r>
        <w:rPr>
          <w:b w:val="false"/>
          <w:sz w:val="24"/>
        </w:rPr>
        <w:tab/>
        <w:t xml:space="preserve">Florida's electric utilities consumed 10.25% of the total natural gas used to generate electricity in the U.S. in 1999. Florida is isolated from the rest of the South - Eastern power grid because of transmission constraints in northern Florida. Florida is a net importer of baseload power during the summer and winter.  Importing capabilities are limited to about 3,600 MW/hour.  Normal baseload flow is 2,418 MW/hour, but flows reach 3,900 MW/hour during peak summer load.  </w:t>
      </w:r>
    </w:p>
    <w:p>
      <w:pPr>
        <w:pStyle w:val="Normal"/>
        <w:rPr>
          <w:b/>
          <w:sz w:val="24"/>
        </w:rPr>
      </w:pPr>
      <w:r>
        <w:rPr>
          <w:b/>
          <w:sz w:val="24"/>
        </w:rPr>
      </w:r>
    </w:p>
    <w:p>
      <w:pPr>
        <w:pStyle w:val="Heading8"/>
        <w:rPr/>
      </w:pPr>
      <w:r>
        <w:rPr/>
        <w:t xml:space="preserve">Most of the power load increase over the last few years was covered by the </w:t>
      </w:r>
    </w:p>
    <w:p>
      <w:pPr>
        <w:pStyle w:val="Normal"/>
        <w:rPr>
          <w:sz w:val="24"/>
        </w:rPr>
      </w:pPr>
      <w:r>
        <w:rPr>
          <w:sz w:val="24"/>
        </w:rPr>
        <w:t>introduction of new power plants fired by natural gas and heating oil.</w:t>
      </w:r>
    </w:p>
    <w:p>
      <w:pPr>
        <w:pStyle w:val="Normal"/>
        <w:ind w:firstLine="720" w:end="0"/>
        <w:rPr>
          <w:sz w:val="24"/>
        </w:rPr>
      </w:pPr>
      <w:r>
        <w:rPr>
          <w:sz w:val="24"/>
        </w:rPr>
      </w:r>
    </w:p>
    <w:p>
      <w:pPr>
        <w:pStyle w:val="BodyTextIndent"/>
        <w:rPr/>
      </w:pPr>
      <w:r>
        <w:object w:dxaOrig="5121" w:dyaOrig="4097">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position:absolute;margin-left:39.6pt;margin-top:22.7pt;width:345.6pt;height:221.3pt;mso-wrap-distance-left:9.05pt;mso-wrap-distance-right:9.05pt;mso-position-horizontal-relative:text;mso-position-vertical-relative:text" filled="f" o:ole="">
            <v:imagedata r:id="rId5" o:title=""/>
            <w10:wrap type="topAndBottom"/>
          </v:shape>
          <o:OLEObject Type="Embed" ProgID="Excel.Sheet.12" ShapeID="ole_rId4" DrawAspect="Content" ObjectID="_123617828" r:id="rId4"/>
        </w:object>
      </w:r>
      <w:r>
        <w:rPr/>
        <w:t>Currently, Florida’s generation pool has the following structure:</w:t>
      </w:r>
    </w:p>
    <w:p>
      <w:pPr>
        <w:pStyle w:val="Normal"/>
        <w:ind w:firstLine="720" w:end="0"/>
        <w:rPr>
          <w:sz w:val="24"/>
        </w:rPr>
      </w:pPr>
      <w:r>
        <w:rPr>
          <w:sz w:val="24"/>
        </w:rPr>
        <w:object w:dxaOrig="7681" w:dyaOrig="4353">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position:absolute;margin-left:39.6pt;margin-top:239.3pt;width:345.6pt;height:230.4pt;mso-wrap-distance-left:9.05pt;mso-wrap-distance-right:9.05pt;mso-position-horizontal-relative:text;mso-position-vertical-relative:text" filled="f" o:ole="">
            <v:imagedata r:id="rId7" o:title=""/>
            <w10:wrap type="topAndBottom"/>
          </v:shape>
          <o:OLEObject Type="Embed" ProgID="Excel.Sheet.12" ShapeID="ole_rId6" DrawAspect="Content" ObjectID="_1330484418" r:id="rId6"/>
        </w:object>
      </w:r>
    </w:p>
    <w:p>
      <w:pPr>
        <w:pStyle w:val="Normal"/>
        <w:ind w:firstLine="720" w:end="0"/>
        <w:rPr>
          <w:b/>
          <w:color w:val="000000"/>
          <w:sz w:val="24"/>
        </w:rPr>
      </w:pPr>
      <w:r>
        <w:rPr>
          <w:b/>
          <w:color w:val="000000"/>
          <w:sz w:val="24"/>
        </w:rPr>
      </w:r>
    </w:p>
    <w:p>
      <w:pPr>
        <w:pStyle w:val="Normal"/>
        <w:ind w:firstLine="720" w:end="0"/>
        <w:jc w:val="center"/>
        <w:rPr>
          <w:b/>
          <w:color w:val="000000"/>
          <w:sz w:val="24"/>
        </w:rPr>
      </w:pPr>
      <w:r>
        <w:rPr>
          <w:b/>
          <w:color w:val="000000"/>
          <w:sz w:val="24"/>
        </w:rPr>
        <w:t>Florida Power Stack (MW)</w:t>
      </w:r>
    </w:p>
    <w:p>
      <w:pPr>
        <w:pStyle w:val="Normal"/>
        <w:ind w:firstLine="720" w:end="0"/>
        <w:jc w:val="center"/>
        <w:rPr>
          <w:b/>
          <w:color w:val="000000"/>
          <w:sz w:val="24"/>
        </w:rPr>
      </w:pPr>
      <w:r>
        <w:rPr>
          <w:b/>
          <w:color w:val="000000"/>
          <w:sz w:val="24"/>
        </w:rPr>
      </w:r>
    </w:p>
    <w:tbl>
      <w:tblPr>
        <w:tblW w:w="7018" w:type="dxa"/>
        <w:jc w:val="start"/>
        <w:tblInd w:w="1020" w:type="dxa"/>
        <w:tblLayout w:type="fixed"/>
        <w:tblCellMar>
          <w:top w:w="0" w:type="dxa"/>
          <w:start w:w="30" w:type="dxa"/>
          <w:bottom w:w="0" w:type="dxa"/>
          <w:end w:w="30" w:type="dxa"/>
        </w:tblCellMar>
      </w:tblPr>
      <w:tblGrid>
        <w:gridCol w:w="1387"/>
        <w:gridCol w:w="1042"/>
        <w:gridCol w:w="835"/>
        <w:gridCol w:w="1042"/>
        <w:gridCol w:w="835"/>
        <w:gridCol w:w="1041"/>
        <w:gridCol w:w="836"/>
      </w:tblGrid>
      <w:tr>
        <w:trPr>
          <w:trHeight w:val="322" w:hRule="atLeast"/>
        </w:trPr>
        <w:tc>
          <w:tcPr>
            <w:tcW w:w="1387" w:type="dxa"/>
            <w:tcBorders>
              <w:top w:val="single" w:sz="6" w:space="0" w:color="000000"/>
              <w:start w:val="single" w:sz="6" w:space="0" w:color="000000"/>
            </w:tcBorders>
          </w:tcPr>
          <w:p>
            <w:pPr>
              <w:pStyle w:val="Normal"/>
              <w:snapToGrid w:val="false"/>
              <w:jc w:val="center"/>
              <w:rPr>
                <w:b/>
                <w:color w:val="000000"/>
                <w:sz w:val="24"/>
              </w:rPr>
            </w:pPr>
            <w:r>
              <w:rPr>
                <w:b/>
                <w:color w:val="000000"/>
                <w:sz w:val="24"/>
              </w:rPr>
            </w:r>
          </w:p>
        </w:tc>
        <w:tc>
          <w:tcPr>
            <w:tcW w:w="1042" w:type="dxa"/>
            <w:tcBorders>
              <w:top w:val="single" w:sz="6" w:space="0" w:color="000000"/>
              <w:start w:val="single" w:sz="6" w:space="0" w:color="000000"/>
              <w:end w:val="single" w:sz="6" w:space="0" w:color="000000"/>
            </w:tcBorders>
          </w:tcPr>
          <w:p>
            <w:pPr>
              <w:pStyle w:val="Normal"/>
              <w:jc w:val="center"/>
              <w:rPr>
                <w:b/>
                <w:color w:val="000000"/>
                <w:sz w:val="24"/>
              </w:rPr>
            </w:pPr>
            <w:r>
              <w:rPr>
                <w:b/>
                <w:color w:val="000000"/>
                <w:sz w:val="24"/>
              </w:rPr>
              <w:t>2000</w:t>
            </w:r>
          </w:p>
        </w:tc>
        <w:tc>
          <w:tcPr>
            <w:tcW w:w="835" w:type="dxa"/>
            <w:tcBorders>
              <w:top w:val="single" w:sz="6" w:space="0" w:color="000000"/>
              <w:start w:val="single" w:sz="6" w:space="0" w:color="000000"/>
              <w:end w:val="single" w:sz="6" w:space="0" w:color="000000"/>
            </w:tcBorders>
          </w:tcPr>
          <w:p>
            <w:pPr>
              <w:pStyle w:val="Normal"/>
              <w:jc w:val="center"/>
              <w:rPr>
                <w:b/>
                <w:color w:val="000000"/>
                <w:sz w:val="24"/>
              </w:rPr>
            </w:pPr>
            <w:r>
              <w:rPr>
                <w:b/>
                <w:color w:val="000000"/>
                <w:sz w:val="24"/>
              </w:rPr>
              <w:t>2000</w:t>
            </w:r>
          </w:p>
        </w:tc>
        <w:tc>
          <w:tcPr>
            <w:tcW w:w="1042" w:type="dxa"/>
            <w:tcBorders>
              <w:top w:val="single" w:sz="6" w:space="0" w:color="000000"/>
              <w:start w:val="single" w:sz="6" w:space="0" w:color="000000"/>
              <w:end w:val="single" w:sz="6" w:space="0" w:color="000000"/>
            </w:tcBorders>
          </w:tcPr>
          <w:p>
            <w:pPr>
              <w:pStyle w:val="Normal"/>
              <w:jc w:val="center"/>
              <w:rPr>
                <w:b/>
                <w:color w:val="000000"/>
                <w:sz w:val="24"/>
              </w:rPr>
            </w:pPr>
            <w:r>
              <w:rPr>
                <w:b/>
                <w:color w:val="000000"/>
                <w:sz w:val="24"/>
              </w:rPr>
              <w:t>2001</w:t>
            </w:r>
          </w:p>
        </w:tc>
        <w:tc>
          <w:tcPr>
            <w:tcW w:w="835" w:type="dxa"/>
            <w:tcBorders>
              <w:top w:val="single" w:sz="6" w:space="0" w:color="000000"/>
              <w:start w:val="single" w:sz="6" w:space="0" w:color="000000"/>
              <w:end w:val="single" w:sz="6" w:space="0" w:color="000000"/>
            </w:tcBorders>
          </w:tcPr>
          <w:p>
            <w:pPr>
              <w:pStyle w:val="Normal"/>
              <w:jc w:val="center"/>
              <w:rPr>
                <w:b/>
                <w:color w:val="000000"/>
                <w:sz w:val="24"/>
              </w:rPr>
            </w:pPr>
            <w:r>
              <w:rPr>
                <w:b/>
                <w:color w:val="000000"/>
                <w:sz w:val="24"/>
              </w:rPr>
              <w:t>2001</w:t>
            </w:r>
          </w:p>
        </w:tc>
        <w:tc>
          <w:tcPr>
            <w:tcW w:w="1041" w:type="dxa"/>
            <w:tcBorders>
              <w:top w:val="single" w:sz="6" w:space="0" w:color="000000"/>
              <w:start w:val="single" w:sz="6" w:space="0" w:color="000000"/>
              <w:end w:val="single" w:sz="6" w:space="0" w:color="000000"/>
            </w:tcBorders>
          </w:tcPr>
          <w:p>
            <w:pPr>
              <w:pStyle w:val="Normal"/>
              <w:jc w:val="center"/>
              <w:rPr>
                <w:b/>
                <w:color w:val="000000"/>
                <w:sz w:val="24"/>
              </w:rPr>
            </w:pPr>
            <w:r>
              <w:rPr>
                <w:b/>
                <w:color w:val="000000"/>
                <w:sz w:val="24"/>
              </w:rPr>
              <w:t>2002</w:t>
            </w:r>
          </w:p>
        </w:tc>
        <w:tc>
          <w:tcPr>
            <w:tcW w:w="836" w:type="dxa"/>
            <w:tcBorders>
              <w:top w:val="single" w:sz="6" w:space="0" w:color="000000"/>
              <w:end w:val="single" w:sz="6" w:space="0" w:color="000000"/>
            </w:tcBorders>
          </w:tcPr>
          <w:p>
            <w:pPr>
              <w:pStyle w:val="Normal"/>
              <w:jc w:val="center"/>
              <w:rPr>
                <w:b/>
                <w:color w:val="000000"/>
                <w:sz w:val="24"/>
              </w:rPr>
            </w:pPr>
            <w:r>
              <w:rPr>
                <w:b/>
                <w:color w:val="000000"/>
                <w:sz w:val="24"/>
              </w:rPr>
              <w:t>2002</w:t>
            </w:r>
          </w:p>
        </w:tc>
      </w:tr>
      <w:tr>
        <w:trPr>
          <w:trHeight w:val="322" w:hRule="atLeast"/>
        </w:trPr>
        <w:tc>
          <w:tcPr>
            <w:tcW w:w="1387" w:type="dxa"/>
            <w:tcBorders>
              <w:start w:val="single" w:sz="6" w:space="0" w:color="000000"/>
              <w:bottom w:val="single" w:sz="6" w:space="0" w:color="000000"/>
            </w:tcBorders>
          </w:tcPr>
          <w:p>
            <w:pPr>
              <w:pStyle w:val="Normal"/>
              <w:snapToGrid w:val="false"/>
              <w:jc w:val="end"/>
              <w:rPr>
                <w:b/>
                <w:color w:val="000000"/>
                <w:sz w:val="24"/>
              </w:rPr>
            </w:pPr>
            <w:r>
              <w:rPr>
                <w:b/>
                <w:color w:val="000000"/>
                <w:sz w:val="24"/>
              </w:rPr>
            </w:r>
          </w:p>
        </w:tc>
        <w:tc>
          <w:tcPr>
            <w:tcW w:w="1042" w:type="dxa"/>
            <w:tcBorders>
              <w:start w:val="single" w:sz="6" w:space="0" w:color="000000"/>
              <w:bottom w:val="single" w:sz="6" w:space="0" w:color="000000"/>
              <w:end w:val="single" w:sz="6" w:space="0" w:color="000000"/>
            </w:tcBorders>
          </w:tcPr>
          <w:p>
            <w:pPr>
              <w:pStyle w:val="Normal"/>
              <w:jc w:val="center"/>
              <w:rPr>
                <w:b/>
                <w:color w:val="000000"/>
                <w:sz w:val="24"/>
              </w:rPr>
            </w:pPr>
            <w:r>
              <w:rPr>
                <w:b/>
                <w:color w:val="000000"/>
                <w:sz w:val="24"/>
              </w:rPr>
              <w:t xml:space="preserve">Summer </w:t>
            </w:r>
          </w:p>
        </w:tc>
        <w:tc>
          <w:tcPr>
            <w:tcW w:w="835" w:type="dxa"/>
            <w:tcBorders>
              <w:start w:val="single" w:sz="6" w:space="0" w:color="000000"/>
              <w:bottom w:val="single" w:sz="6" w:space="0" w:color="000000"/>
              <w:end w:val="single" w:sz="6" w:space="0" w:color="000000"/>
            </w:tcBorders>
          </w:tcPr>
          <w:p>
            <w:pPr>
              <w:pStyle w:val="Normal"/>
              <w:jc w:val="center"/>
              <w:rPr>
                <w:b/>
                <w:color w:val="000000"/>
                <w:sz w:val="24"/>
              </w:rPr>
            </w:pPr>
            <w:r>
              <w:rPr>
                <w:b/>
                <w:color w:val="000000"/>
                <w:sz w:val="24"/>
              </w:rPr>
              <w:t>Winter</w:t>
            </w:r>
          </w:p>
        </w:tc>
        <w:tc>
          <w:tcPr>
            <w:tcW w:w="1042" w:type="dxa"/>
            <w:tcBorders>
              <w:start w:val="single" w:sz="6" w:space="0" w:color="000000"/>
              <w:bottom w:val="single" w:sz="6" w:space="0" w:color="000000"/>
              <w:end w:val="single" w:sz="6" w:space="0" w:color="000000"/>
            </w:tcBorders>
          </w:tcPr>
          <w:p>
            <w:pPr>
              <w:pStyle w:val="Normal"/>
              <w:rPr>
                <w:b/>
                <w:color w:val="000000"/>
                <w:sz w:val="24"/>
              </w:rPr>
            </w:pPr>
            <w:r>
              <w:rPr>
                <w:b/>
                <w:color w:val="000000"/>
                <w:sz w:val="24"/>
              </w:rPr>
              <w:t xml:space="preserve">Summer </w:t>
            </w:r>
          </w:p>
        </w:tc>
        <w:tc>
          <w:tcPr>
            <w:tcW w:w="835" w:type="dxa"/>
            <w:tcBorders>
              <w:start w:val="single" w:sz="6" w:space="0" w:color="000000"/>
              <w:bottom w:val="single" w:sz="6" w:space="0" w:color="000000"/>
              <w:end w:val="single" w:sz="6" w:space="0" w:color="000000"/>
            </w:tcBorders>
          </w:tcPr>
          <w:p>
            <w:pPr>
              <w:pStyle w:val="Normal"/>
              <w:rPr>
                <w:b/>
                <w:color w:val="000000"/>
                <w:sz w:val="24"/>
              </w:rPr>
            </w:pPr>
            <w:r>
              <w:rPr>
                <w:b/>
                <w:color w:val="000000"/>
                <w:sz w:val="24"/>
              </w:rPr>
              <w:t>Winter</w:t>
            </w:r>
          </w:p>
        </w:tc>
        <w:tc>
          <w:tcPr>
            <w:tcW w:w="1041" w:type="dxa"/>
            <w:tcBorders>
              <w:start w:val="single" w:sz="6" w:space="0" w:color="000000"/>
              <w:bottom w:val="single" w:sz="6" w:space="0" w:color="000000"/>
              <w:end w:val="single" w:sz="6" w:space="0" w:color="000000"/>
            </w:tcBorders>
          </w:tcPr>
          <w:p>
            <w:pPr>
              <w:pStyle w:val="Normal"/>
              <w:rPr>
                <w:b/>
                <w:color w:val="000000"/>
                <w:sz w:val="24"/>
              </w:rPr>
            </w:pPr>
            <w:r>
              <w:rPr>
                <w:b/>
                <w:color w:val="000000"/>
                <w:sz w:val="24"/>
              </w:rPr>
              <w:t xml:space="preserve">Summer </w:t>
            </w:r>
          </w:p>
        </w:tc>
        <w:tc>
          <w:tcPr>
            <w:tcW w:w="836" w:type="dxa"/>
            <w:tcBorders>
              <w:bottom w:val="single" w:sz="6" w:space="0" w:color="000000"/>
              <w:end w:val="single" w:sz="6" w:space="0" w:color="000000"/>
            </w:tcBorders>
          </w:tcPr>
          <w:p>
            <w:pPr>
              <w:pStyle w:val="Normal"/>
              <w:rPr>
                <w:b/>
                <w:color w:val="000000"/>
                <w:sz w:val="24"/>
              </w:rPr>
            </w:pPr>
            <w:r>
              <w:rPr>
                <w:b/>
                <w:color w:val="000000"/>
                <w:sz w:val="24"/>
              </w:rPr>
              <w:t>Winter</w:t>
            </w:r>
          </w:p>
        </w:tc>
      </w:tr>
      <w:tr>
        <w:trPr>
          <w:trHeight w:val="322" w:hRule="atLeast"/>
        </w:trPr>
        <w:tc>
          <w:tcPr>
            <w:tcW w:w="1387" w:type="dxa"/>
            <w:tcBorders>
              <w:start w:val="single" w:sz="6" w:space="0" w:color="000000"/>
              <w:bottom w:val="single" w:sz="6" w:space="0" w:color="000000"/>
              <w:end w:val="single" w:sz="6" w:space="0" w:color="000000"/>
            </w:tcBorders>
          </w:tcPr>
          <w:p>
            <w:pPr>
              <w:pStyle w:val="Normal"/>
              <w:rPr>
                <w:b/>
                <w:color w:val="000000"/>
                <w:sz w:val="24"/>
              </w:rPr>
            </w:pPr>
            <w:r>
              <w:rPr>
                <w:b/>
                <w:color w:val="000000"/>
                <w:sz w:val="24"/>
              </w:rPr>
              <w:t>Waste</w:t>
            </w:r>
          </w:p>
        </w:tc>
        <w:tc>
          <w:tcPr>
            <w:tcW w:w="1042" w:type="dxa"/>
            <w:tcBorders>
              <w:start w:val="single" w:sz="6" w:space="0" w:color="000000"/>
              <w:bottom w:val="single" w:sz="6" w:space="0" w:color="000000"/>
              <w:end w:val="single" w:sz="6" w:space="0" w:color="000000"/>
            </w:tcBorders>
          </w:tcPr>
          <w:p>
            <w:pPr>
              <w:pStyle w:val="Normal"/>
              <w:jc w:val="end"/>
              <w:rPr>
                <w:color w:val="000000"/>
                <w:sz w:val="24"/>
              </w:rPr>
            </w:pPr>
            <w:r>
              <w:rPr>
                <w:color w:val="000000"/>
                <w:sz w:val="24"/>
              </w:rPr>
              <w:t>3,022</w:t>
            </w:r>
          </w:p>
        </w:tc>
        <w:tc>
          <w:tcPr>
            <w:tcW w:w="835" w:type="dxa"/>
            <w:tcBorders>
              <w:start w:val="single" w:sz="6" w:space="0" w:color="000000"/>
              <w:bottom w:val="single" w:sz="6" w:space="0" w:color="000000"/>
              <w:end w:val="single" w:sz="6" w:space="0" w:color="000000"/>
            </w:tcBorders>
          </w:tcPr>
          <w:p>
            <w:pPr>
              <w:pStyle w:val="Normal"/>
              <w:jc w:val="end"/>
              <w:rPr>
                <w:color w:val="000000"/>
                <w:sz w:val="24"/>
              </w:rPr>
            </w:pPr>
            <w:r>
              <w:rPr>
                <w:color w:val="000000"/>
                <w:sz w:val="24"/>
              </w:rPr>
              <w:t>3,146</w:t>
            </w:r>
          </w:p>
        </w:tc>
        <w:tc>
          <w:tcPr>
            <w:tcW w:w="1042" w:type="dxa"/>
            <w:tcBorders>
              <w:start w:val="single" w:sz="6" w:space="0" w:color="000000"/>
              <w:bottom w:val="single" w:sz="6" w:space="0" w:color="000000"/>
              <w:end w:val="single" w:sz="6" w:space="0" w:color="000000"/>
            </w:tcBorders>
          </w:tcPr>
          <w:p>
            <w:pPr>
              <w:pStyle w:val="Normal"/>
              <w:jc w:val="end"/>
              <w:rPr>
                <w:color w:val="000000"/>
                <w:sz w:val="24"/>
              </w:rPr>
            </w:pPr>
            <w:r>
              <w:rPr>
                <w:color w:val="000000"/>
                <w:sz w:val="24"/>
              </w:rPr>
              <w:t>3,022</w:t>
            </w:r>
          </w:p>
        </w:tc>
        <w:tc>
          <w:tcPr>
            <w:tcW w:w="835" w:type="dxa"/>
            <w:tcBorders>
              <w:start w:val="single" w:sz="6" w:space="0" w:color="000000"/>
              <w:bottom w:val="single" w:sz="6" w:space="0" w:color="000000"/>
              <w:end w:val="single" w:sz="6" w:space="0" w:color="000000"/>
            </w:tcBorders>
          </w:tcPr>
          <w:p>
            <w:pPr>
              <w:pStyle w:val="Normal"/>
              <w:jc w:val="end"/>
              <w:rPr>
                <w:color w:val="000000"/>
                <w:sz w:val="24"/>
              </w:rPr>
            </w:pPr>
            <w:r>
              <w:rPr>
                <w:color w:val="000000"/>
                <w:sz w:val="24"/>
              </w:rPr>
              <w:t>3,146</w:t>
            </w:r>
          </w:p>
        </w:tc>
        <w:tc>
          <w:tcPr>
            <w:tcW w:w="1041" w:type="dxa"/>
            <w:tcBorders>
              <w:start w:val="single" w:sz="6" w:space="0" w:color="000000"/>
              <w:bottom w:val="single" w:sz="6" w:space="0" w:color="000000"/>
              <w:end w:val="single" w:sz="6" w:space="0" w:color="000000"/>
            </w:tcBorders>
          </w:tcPr>
          <w:p>
            <w:pPr>
              <w:pStyle w:val="Normal"/>
              <w:jc w:val="end"/>
              <w:rPr>
                <w:color w:val="000000"/>
                <w:sz w:val="24"/>
              </w:rPr>
            </w:pPr>
            <w:r>
              <w:rPr>
                <w:color w:val="000000"/>
                <w:sz w:val="24"/>
              </w:rPr>
              <w:t>3,022</w:t>
            </w:r>
          </w:p>
        </w:tc>
        <w:tc>
          <w:tcPr>
            <w:tcW w:w="836" w:type="dxa"/>
            <w:tcBorders>
              <w:start w:val="single" w:sz="6" w:space="0" w:color="000000"/>
              <w:bottom w:val="single" w:sz="6" w:space="0" w:color="000000"/>
              <w:end w:val="single" w:sz="6" w:space="0" w:color="000000"/>
            </w:tcBorders>
          </w:tcPr>
          <w:p>
            <w:pPr>
              <w:pStyle w:val="Normal"/>
              <w:jc w:val="end"/>
              <w:rPr>
                <w:color w:val="000000"/>
                <w:sz w:val="24"/>
              </w:rPr>
            </w:pPr>
            <w:r>
              <w:rPr>
                <w:color w:val="000000"/>
                <w:sz w:val="24"/>
              </w:rPr>
              <w:t>3,146</w:t>
            </w:r>
          </w:p>
        </w:tc>
      </w:tr>
      <w:tr>
        <w:trPr>
          <w:trHeight w:val="322" w:hRule="atLeast"/>
        </w:trPr>
        <w:tc>
          <w:tcPr>
            <w:tcW w:w="1387" w:type="dxa"/>
            <w:tcBorders>
              <w:top w:val="single" w:sz="6" w:space="0" w:color="000000"/>
              <w:start w:val="single" w:sz="6" w:space="0" w:color="000000"/>
              <w:bottom w:val="single" w:sz="6" w:space="0" w:color="000000"/>
              <w:end w:val="single" w:sz="6" w:space="0" w:color="000000"/>
            </w:tcBorders>
          </w:tcPr>
          <w:p>
            <w:pPr>
              <w:pStyle w:val="Normal"/>
              <w:rPr>
                <w:b/>
                <w:color w:val="000000"/>
                <w:sz w:val="24"/>
              </w:rPr>
            </w:pPr>
            <w:r>
              <w:rPr>
                <w:b/>
                <w:color w:val="000000"/>
                <w:sz w:val="24"/>
              </w:rPr>
              <w:t>Coal</w:t>
            </w:r>
          </w:p>
        </w:tc>
        <w:tc>
          <w:tcPr>
            <w:tcW w:w="1042"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9,987</w:t>
            </w:r>
          </w:p>
        </w:tc>
        <w:tc>
          <w:tcPr>
            <w:tcW w:w="835"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10,186</w:t>
            </w:r>
          </w:p>
        </w:tc>
        <w:tc>
          <w:tcPr>
            <w:tcW w:w="1042"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9,987</w:t>
            </w:r>
          </w:p>
        </w:tc>
        <w:tc>
          <w:tcPr>
            <w:tcW w:w="835"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10,186</w:t>
            </w:r>
          </w:p>
        </w:tc>
        <w:tc>
          <w:tcPr>
            <w:tcW w:w="1041"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9,987</w:t>
            </w:r>
          </w:p>
        </w:tc>
        <w:tc>
          <w:tcPr>
            <w:tcW w:w="836"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10,186</w:t>
            </w:r>
          </w:p>
        </w:tc>
      </w:tr>
      <w:tr>
        <w:trPr>
          <w:trHeight w:val="322" w:hRule="atLeast"/>
        </w:trPr>
        <w:tc>
          <w:tcPr>
            <w:tcW w:w="1387" w:type="dxa"/>
            <w:tcBorders>
              <w:top w:val="single" w:sz="6" w:space="0" w:color="000000"/>
              <w:start w:val="single" w:sz="6" w:space="0" w:color="000000"/>
              <w:bottom w:val="single" w:sz="6" w:space="0" w:color="000000"/>
              <w:end w:val="single" w:sz="6" w:space="0" w:color="000000"/>
            </w:tcBorders>
          </w:tcPr>
          <w:p>
            <w:pPr>
              <w:pStyle w:val="Normal"/>
              <w:rPr>
                <w:b/>
                <w:color w:val="000000"/>
                <w:sz w:val="24"/>
              </w:rPr>
            </w:pPr>
            <w:r>
              <w:rPr>
                <w:b/>
                <w:color w:val="000000"/>
                <w:sz w:val="24"/>
              </w:rPr>
              <w:t>Nuke</w:t>
            </w:r>
          </w:p>
        </w:tc>
        <w:tc>
          <w:tcPr>
            <w:tcW w:w="1042"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3,869</w:t>
            </w:r>
          </w:p>
        </w:tc>
        <w:tc>
          <w:tcPr>
            <w:tcW w:w="835"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3,966</w:t>
            </w:r>
          </w:p>
        </w:tc>
        <w:tc>
          <w:tcPr>
            <w:tcW w:w="1042"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3,869</w:t>
            </w:r>
          </w:p>
        </w:tc>
        <w:tc>
          <w:tcPr>
            <w:tcW w:w="835"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3,966</w:t>
            </w:r>
          </w:p>
        </w:tc>
        <w:tc>
          <w:tcPr>
            <w:tcW w:w="1041"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3,869</w:t>
            </w:r>
          </w:p>
        </w:tc>
        <w:tc>
          <w:tcPr>
            <w:tcW w:w="836"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3,966</w:t>
            </w:r>
          </w:p>
        </w:tc>
      </w:tr>
      <w:tr>
        <w:trPr>
          <w:trHeight w:val="338" w:hRule="atLeast"/>
        </w:trPr>
        <w:tc>
          <w:tcPr>
            <w:tcW w:w="1387" w:type="dxa"/>
            <w:tcBorders>
              <w:top w:val="single" w:sz="6" w:space="0" w:color="000000"/>
              <w:start w:val="single" w:sz="6" w:space="0" w:color="000000"/>
              <w:bottom w:val="single" w:sz="6" w:space="0" w:color="000000"/>
              <w:end w:val="single" w:sz="6" w:space="0" w:color="000000"/>
            </w:tcBorders>
          </w:tcPr>
          <w:p>
            <w:pPr>
              <w:pStyle w:val="Normal"/>
              <w:rPr>
                <w:b/>
                <w:color w:val="000000"/>
                <w:sz w:val="24"/>
              </w:rPr>
            </w:pPr>
            <w:r>
              <w:rPr>
                <w:b/>
                <w:color w:val="000000"/>
                <w:sz w:val="24"/>
              </w:rPr>
              <w:t>No. 6 Only</w:t>
            </w:r>
          </w:p>
        </w:tc>
        <w:tc>
          <w:tcPr>
            <w:tcW w:w="1042"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2,604</w:t>
            </w:r>
          </w:p>
        </w:tc>
        <w:tc>
          <w:tcPr>
            <w:tcW w:w="835"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2,634</w:t>
            </w:r>
          </w:p>
        </w:tc>
        <w:tc>
          <w:tcPr>
            <w:tcW w:w="1042"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2,604</w:t>
            </w:r>
          </w:p>
        </w:tc>
        <w:tc>
          <w:tcPr>
            <w:tcW w:w="835"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2,634</w:t>
            </w:r>
          </w:p>
        </w:tc>
        <w:tc>
          <w:tcPr>
            <w:tcW w:w="1041"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2,604</w:t>
            </w:r>
          </w:p>
        </w:tc>
        <w:tc>
          <w:tcPr>
            <w:tcW w:w="836"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2,634</w:t>
            </w:r>
          </w:p>
        </w:tc>
      </w:tr>
      <w:tr>
        <w:trPr>
          <w:trHeight w:val="338" w:hRule="atLeast"/>
        </w:trPr>
        <w:tc>
          <w:tcPr>
            <w:tcW w:w="1387" w:type="dxa"/>
            <w:tcBorders>
              <w:top w:val="single" w:sz="6" w:space="0" w:color="000000"/>
              <w:start w:val="single" w:sz="6" w:space="0" w:color="000000"/>
              <w:bottom w:val="single" w:sz="6" w:space="0" w:color="000000"/>
              <w:end w:val="single" w:sz="6" w:space="0" w:color="000000"/>
            </w:tcBorders>
          </w:tcPr>
          <w:p>
            <w:pPr>
              <w:pStyle w:val="Normal"/>
              <w:rPr>
                <w:b/>
                <w:color w:val="000000"/>
                <w:sz w:val="24"/>
              </w:rPr>
            </w:pPr>
            <w:r>
              <w:rPr>
                <w:b/>
                <w:color w:val="000000"/>
                <w:sz w:val="24"/>
              </w:rPr>
              <w:t>No. 6 to NG</w:t>
            </w:r>
          </w:p>
        </w:tc>
        <w:tc>
          <w:tcPr>
            <w:tcW w:w="1042"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6,796</w:t>
            </w:r>
          </w:p>
        </w:tc>
        <w:tc>
          <w:tcPr>
            <w:tcW w:w="835"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6,852</w:t>
            </w:r>
          </w:p>
        </w:tc>
        <w:tc>
          <w:tcPr>
            <w:tcW w:w="1042"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6,796</w:t>
            </w:r>
          </w:p>
        </w:tc>
        <w:tc>
          <w:tcPr>
            <w:tcW w:w="835"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6,852</w:t>
            </w:r>
          </w:p>
        </w:tc>
        <w:tc>
          <w:tcPr>
            <w:tcW w:w="1041"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6,796</w:t>
            </w:r>
          </w:p>
        </w:tc>
        <w:tc>
          <w:tcPr>
            <w:tcW w:w="836"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6,852</w:t>
            </w:r>
          </w:p>
        </w:tc>
      </w:tr>
      <w:tr>
        <w:trPr>
          <w:trHeight w:val="322" w:hRule="atLeast"/>
        </w:trPr>
        <w:tc>
          <w:tcPr>
            <w:tcW w:w="1387" w:type="dxa"/>
            <w:tcBorders>
              <w:top w:val="single" w:sz="6" w:space="0" w:color="000000"/>
              <w:start w:val="single" w:sz="6" w:space="0" w:color="000000"/>
              <w:bottom w:val="single" w:sz="6" w:space="0" w:color="000000"/>
              <w:end w:val="single" w:sz="6" w:space="0" w:color="000000"/>
            </w:tcBorders>
          </w:tcPr>
          <w:p>
            <w:pPr>
              <w:pStyle w:val="Normal"/>
              <w:rPr>
                <w:b/>
                <w:color w:val="000000"/>
                <w:sz w:val="24"/>
              </w:rPr>
            </w:pPr>
            <w:r>
              <w:rPr>
                <w:b/>
                <w:color w:val="000000"/>
                <w:sz w:val="24"/>
              </w:rPr>
              <w:t>NG to No. 6</w:t>
            </w:r>
          </w:p>
        </w:tc>
        <w:tc>
          <w:tcPr>
            <w:tcW w:w="1042"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3,668</w:t>
            </w:r>
          </w:p>
        </w:tc>
        <w:tc>
          <w:tcPr>
            <w:tcW w:w="835"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3,743</w:t>
            </w:r>
          </w:p>
        </w:tc>
        <w:tc>
          <w:tcPr>
            <w:tcW w:w="1042"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3,668</w:t>
            </w:r>
          </w:p>
        </w:tc>
        <w:tc>
          <w:tcPr>
            <w:tcW w:w="835"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3,743</w:t>
            </w:r>
          </w:p>
        </w:tc>
        <w:tc>
          <w:tcPr>
            <w:tcW w:w="1041"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3,668</w:t>
            </w:r>
          </w:p>
        </w:tc>
        <w:tc>
          <w:tcPr>
            <w:tcW w:w="836"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3,743</w:t>
            </w:r>
          </w:p>
        </w:tc>
      </w:tr>
      <w:tr>
        <w:trPr>
          <w:trHeight w:val="322" w:hRule="atLeast"/>
        </w:trPr>
        <w:tc>
          <w:tcPr>
            <w:tcW w:w="1387" w:type="dxa"/>
            <w:tcBorders>
              <w:top w:val="single" w:sz="6" w:space="0" w:color="000000"/>
              <w:start w:val="single" w:sz="6" w:space="0" w:color="000000"/>
              <w:bottom w:val="single" w:sz="6" w:space="0" w:color="000000"/>
              <w:end w:val="single" w:sz="6" w:space="0" w:color="000000"/>
            </w:tcBorders>
          </w:tcPr>
          <w:p>
            <w:pPr>
              <w:pStyle w:val="Normal"/>
              <w:rPr>
                <w:b/>
                <w:color w:val="000000"/>
                <w:sz w:val="24"/>
              </w:rPr>
            </w:pPr>
            <w:r>
              <w:rPr>
                <w:b/>
                <w:color w:val="000000"/>
                <w:sz w:val="24"/>
              </w:rPr>
              <w:t>NG Only</w:t>
            </w:r>
          </w:p>
        </w:tc>
        <w:tc>
          <w:tcPr>
            <w:tcW w:w="1042"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1,060</w:t>
            </w:r>
          </w:p>
        </w:tc>
        <w:tc>
          <w:tcPr>
            <w:tcW w:w="835"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1,100</w:t>
            </w:r>
          </w:p>
        </w:tc>
        <w:tc>
          <w:tcPr>
            <w:tcW w:w="1042"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1,060</w:t>
            </w:r>
          </w:p>
        </w:tc>
        <w:tc>
          <w:tcPr>
            <w:tcW w:w="835"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1,100</w:t>
            </w:r>
          </w:p>
        </w:tc>
        <w:tc>
          <w:tcPr>
            <w:tcW w:w="1041"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1,060</w:t>
            </w:r>
          </w:p>
        </w:tc>
        <w:tc>
          <w:tcPr>
            <w:tcW w:w="836"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1,100</w:t>
            </w:r>
          </w:p>
        </w:tc>
      </w:tr>
      <w:tr>
        <w:trPr>
          <w:trHeight w:val="322" w:hRule="atLeast"/>
        </w:trPr>
        <w:tc>
          <w:tcPr>
            <w:tcW w:w="1387" w:type="dxa"/>
            <w:tcBorders>
              <w:top w:val="single" w:sz="6" w:space="0" w:color="000000"/>
              <w:start w:val="single" w:sz="6" w:space="0" w:color="000000"/>
              <w:bottom w:val="single" w:sz="6" w:space="0" w:color="000000"/>
              <w:end w:val="single" w:sz="6" w:space="0" w:color="000000"/>
            </w:tcBorders>
          </w:tcPr>
          <w:p>
            <w:pPr>
              <w:pStyle w:val="Normal"/>
              <w:rPr>
                <w:b/>
                <w:color w:val="000000"/>
                <w:sz w:val="24"/>
              </w:rPr>
            </w:pPr>
            <w:r>
              <w:rPr>
                <w:b/>
                <w:color w:val="000000"/>
                <w:sz w:val="24"/>
              </w:rPr>
              <w:t>NG to No. 2</w:t>
            </w:r>
          </w:p>
        </w:tc>
        <w:tc>
          <w:tcPr>
            <w:tcW w:w="1042"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3,783</w:t>
            </w:r>
          </w:p>
        </w:tc>
        <w:tc>
          <w:tcPr>
            <w:tcW w:w="835"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4,274</w:t>
            </w:r>
          </w:p>
        </w:tc>
        <w:tc>
          <w:tcPr>
            <w:tcW w:w="1042"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7,335</w:t>
            </w:r>
          </w:p>
        </w:tc>
        <w:tc>
          <w:tcPr>
            <w:tcW w:w="835"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7,826</w:t>
            </w:r>
          </w:p>
        </w:tc>
        <w:tc>
          <w:tcPr>
            <w:tcW w:w="1041"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14,850</w:t>
            </w:r>
          </w:p>
        </w:tc>
        <w:tc>
          <w:tcPr>
            <w:tcW w:w="836"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15,341</w:t>
            </w:r>
          </w:p>
        </w:tc>
      </w:tr>
      <w:tr>
        <w:trPr>
          <w:trHeight w:val="322" w:hRule="atLeast"/>
        </w:trPr>
        <w:tc>
          <w:tcPr>
            <w:tcW w:w="1387" w:type="dxa"/>
            <w:tcBorders>
              <w:top w:val="single" w:sz="6" w:space="0" w:color="000000"/>
              <w:start w:val="single" w:sz="6" w:space="0" w:color="000000"/>
              <w:bottom w:val="single" w:sz="6" w:space="0" w:color="000000"/>
              <w:end w:val="single" w:sz="6" w:space="0" w:color="000000"/>
            </w:tcBorders>
          </w:tcPr>
          <w:p>
            <w:pPr>
              <w:pStyle w:val="Normal"/>
              <w:rPr>
                <w:b/>
                <w:color w:val="000000"/>
                <w:sz w:val="24"/>
              </w:rPr>
            </w:pPr>
            <w:r>
              <w:rPr>
                <w:b/>
                <w:color w:val="000000"/>
                <w:sz w:val="24"/>
              </w:rPr>
              <w:t>No.2 Only</w:t>
            </w:r>
          </w:p>
        </w:tc>
        <w:tc>
          <w:tcPr>
            <w:tcW w:w="1042"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2,779</w:t>
            </w:r>
          </w:p>
        </w:tc>
        <w:tc>
          <w:tcPr>
            <w:tcW w:w="835"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3,296</w:t>
            </w:r>
          </w:p>
        </w:tc>
        <w:tc>
          <w:tcPr>
            <w:tcW w:w="1042"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2,779</w:t>
            </w:r>
          </w:p>
        </w:tc>
        <w:tc>
          <w:tcPr>
            <w:tcW w:w="835"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3,296</w:t>
            </w:r>
          </w:p>
        </w:tc>
        <w:tc>
          <w:tcPr>
            <w:tcW w:w="1041"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2,779</w:t>
            </w:r>
          </w:p>
        </w:tc>
        <w:tc>
          <w:tcPr>
            <w:tcW w:w="836"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3,296</w:t>
            </w:r>
          </w:p>
        </w:tc>
      </w:tr>
      <w:tr>
        <w:trPr>
          <w:trHeight w:val="322" w:hRule="atLeast"/>
        </w:trPr>
        <w:tc>
          <w:tcPr>
            <w:tcW w:w="1387" w:type="dxa"/>
            <w:tcBorders>
              <w:top w:val="single" w:sz="6" w:space="0" w:color="000000"/>
              <w:start w:val="single" w:sz="6" w:space="0" w:color="000000"/>
              <w:bottom w:val="single" w:sz="6" w:space="0" w:color="000000"/>
              <w:end w:val="single" w:sz="6" w:space="0" w:color="000000"/>
            </w:tcBorders>
          </w:tcPr>
          <w:p>
            <w:pPr>
              <w:pStyle w:val="Normal"/>
              <w:rPr>
                <w:b/>
                <w:color w:val="000000"/>
                <w:sz w:val="24"/>
              </w:rPr>
            </w:pPr>
            <w:r>
              <w:rPr>
                <w:b/>
                <w:color w:val="000000"/>
                <w:sz w:val="24"/>
              </w:rPr>
              <w:t>Total</w:t>
            </w:r>
          </w:p>
        </w:tc>
        <w:tc>
          <w:tcPr>
            <w:tcW w:w="1042" w:type="dxa"/>
            <w:tcBorders>
              <w:top w:val="single" w:sz="6" w:space="0" w:color="000000"/>
              <w:start w:val="single" w:sz="6" w:space="0" w:color="000000"/>
              <w:bottom w:val="single" w:sz="6" w:space="0" w:color="000000"/>
              <w:end w:val="single" w:sz="6" w:space="0" w:color="000000"/>
            </w:tcBorders>
          </w:tcPr>
          <w:p>
            <w:pPr>
              <w:pStyle w:val="Normal"/>
              <w:jc w:val="end"/>
              <w:rPr>
                <w:b/>
                <w:color w:val="000000"/>
                <w:sz w:val="24"/>
              </w:rPr>
            </w:pPr>
            <w:r>
              <w:rPr>
                <w:b/>
                <w:color w:val="000000"/>
                <w:sz w:val="24"/>
              </w:rPr>
              <w:t>37,568</w:t>
            </w:r>
          </w:p>
        </w:tc>
        <w:tc>
          <w:tcPr>
            <w:tcW w:w="835" w:type="dxa"/>
            <w:tcBorders>
              <w:top w:val="single" w:sz="6" w:space="0" w:color="000000"/>
              <w:start w:val="single" w:sz="6" w:space="0" w:color="000000"/>
              <w:bottom w:val="single" w:sz="6" w:space="0" w:color="000000"/>
              <w:end w:val="single" w:sz="6" w:space="0" w:color="000000"/>
            </w:tcBorders>
          </w:tcPr>
          <w:p>
            <w:pPr>
              <w:pStyle w:val="Normal"/>
              <w:jc w:val="end"/>
              <w:rPr>
                <w:b/>
                <w:color w:val="000000"/>
                <w:sz w:val="24"/>
              </w:rPr>
            </w:pPr>
            <w:r>
              <w:rPr>
                <w:b/>
                <w:color w:val="000000"/>
                <w:sz w:val="24"/>
              </w:rPr>
              <w:t>39,197</w:t>
            </w:r>
          </w:p>
        </w:tc>
        <w:tc>
          <w:tcPr>
            <w:tcW w:w="1042" w:type="dxa"/>
            <w:tcBorders>
              <w:top w:val="single" w:sz="6" w:space="0" w:color="000000"/>
              <w:start w:val="single" w:sz="6" w:space="0" w:color="000000"/>
              <w:bottom w:val="single" w:sz="6" w:space="0" w:color="000000"/>
              <w:end w:val="single" w:sz="6" w:space="0" w:color="000000"/>
            </w:tcBorders>
          </w:tcPr>
          <w:p>
            <w:pPr>
              <w:pStyle w:val="Normal"/>
              <w:jc w:val="end"/>
              <w:rPr>
                <w:b/>
                <w:color w:val="000000"/>
                <w:sz w:val="24"/>
              </w:rPr>
            </w:pPr>
            <w:r>
              <w:rPr>
                <w:b/>
                <w:color w:val="000000"/>
                <w:sz w:val="24"/>
              </w:rPr>
              <w:t>41,120</w:t>
            </w:r>
          </w:p>
        </w:tc>
        <w:tc>
          <w:tcPr>
            <w:tcW w:w="835" w:type="dxa"/>
            <w:tcBorders>
              <w:top w:val="single" w:sz="6" w:space="0" w:color="000000"/>
              <w:start w:val="single" w:sz="6" w:space="0" w:color="000000"/>
              <w:bottom w:val="single" w:sz="6" w:space="0" w:color="000000"/>
              <w:end w:val="single" w:sz="6" w:space="0" w:color="000000"/>
            </w:tcBorders>
          </w:tcPr>
          <w:p>
            <w:pPr>
              <w:pStyle w:val="Normal"/>
              <w:jc w:val="end"/>
              <w:rPr>
                <w:b/>
                <w:color w:val="000000"/>
                <w:sz w:val="24"/>
              </w:rPr>
            </w:pPr>
            <w:r>
              <w:rPr>
                <w:b/>
                <w:color w:val="000000"/>
                <w:sz w:val="24"/>
              </w:rPr>
              <w:t>42,749</w:t>
            </w:r>
          </w:p>
        </w:tc>
        <w:tc>
          <w:tcPr>
            <w:tcW w:w="1041" w:type="dxa"/>
            <w:tcBorders>
              <w:top w:val="single" w:sz="6" w:space="0" w:color="000000"/>
              <w:start w:val="single" w:sz="6" w:space="0" w:color="000000"/>
              <w:bottom w:val="single" w:sz="6" w:space="0" w:color="000000"/>
              <w:end w:val="single" w:sz="6" w:space="0" w:color="000000"/>
            </w:tcBorders>
          </w:tcPr>
          <w:p>
            <w:pPr>
              <w:pStyle w:val="Normal"/>
              <w:jc w:val="end"/>
              <w:rPr>
                <w:b/>
                <w:color w:val="000000"/>
                <w:sz w:val="24"/>
              </w:rPr>
            </w:pPr>
            <w:r>
              <w:rPr>
                <w:b/>
                <w:color w:val="000000"/>
                <w:sz w:val="24"/>
              </w:rPr>
              <w:t>48,635</w:t>
            </w:r>
          </w:p>
        </w:tc>
        <w:tc>
          <w:tcPr>
            <w:tcW w:w="836" w:type="dxa"/>
            <w:tcBorders>
              <w:top w:val="single" w:sz="6" w:space="0" w:color="000000"/>
              <w:start w:val="single" w:sz="6" w:space="0" w:color="000000"/>
              <w:bottom w:val="single" w:sz="6" w:space="0" w:color="000000"/>
              <w:end w:val="single" w:sz="6" w:space="0" w:color="000000"/>
            </w:tcBorders>
          </w:tcPr>
          <w:p>
            <w:pPr>
              <w:pStyle w:val="Normal"/>
              <w:jc w:val="end"/>
              <w:rPr>
                <w:b/>
                <w:color w:val="000000"/>
                <w:sz w:val="24"/>
              </w:rPr>
            </w:pPr>
            <w:r>
              <w:rPr>
                <w:b/>
                <w:color w:val="000000"/>
                <w:sz w:val="24"/>
              </w:rPr>
              <w:t>50,264</w:t>
            </w:r>
          </w:p>
        </w:tc>
      </w:tr>
    </w:tbl>
    <w:p>
      <w:pPr>
        <w:pStyle w:val="Normal"/>
        <w:ind w:firstLine="720" w:end="0"/>
        <w:jc w:val="center"/>
        <w:rPr>
          <w:b/>
          <w:color w:val="000000"/>
          <w:sz w:val="24"/>
        </w:rPr>
      </w:pPr>
      <w:r>
        <w:rPr>
          <w:b/>
          <w:color w:val="000000"/>
          <w:sz w:val="24"/>
        </w:rPr>
      </w:r>
    </w:p>
    <w:p>
      <w:pPr>
        <w:pStyle w:val="Normal"/>
        <w:ind w:firstLine="720" w:end="0"/>
        <w:jc w:val="center"/>
        <w:rPr>
          <w:b/>
          <w:color w:val="000000"/>
          <w:sz w:val="24"/>
        </w:rPr>
      </w:pPr>
      <w:r>
        <w:rPr>
          <w:b/>
          <w:color w:val="000000"/>
          <w:sz w:val="24"/>
        </w:rPr>
        <w:t>Fuel used for FL Power Generation as a Percentage of Total</w:t>
      </w:r>
    </w:p>
    <w:p>
      <w:pPr>
        <w:pStyle w:val="Normal"/>
        <w:ind w:firstLine="720" w:end="0"/>
        <w:jc w:val="center"/>
        <w:rPr>
          <w:b/>
          <w:color w:val="000000"/>
          <w:sz w:val="24"/>
        </w:rPr>
      </w:pPr>
      <w:r>
        <w:rPr>
          <w:b/>
          <w:color w:val="000000"/>
          <w:sz w:val="24"/>
        </w:rPr>
      </w:r>
    </w:p>
    <w:tbl>
      <w:tblPr>
        <w:tblW w:w="6655" w:type="dxa"/>
        <w:jc w:val="start"/>
        <w:tblInd w:w="1200" w:type="dxa"/>
        <w:tblLayout w:type="fixed"/>
        <w:tblCellMar>
          <w:top w:w="0" w:type="dxa"/>
          <w:start w:w="30" w:type="dxa"/>
          <w:bottom w:w="0" w:type="dxa"/>
          <w:end w:w="30" w:type="dxa"/>
        </w:tblCellMar>
      </w:tblPr>
      <w:tblGrid>
        <w:gridCol w:w="1387"/>
        <w:gridCol w:w="977"/>
        <w:gridCol w:w="773"/>
        <w:gridCol w:w="962"/>
        <w:gridCol w:w="821"/>
        <w:gridCol w:w="962"/>
        <w:gridCol w:w="773"/>
      </w:tblGrid>
      <w:tr>
        <w:trPr>
          <w:trHeight w:val="322" w:hRule="atLeast"/>
        </w:trPr>
        <w:tc>
          <w:tcPr>
            <w:tcW w:w="1387" w:type="dxa"/>
            <w:tcBorders>
              <w:top w:val="single" w:sz="6" w:space="0" w:color="000000"/>
              <w:start w:val="single" w:sz="6" w:space="0" w:color="000000"/>
              <w:end w:val="single" w:sz="6" w:space="0" w:color="000000"/>
            </w:tcBorders>
          </w:tcPr>
          <w:p>
            <w:pPr>
              <w:pStyle w:val="Normal"/>
              <w:snapToGrid w:val="false"/>
              <w:jc w:val="center"/>
              <w:rPr>
                <w:b/>
                <w:color w:val="000000"/>
                <w:sz w:val="24"/>
              </w:rPr>
            </w:pPr>
            <w:r>
              <w:rPr>
                <w:b/>
                <w:color w:val="000000"/>
                <w:sz w:val="24"/>
              </w:rPr>
            </w:r>
          </w:p>
        </w:tc>
        <w:tc>
          <w:tcPr>
            <w:tcW w:w="977" w:type="dxa"/>
            <w:tcBorders>
              <w:top w:val="single" w:sz="6" w:space="0" w:color="000000"/>
              <w:start w:val="single" w:sz="6" w:space="0" w:color="000000"/>
              <w:end w:val="single" w:sz="6" w:space="0" w:color="000000"/>
            </w:tcBorders>
          </w:tcPr>
          <w:p>
            <w:pPr>
              <w:pStyle w:val="Normal"/>
              <w:jc w:val="center"/>
              <w:rPr>
                <w:b/>
                <w:color w:val="000000"/>
                <w:sz w:val="24"/>
              </w:rPr>
            </w:pPr>
            <w:r>
              <w:rPr>
                <w:b/>
                <w:color w:val="000000"/>
                <w:sz w:val="24"/>
              </w:rPr>
              <w:t>2000</w:t>
            </w:r>
          </w:p>
        </w:tc>
        <w:tc>
          <w:tcPr>
            <w:tcW w:w="773" w:type="dxa"/>
            <w:tcBorders>
              <w:top w:val="single" w:sz="6" w:space="0" w:color="000000"/>
              <w:start w:val="single" w:sz="6" w:space="0" w:color="000000"/>
              <w:end w:val="single" w:sz="6" w:space="0" w:color="000000"/>
            </w:tcBorders>
          </w:tcPr>
          <w:p>
            <w:pPr>
              <w:pStyle w:val="Normal"/>
              <w:jc w:val="center"/>
              <w:rPr>
                <w:b/>
                <w:color w:val="000000"/>
                <w:sz w:val="24"/>
              </w:rPr>
            </w:pPr>
            <w:r>
              <w:rPr>
                <w:b/>
                <w:color w:val="000000"/>
                <w:sz w:val="24"/>
              </w:rPr>
              <w:t>2000</w:t>
            </w:r>
          </w:p>
        </w:tc>
        <w:tc>
          <w:tcPr>
            <w:tcW w:w="962" w:type="dxa"/>
            <w:tcBorders>
              <w:top w:val="single" w:sz="6" w:space="0" w:color="000000"/>
              <w:start w:val="single" w:sz="6" w:space="0" w:color="000000"/>
              <w:end w:val="single" w:sz="6" w:space="0" w:color="000000"/>
            </w:tcBorders>
          </w:tcPr>
          <w:p>
            <w:pPr>
              <w:pStyle w:val="Normal"/>
              <w:jc w:val="center"/>
              <w:rPr>
                <w:b/>
                <w:color w:val="000000"/>
                <w:sz w:val="24"/>
              </w:rPr>
            </w:pPr>
            <w:r>
              <w:rPr>
                <w:b/>
                <w:color w:val="000000"/>
                <w:sz w:val="24"/>
              </w:rPr>
              <w:t>2001</w:t>
            </w:r>
          </w:p>
        </w:tc>
        <w:tc>
          <w:tcPr>
            <w:tcW w:w="821" w:type="dxa"/>
            <w:tcBorders>
              <w:top w:val="single" w:sz="6" w:space="0" w:color="000000"/>
              <w:start w:val="single" w:sz="6" w:space="0" w:color="000000"/>
              <w:end w:val="single" w:sz="6" w:space="0" w:color="000000"/>
            </w:tcBorders>
          </w:tcPr>
          <w:p>
            <w:pPr>
              <w:pStyle w:val="Normal"/>
              <w:jc w:val="center"/>
              <w:rPr>
                <w:b/>
                <w:color w:val="000000"/>
                <w:sz w:val="24"/>
              </w:rPr>
            </w:pPr>
            <w:r>
              <w:rPr>
                <w:b/>
                <w:color w:val="000000"/>
                <w:sz w:val="24"/>
              </w:rPr>
              <w:t>2001</w:t>
            </w:r>
          </w:p>
        </w:tc>
        <w:tc>
          <w:tcPr>
            <w:tcW w:w="962" w:type="dxa"/>
            <w:tcBorders>
              <w:top w:val="single" w:sz="6" w:space="0" w:color="000000"/>
              <w:start w:val="single" w:sz="6" w:space="0" w:color="000000"/>
              <w:end w:val="single" w:sz="6" w:space="0" w:color="000000"/>
            </w:tcBorders>
          </w:tcPr>
          <w:p>
            <w:pPr>
              <w:pStyle w:val="Normal"/>
              <w:jc w:val="center"/>
              <w:rPr>
                <w:b/>
                <w:color w:val="000000"/>
                <w:sz w:val="24"/>
              </w:rPr>
            </w:pPr>
            <w:r>
              <w:rPr>
                <w:b/>
                <w:color w:val="000000"/>
                <w:sz w:val="24"/>
              </w:rPr>
              <w:t>2002</w:t>
            </w:r>
          </w:p>
        </w:tc>
        <w:tc>
          <w:tcPr>
            <w:tcW w:w="773" w:type="dxa"/>
            <w:tcBorders>
              <w:top w:val="single" w:sz="6" w:space="0" w:color="000000"/>
              <w:start w:val="single" w:sz="6" w:space="0" w:color="000000"/>
              <w:end w:val="single" w:sz="6" w:space="0" w:color="000000"/>
            </w:tcBorders>
          </w:tcPr>
          <w:p>
            <w:pPr>
              <w:pStyle w:val="Normal"/>
              <w:jc w:val="center"/>
              <w:rPr>
                <w:b/>
                <w:color w:val="000000"/>
                <w:sz w:val="24"/>
              </w:rPr>
            </w:pPr>
            <w:r>
              <w:rPr>
                <w:b/>
                <w:color w:val="000000"/>
                <w:sz w:val="24"/>
              </w:rPr>
              <w:t>2002</w:t>
            </w:r>
          </w:p>
        </w:tc>
      </w:tr>
      <w:tr>
        <w:trPr>
          <w:trHeight w:val="322" w:hRule="atLeast"/>
        </w:trPr>
        <w:tc>
          <w:tcPr>
            <w:tcW w:w="1387" w:type="dxa"/>
            <w:tcBorders>
              <w:start w:val="single" w:sz="6" w:space="0" w:color="000000"/>
              <w:bottom w:val="single" w:sz="6" w:space="0" w:color="000000"/>
              <w:end w:val="single" w:sz="6" w:space="0" w:color="000000"/>
            </w:tcBorders>
          </w:tcPr>
          <w:p>
            <w:pPr>
              <w:pStyle w:val="Normal"/>
              <w:snapToGrid w:val="false"/>
              <w:jc w:val="center"/>
              <w:rPr>
                <w:b/>
                <w:color w:val="000000"/>
                <w:sz w:val="24"/>
              </w:rPr>
            </w:pPr>
            <w:r>
              <w:rPr>
                <w:b/>
                <w:color w:val="000000"/>
                <w:sz w:val="24"/>
              </w:rPr>
            </w:r>
          </w:p>
        </w:tc>
        <w:tc>
          <w:tcPr>
            <w:tcW w:w="977" w:type="dxa"/>
            <w:tcBorders>
              <w:start w:val="single" w:sz="6" w:space="0" w:color="000000"/>
              <w:bottom w:val="single" w:sz="6" w:space="0" w:color="000000"/>
              <w:end w:val="single" w:sz="6" w:space="0" w:color="000000"/>
            </w:tcBorders>
          </w:tcPr>
          <w:p>
            <w:pPr>
              <w:pStyle w:val="Normal"/>
              <w:jc w:val="center"/>
              <w:rPr>
                <w:b/>
                <w:color w:val="000000"/>
                <w:sz w:val="24"/>
              </w:rPr>
            </w:pPr>
            <w:r>
              <w:rPr>
                <w:b/>
                <w:color w:val="000000"/>
                <w:sz w:val="24"/>
              </w:rPr>
              <w:t>%Sum</w:t>
            </w:r>
          </w:p>
        </w:tc>
        <w:tc>
          <w:tcPr>
            <w:tcW w:w="773" w:type="dxa"/>
            <w:tcBorders>
              <w:start w:val="single" w:sz="6" w:space="0" w:color="000000"/>
              <w:bottom w:val="single" w:sz="6" w:space="0" w:color="000000"/>
              <w:end w:val="single" w:sz="6" w:space="0" w:color="000000"/>
            </w:tcBorders>
          </w:tcPr>
          <w:p>
            <w:pPr>
              <w:pStyle w:val="Normal"/>
              <w:jc w:val="center"/>
              <w:rPr>
                <w:b/>
                <w:color w:val="000000"/>
                <w:sz w:val="24"/>
              </w:rPr>
            </w:pPr>
            <w:r>
              <w:rPr>
                <w:b/>
                <w:color w:val="000000"/>
                <w:sz w:val="24"/>
              </w:rPr>
              <w:t>%Win</w:t>
            </w:r>
          </w:p>
        </w:tc>
        <w:tc>
          <w:tcPr>
            <w:tcW w:w="962" w:type="dxa"/>
            <w:tcBorders>
              <w:start w:val="single" w:sz="6" w:space="0" w:color="000000"/>
              <w:bottom w:val="single" w:sz="6" w:space="0" w:color="000000"/>
              <w:end w:val="single" w:sz="6" w:space="0" w:color="000000"/>
            </w:tcBorders>
          </w:tcPr>
          <w:p>
            <w:pPr>
              <w:pStyle w:val="Normal"/>
              <w:jc w:val="center"/>
              <w:rPr>
                <w:b/>
                <w:color w:val="000000"/>
                <w:sz w:val="24"/>
              </w:rPr>
            </w:pPr>
            <w:r>
              <w:rPr>
                <w:b/>
                <w:color w:val="000000"/>
                <w:sz w:val="24"/>
              </w:rPr>
              <w:t>%Sum</w:t>
            </w:r>
          </w:p>
        </w:tc>
        <w:tc>
          <w:tcPr>
            <w:tcW w:w="821" w:type="dxa"/>
            <w:tcBorders>
              <w:start w:val="single" w:sz="6" w:space="0" w:color="000000"/>
              <w:bottom w:val="single" w:sz="6" w:space="0" w:color="000000"/>
              <w:end w:val="single" w:sz="6" w:space="0" w:color="000000"/>
            </w:tcBorders>
          </w:tcPr>
          <w:p>
            <w:pPr>
              <w:pStyle w:val="Normal"/>
              <w:jc w:val="center"/>
              <w:rPr>
                <w:b/>
                <w:color w:val="000000"/>
                <w:sz w:val="24"/>
              </w:rPr>
            </w:pPr>
            <w:r>
              <w:rPr>
                <w:b/>
                <w:color w:val="000000"/>
                <w:sz w:val="24"/>
              </w:rPr>
              <w:t>%Win</w:t>
            </w:r>
          </w:p>
        </w:tc>
        <w:tc>
          <w:tcPr>
            <w:tcW w:w="962" w:type="dxa"/>
            <w:tcBorders>
              <w:start w:val="single" w:sz="6" w:space="0" w:color="000000"/>
              <w:bottom w:val="single" w:sz="6" w:space="0" w:color="000000"/>
              <w:end w:val="single" w:sz="6" w:space="0" w:color="000000"/>
            </w:tcBorders>
          </w:tcPr>
          <w:p>
            <w:pPr>
              <w:pStyle w:val="Normal"/>
              <w:jc w:val="center"/>
              <w:rPr>
                <w:b/>
                <w:color w:val="000000"/>
                <w:sz w:val="24"/>
              </w:rPr>
            </w:pPr>
            <w:r>
              <w:rPr>
                <w:b/>
                <w:color w:val="000000"/>
                <w:sz w:val="24"/>
              </w:rPr>
              <w:t>%Sum</w:t>
            </w:r>
          </w:p>
        </w:tc>
        <w:tc>
          <w:tcPr>
            <w:tcW w:w="773" w:type="dxa"/>
            <w:tcBorders>
              <w:start w:val="single" w:sz="6" w:space="0" w:color="000000"/>
              <w:bottom w:val="single" w:sz="6" w:space="0" w:color="000000"/>
              <w:end w:val="single" w:sz="6" w:space="0" w:color="000000"/>
            </w:tcBorders>
          </w:tcPr>
          <w:p>
            <w:pPr>
              <w:pStyle w:val="Normal"/>
              <w:jc w:val="center"/>
              <w:rPr>
                <w:b/>
                <w:color w:val="000000"/>
                <w:sz w:val="24"/>
              </w:rPr>
            </w:pPr>
            <w:r>
              <w:rPr>
                <w:b/>
                <w:color w:val="000000"/>
                <w:sz w:val="24"/>
              </w:rPr>
              <w:t>%Win</w:t>
            </w:r>
          </w:p>
        </w:tc>
      </w:tr>
      <w:tr>
        <w:trPr>
          <w:trHeight w:val="322" w:hRule="atLeast"/>
        </w:trPr>
        <w:tc>
          <w:tcPr>
            <w:tcW w:w="1387" w:type="dxa"/>
            <w:tcBorders>
              <w:start w:val="single" w:sz="6" w:space="0" w:color="000000"/>
              <w:bottom w:val="single" w:sz="6" w:space="0" w:color="000000"/>
              <w:end w:val="single" w:sz="6" w:space="0" w:color="000000"/>
            </w:tcBorders>
          </w:tcPr>
          <w:p>
            <w:pPr>
              <w:pStyle w:val="Normal"/>
              <w:rPr>
                <w:b/>
                <w:color w:val="000000"/>
                <w:sz w:val="24"/>
              </w:rPr>
            </w:pPr>
            <w:r>
              <w:rPr>
                <w:b/>
                <w:color w:val="000000"/>
                <w:sz w:val="24"/>
              </w:rPr>
              <w:t>Waste</w:t>
            </w:r>
          </w:p>
        </w:tc>
        <w:tc>
          <w:tcPr>
            <w:tcW w:w="977"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8%</w:t>
            </w:r>
          </w:p>
        </w:tc>
        <w:tc>
          <w:tcPr>
            <w:tcW w:w="773"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8%</w:t>
            </w:r>
          </w:p>
        </w:tc>
        <w:tc>
          <w:tcPr>
            <w:tcW w:w="962"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7%</w:t>
            </w:r>
          </w:p>
        </w:tc>
        <w:tc>
          <w:tcPr>
            <w:tcW w:w="821"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7%</w:t>
            </w:r>
          </w:p>
        </w:tc>
        <w:tc>
          <w:tcPr>
            <w:tcW w:w="962"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6%</w:t>
            </w:r>
          </w:p>
        </w:tc>
        <w:tc>
          <w:tcPr>
            <w:tcW w:w="773"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6%</w:t>
            </w:r>
          </w:p>
        </w:tc>
      </w:tr>
      <w:tr>
        <w:trPr>
          <w:trHeight w:val="322" w:hRule="atLeast"/>
        </w:trPr>
        <w:tc>
          <w:tcPr>
            <w:tcW w:w="1387" w:type="dxa"/>
            <w:tcBorders>
              <w:top w:val="single" w:sz="6" w:space="0" w:color="000000"/>
              <w:start w:val="single" w:sz="6" w:space="0" w:color="000000"/>
              <w:bottom w:val="single" w:sz="6" w:space="0" w:color="000000"/>
              <w:end w:val="single" w:sz="6" w:space="0" w:color="000000"/>
            </w:tcBorders>
          </w:tcPr>
          <w:p>
            <w:pPr>
              <w:pStyle w:val="Normal"/>
              <w:rPr>
                <w:b/>
                <w:color w:val="000000"/>
                <w:sz w:val="24"/>
              </w:rPr>
            </w:pPr>
            <w:r>
              <w:rPr>
                <w:b/>
                <w:color w:val="000000"/>
                <w:sz w:val="24"/>
              </w:rPr>
              <w:t>Coal</w:t>
            </w:r>
          </w:p>
        </w:tc>
        <w:tc>
          <w:tcPr>
            <w:tcW w:w="977"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27%</w:t>
            </w:r>
          </w:p>
        </w:tc>
        <w:tc>
          <w:tcPr>
            <w:tcW w:w="773"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26%</w:t>
            </w:r>
          </w:p>
        </w:tc>
        <w:tc>
          <w:tcPr>
            <w:tcW w:w="962"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24%</w:t>
            </w:r>
          </w:p>
        </w:tc>
        <w:tc>
          <w:tcPr>
            <w:tcW w:w="821"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24%</w:t>
            </w:r>
          </w:p>
        </w:tc>
        <w:tc>
          <w:tcPr>
            <w:tcW w:w="962"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21%</w:t>
            </w:r>
          </w:p>
        </w:tc>
        <w:tc>
          <w:tcPr>
            <w:tcW w:w="773"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20%</w:t>
            </w:r>
          </w:p>
        </w:tc>
      </w:tr>
      <w:tr>
        <w:trPr>
          <w:trHeight w:val="322" w:hRule="atLeast"/>
        </w:trPr>
        <w:tc>
          <w:tcPr>
            <w:tcW w:w="1387" w:type="dxa"/>
            <w:tcBorders>
              <w:top w:val="single" w:sz="6" w:space="0" w:color="000000"/>
              <w:start w:val="single" w:sz="6" w:space="0" w:color="000000"/>
              <w:bottom w:val="single" w:sz="6" w:space="0" w:color="000000"/>
              <w:end w:val="single" w:sz="6" w:space="0" w:color="000000"/>
            </w:tcBorders>
          </w:tcPr>
          <w:p>
            <w:pPr>
              <w:pStyle w:val="Normal"/>
              <w:rPr>
                <w:b/>
                <w:color w:val="000000"/>
                <w:sz w:val="24"/>
              </w:rPr>
            </w:pPr>
            <w:r>
              <w:rPr>
                <w:b/>
                <w:color w:val="000000"/>
                <w:sz w:val="24"/>
              </w:rPr>
              <w:t>Nuke</w:t>
            </w:r>
          </w:p>
        </w:tc>
        <w:tc>
          <w:tcPr>
            <w:tcW w:w="977"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10%</w:t>
            </w:r>
          </w:p>
        </w:tc>
        <w:tc>
          <w:tcPr>
            <w:tcW w:w="773"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10%</w:t>
            </w:r>
          </w:p>
        </w:tc>
        <w:tc>
          <w:tcPr>
            <w:tcW w:w="962"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9%</w:t>
            </w:r>
          </w:p>
        </w:tc>
        <w:tc>
          <w:tcPr>
            <w:tcW w:w="821"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9%</w:t>
            </w:r>
          </w:p>
        </w:tc>
        <w:tc>
          <w:tcPr>
            <w:tcW w:w="962"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8%</w:t>
            </w:r>
          </w:p>
        </w:tc>
        <w:tc>
          <w:tcPr>
            <w:tcW w:w="773"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8%</w:t>
            </w:r>
          </w:p>
        </w:tc>
      </w:tr>
      <w:tr>
        <w:trPr>
          <w:trHeight w:val="322" w:hRule="atLeast"/>
        </w:trPr>
        <w:tc>
          <w:tcPr>
            <w:tcW w:w="1387" w:type="dxa"/>
            <w:tcBorders>
              <w:top w:val="single" w:sz="6" w:space="0" w:color="000000"/>
              <w:start w:val="single" w:sz="6" w:space="0" w:color="000000"/>
              <w:bottom w:val="single" w:sz="6" w:space="0" w:color="000000"/>
              <w:end w:val="single" w:sz="6" w:space="0" w:color="000000"/>
            </w:tcBorders>
          </w:tcPr>
          <w:p>
            <w:pPr>
              <w:pStyle w:val="Normal"/>
              <w:rPr>
                <w:b/>
                <w:color w:val="000000"/>
                <w:sz w:val="24"/>
              </w:rPr>
            </w:pPr>
            <w:r>
              <w:rPr>
                <w:b/>
                <w:color w:val="000000"/>
                <w:sz w:val="24"/>
              </w:rPr>
              <w:t>No. 6 Only</w:t>
            </w:r>
          </w:p>
        </w:tc>
        <w:tc>
          <w:tcPr>
            <w:tcW w:w="977"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7%</w:t>
            </w:r>
          </w:p>
        </w:tc>
        <w:tc>
          <w:tcPr>
            <w:tcW w:w="773"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7%</w:t>
            </w:r>
          </w:p>
        </w:tc>
        <w:tc>
          <w:tcPr>
            <w:tcW w:w="962"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6%</w:t>
            </w:r>
          </w:p>
        </w:tc>
        <w:tc>
          <w:tcPr>
            <w:tcW w:w="821"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6%</w:t>
            </w:r>
          </w:p>
        </w:tc>
        <w:tc>
          <w:tcPr>
            <w:tcW w:w="962"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5%</w:t>
            </w:r>
          </w:p>
        </w:tc>
        <w:tc>
          <w:tcPr>
            <w:tcW w:w="773"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5%</w:t>
            </w:r>
          </w:p>
        </w:tc>
      </w:tr>
      <w:tr>
        <w:trPr>
          <w:trHeight w:val="322" w:hRule="atLeast"/>
        </w:trPr>
        <w:tc>
          <w:tcPr>
            <w:tcW w:w="1387" w:type="dxa"/>
            <w:tcBorders>
              <w:top w:val="single" w:sz="6" w:space="0" w:color="000000"/>
              <w:start w:val="single" w:sz="6" w:space="0" w:color="000000"/>
              <w:bottom w:val="single" w:sz="6" w:space="0" w:color="000000"/>
              <w:end w:val="single" w:sz="6" w:space="0" w:color="000000"/>
            </w:tcBorders>
          </w:tcPr>
          <w:p>
            <w:pPr>
              <w:pStyle w:val="Normal"/>
              <w:rPr>
                <w:b/>
                <w:color w:val="000000"/>
                <w:sz w:val="24"/>
              </w:rPr>
            </w:pPr>
            <w:r>
              <w:rPr>
                <w:b/>
                <w:color w:val="000000"/>
                <w:sz w:val="24"/>
              </w:rPr>
              <w:t>No. 6 to NG</w:t>
            </w:r>
          </w:p>
        </w:tc>
        <w:tc>
          <w:tcPr>
            <w:tcW w:w="977"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18%</w:t>
            </w:r>
          </w:p>
        </w:tc>
        <w:tc>
          <w:tcPr>
            <w:tcW w:w="773"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17%</w:t>
            </w:r>
          </w:p>
        </w:tc>
        <w:tc>
          <w:tcPr>
            <w:tcW w:w="962"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17%</w:t>
            </w:r>
          </w:p>
        </w:tc>
        <w:tc>
          <w:tcPr>
            <w:tcW w:w="821"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16%</w:t>
            </w:r>
          </w:p>
        </w:tc>
        <w:tc>
          <w:tcPr>
            <w:tcW w:w="962"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14%</w:t>
            </w:r>
          </w:p>
        </w:tc>
        <w:tc>
          <w:tcPr>
            <w:tcW w:w="773"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14%</w:t>
            </w:r>
          </w:p>
        </w:tc>
      </w:tr>
      <w:tr>
        <w:trPr>
          <w:trHeight w:val="322" w:hRule="atLeast"/>
        </w:trPr>
        <w:tc>
          <w:tcPr>
            <w:tcW w:w="1387" w:type="dxa"/>
            <w:tcBorders>
              <w:top w:val="single" w:sz="6" w:space="0" w:color="000000"/>
              <w:start w:val="single" w:sz="6" w:space="0" w:color="000000"/>
              <w:bottom w:val="single" w:sz="6" w:space="0" w:color="000000"/>
              <w:end w:val="single" w:sz="6" w:space="0" w:color="000000"/>
            </w:tcBorders>
          </w:tcPr>
          <w:p>
            <w:pPr>
              <w:pStyle w:val="Normal"/>
              <w:rPr>
                <w:b/>
                <w:color w:val="000000"/>
                <w:sz w:val="24"/>
              </w:rPr>
            </w:pPr>
            <w:r>
              <w:rPr>
                <w:b/>
                <w:color w:val="000000"/>
                <w:sz w:val="24"/>
              </w:rPr>
              <w:t>NG to No. 6</w:t>
            </w:r>
          </w:p>
        </w:tc>
        <w:tc>
          <w:tcPr>
            <w:tcW w:w="977"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10%</w:t>
            </w:r>
          </w:p>
        </w:tc>
        <w:tc>
          <w:tcPr>
            <w:tcW w:w="773"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10%</w:t>
            </w:r>
          </w:p>
        </w:tc>
        <w:tc>
          <w:tcPr>
            <w:tcW w:w="962"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9%</w:t>
            </w:r>
          </w:p>
        </w:tc>
        <w:tc>
          <w:tcPr>
            <w:tcW w:w="821"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9%</w:t>
            </w:r>
          </w:p>
        </w:tc>
        <w:tc>
          <w:tcPr>
            <w:tcW w:w="962"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8%</w:t>
            </w:r>
          </w:p>
        </w:tc>
        <w:tc>
          <w:tcPr>
            <w:tcW w:w="773"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7%</w:t>
            </w:r>
          </w:p>
        </w:tc>
      </w:tr>
      <w:tr>
        <w:trPr>
          <w:trHeight w:val="322" w:hRule="atLeast"/>
        </w:trPr>
        <w:tc>
          <w:tcPr>
            <w:tcW w:w="1387" w:type="dxa"/>
            <w:tcBorders>
              <w:top w:val="single" w:sz="6" w:space="0" w:color="000000"/>
              <w:start w:val="single" w:sz="6" w:space="0" w:color="000000"/>
              <w:bottom w:val="single" w:sz="6" w:space="0" w:color="000000"/>
              <w:end w:val="single" w:sz="6" w:space="0" w:color="000000"/>
            </w:tcBorders>
          </w:tcPr>
          <w:p>
            <w:pPr>
              <w:pStyle w:val="Normal"/>
              <w:rPr>
                <w:b/>
                <w:color w:val="000000"/>
                <w:sz w:val="24"/>
              </w:rPr>
            </w:pPr>
            <w:r>
              <w:rPr>
                <w:b/>
                <w:color w:val="000000"/>
                <w:sz w:val="24"/>
              </w:rPr>
              <w:t>NG Only</w:t>
            </w:r>
          </w:p>
        </w:tc>
        <w:tc>
          <w:tcPr>
            <w:tcW w:w="977"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3%</w:t>
            </w:r>
          </w:p>
        </w:tc>
        <w:tc>
          <w:tcPr>
            <w:tcW w:w="773"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3%</w:t>
            </w:r>
          </w:p>
        </w:tc>
        <w:tc>
          <w:tcPr>
            <w:tcW w:w="962"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3%</w:t>
            </w:r>
          </w:p>
        </w:tc>
        <w:tc>
          <w:tcPr>
            <w:tcW w:w="821"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3%</w:t>
            </w:r>
          </w:p>
        </w:tc>
        <w:tc>
          <w:tcPr>
            <w:tcW w:w="962"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2%</w:t>
            </w:r>
          </w:p>
        </w:tc>
        <w:tc>
          <w:tcPr>
            <w:tcW w:w="773"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2%</w:t>
            </w:r>
          </w:p>
        </w:tc>
      </w:tr>
      <w:tr>
        <w:trPr>
          <w:trHeight w:val="322" w:hRule="atLeast"/>
        </w:trPr>
        <w:tc>
          <w:tcPr>
            <w:tcW w:w="1387" w:type="dxa"/>
            <w:tcBorders>
              <w:top w:val="single" w:sz="6" w:space="0" w:color="000000"/>
              <w:start w:val="single" w:sz="6" w:space="0" w:color="000000"/>
              <w:bottom w:val="single" w:sz="6" w:space="0" w:color="000000"/>
              <w:end w:val="single" w:sz="6" w:space="0" w:color="000000"/>
            </w:tcBorders>
          </w:tcPr>
          <w:p>
            <w:pPr>
              <w:pStyle w:val="Normal"/>
              <w:rPr>
                <w:b/>
                <w:color w:val="000000"/>
                <w:sz w:val="24"/>
              </w:rPr>
            </w:pPr>
            <w:r>
              <w:rPr>
                <w:b/>
                <w:color w:val="000000"/>
                <w:sz w:val="24"/>
              </w:rPr>
              <w:t>NG to No. 2</w:t>
            </w:r>
          </w:p>
        </w:tc>
        <w:tc>
          <w:tcPr>
            <w:tcW w:w="977"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10%</w:t>
            </w:r>
          </w:p>
        </w:tc>
        <w:tc>
          <w:tcPr>
            <w:tcW w:w="773"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11%</w:t>
            </w:r>
          </w:p>
        </w:tc>
        <w:tc>
          <w:tcPr>
            <w:tcW w:w="962"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18%</w:t>
            </w:r>
          </w:p>
        </w:tc>
        <w:tc>
          <w:tcPr>
            <w:tcW w:w="821"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18%</w:t>
            </w:r>
          </w:p>
        </w:tc>
        <w:tc>
          <w:tcPr>
            <w:tcW w:w="962"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31%</w:t>
            </w:r>
          </w:p>
        </w:tc>
        <w:tc>
          <w:tcPr>
            <w:tcW w:w="773"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31%</w:t>
            </w:r>
          </w:p>
        </w:tc>
      </w:tr>
      <w:tr>
        <w:trPr>
          <w:trHeight w:val="322" w:hRule="atLeast"/>
        </w:trPr>
        <w:tc>
          <w:tcPr>
            <w:tcW w:w="1387" w:type="dxa"/>
            <w:tcBorders>
              <w:top w:val="single" w:sz="6" w:space="0" w:color="000000"/>
              <w:start w:val="single" w:sz="6" w:space="0" w:color="000000"/>
              <w:bottom w:val="single" w:sz="6" w:space="0" w:color="000000"/>
              <w:end w:val="single" w:sz="6" w:space="0" w:color="000000"/>
            </w:tcBorders>
          </w:tcPr>
          <w:p>
            <w:pPr>
              <w:pStyle w:val="Normal"/>
              <w:rPr>
                <w:b/>
                <w:color w:val="000000"/>
                <w:sz w:val="24"/>
              </w:rPr>
            </w:pPr>
            <w:r>
              <w:rPr>
                <w:b/>
                <w:color w:val="000000"/>
                <w:sz w:val="24"/>
              </w:rPr>
              <w:t>No.2 Only</w:t>
            </w:r>
          </w:p>
        </w:tc>
        <w:tc>
          <w:tcPr>
            <w:tcW w:w="977"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7%</w:t>
            </w:r>
          </w:p>
        </w:tc>
        <w:tc>
          <w:tcPr>
            <w:tcW w:w="773"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8%</w:t>
            </w:r>
          </w:p>
        </w:tc>
        <w:tc>
          <w:tcPr>
            <w:tcW w:w="962"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7%</w:t>
            </w:r>
          </w:p>
        </w:tc>
        <w:tc>
          <w:tcPr>
            <w:tcW w:w="821"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8%</w:t>
            </w:r>
          </w:p>
        </w:tc>
        <w:tc>
          <w:tcPr>
            <w:tcW w:w="962"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6%</w:t>
            </w:r>
          </w:p>
        </w:tc>
        <w:tc>
          <w:tcPr>
            <w:tcW w:w="773"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7%</w:t>
            </w:r>
          </w:p>
        </w:tc>
      </w:tr>
      <w:tr>
        <w:trPr>
          <w:trHeight w:val="322" w:hRule="atLeast"/>
        </w:trPr>
        <w:tc>
          <w:tcPr>
            <w:tcW w:w="1387" w:type="dxa"/>
            <w:tcBorders>
              <w:top w:val="single" w:sz="6" w:space="0" w:color="000000"/>
              <w:start w:val="single" w:sz="6" w:space="0" w:color="000000"/>
              <w:bottom w:val="single" w:sz="6" w:space="0" w:color="000000"/>
              <w:end w:val="single" w:sz="6" w:space="0" w:color="000000"/>
            </w:tcBorders>
          </w:tcPr>
          <w:p>
            <w:pPr>
              <w:pStyle w:val="Normal"/>
              <w:rPr>
                <w:b/>
                <w:color w:val="000000"/>
                <w:sz w:val="24"/>
              </w:rPr>
            </w:pPr>
            <w:r>
              <w:rPr>
                <w:b/>
                <w:color w:val="000000"/>
                <w:sz w:val="24"/>
              </w:rPr>
              <w:t>Total</w:t>
            </w:r>
          </w:p>
        </w:tc>
        <w:tc>
          <w:tcPr>
            <w:tcW w:w="977"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100%</w:t>
            </w:r>
          </w:p>
        </w:tc>
        <w:tc>
          <w:tcPr>
            <w:tcW w:w="773"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100%</w:t>
            </w:r>
          </w:p>
        </w:tc>
        <w:tc>
          <w:tcPr>
            <w:tcW w:w="962"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100%</w:t>
            </w:r>
          </w:p>
        </w:tc>
        <w:tc>
          <w:tcPr>
            <w:tcW w:w="821"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100%</w:t>
            </w:r>
          </w:p>
        </w:tc>
        <w:tc>
          <w:tcPr>
            <w:tcW w:w="962"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100%</w:t>
            </w:r>
          </w:p>
        </w:tc>
        <w:tc>
          <w:tcPr>
            <w:tcW w:w="773" w:type="dxa"/>
            <w:tcBorders>
              <w:top w:val="single" w:sz="6" w:space="0" w:color="000000"/>
              <w:start w:val="single" w:sz="6" w:space="0" w:color="000000"/>
              <w:bottom w:val="single" w:sz="6" w:space="0" w:color="000000"/>
              <w:end w:val="single" w:sz="6" w:space="0" w:color="000000"/>
            </w:tcBorders>
          </w:tcPr>
          <w:p>
            <w:pPr>
              <w:pStyle w:val="Normal"/>
              <w:jc w:val="end"/>
              <w:rPr>
                <w:color w:val="000000"/>
                <w:sz w:val="24"/>
              </w:rPr>
            </w:pPr>
            <w:r>
              <w:rPr>
                <w:color w:val="000000"/>
                <w:sz w:val="24"/>
              </w:rPr>
              <w:t>100%</w:t>
            </w:r>
          </w:p>
        </w:tc>
      </w:tr>
    </w:tbl>
    <w:p>
      <w:pPr>
        <w:pStyle w:val="Normal"/>
        <w:ind w:firstLine="720" w:end="0"/>
        <w:jc w:val="center"/>
        <w:rPr>
          <w:b/>
          <w:color w:val="000000"/>
          <w:sz w:val="24"/>
        </w:rPr>
      </w:pPr>
      <w:r>
        <w:rPr>
          <w:b/>
          <w:color w:val="000000"/>
          <w:sz w:val="24"/>
        </w:rPr>
      </w:r>
    </w:p>
    <w:p>
      <w:pPr>
        <w:pStyle w:val="Normal"/>
        <w:ind w:firstLine="720" w:end="0"/>
        <w:rPr>
          <w:sz w:val="24"/>
        </w:rPr>
      </w:pPr>
      <w:r>
        <w:rPr>
          <w:sz w:val="24"/>
        </w:rPr>
        <w:t>These charts reflect Florida’s generation capacity by primary fuel type, as well as fuel switching capabilities.   The stack shows that 88% percent of Florida’s gas-fired power plants can switch to heating or residual oil, while 55% of heating and residual oil – fired plants have a capability of switching to natural gas.</w:t>
      </w:r>
    </w:p>
    <w:p>
      <w:pPr>
        <w:pStyle w:val="Normal"/>
        <w:ind w:firstLine="720" w:end="0"/>
        <w:rPr>
          <w:sz w:val="24"/>
        </w:rPr>
      </w:pPr>
      <w:r>
        <w:rPr>
          <w:sz w:val="24"/>
        </w:rPr>
      </w:r>
    </w:p>
    <w:p>
      <w:pPr>
        <w:pStyle w:val="Normal"/>
        <w:ind w:firstLine="720" w:end="0"/>
        <w:rPr/>
      </w:pPr>
      <w:r>
        <w:rPr>
          <w:sz w:val="24"/>
        </w:rPr>
        <w:t>Peak power load was 38,730 MW in 1998 and 37,493 MW in 1999. It is projected to be 37,728 Mw this year.  Forecasting the power load is crucial to understanding gas consumption in the state of Florida.</w:t>
      </w:r>
    </w:p>
    <w:p>
      <w:pPr>
        <w:pStyle w:val="Normal"/>
        <w:ind w:firstLine="720" w:end="0"/>
        <w:rPr>
          <w:sz w:val="24"/>
        </w:rPr>
      </w:pPr>
      <w:r>
        <w:rPr>
          <w:sz w:val="24"/>
        </w:rPr>
      </w:r>
    </w:p>
    <w:p>
      <w:pPr>
        <w:pStyle w:val="Normal"/>
        <w:ind w:firstLine="720" w:end="0"/>
        <w:rPr>
          <w:sz w:val="24"/>
        </w:rPr>
      </w:pPr>
      <w:r>
        <w:rPr>
          <w:sz w:val="24"/>
        </w:rPr>
      </w:r>
    </w:p>
    <w:p>
      <w:pPr>
        <w:pStyle w:val="Normal"/>
        <w:ind w:firstLine="720" w:end="0"/>
        <w:rPr>
          <w:sz w:val="24"/>
        </w:rPr>
      </w:pPr>
      <w:r>
        <w:rPr>
          <w:sz w:val="24"/>
        </w:rPr>
      </w:r>
    </w:p>
    <w:p>
      <w:pPr>
        <w:pStyle w:val="Normal"/>
        <w:ind w:firstLine="720" w:end="0"/>
        <w:rPr>
          <w:sz w:val="24"/>
          <w:lang w:val="en-CA" w:eastAsia="en-CA"/>
        </w:rPr>
      </w:pPr>
      <w:r>
        <w:rPr>
          <w:sz w:val="24"/>
          <w:lang w:val="en-CA" w:eastAsia="en-CA"/>
        </w:rPr>
        <w:object w:dxaOrig="7681" w:dyaOrig="4097">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position:absolute;margin-left:32.4pt;margin-top:-50.4pt;width:381.9pt;height:239.55pt;mso-wrap-distance-left:9.05pt;mso-wrap-distance-right:9.05pt;mso-position-horizontal-relative:text;mso-position-vertical-relative:text" filled="f" o:ole="">
            <v:imagedata r:id="rId9" o:title=""/>
            <w10:wrap type="topAndBottom"/>
          </v:shape>
          <o:OLEObject Type="Embed" ProgID="Excel.Sheet.12" ShapeID="ole_rId8" DrawAspect="Content" ObjectID="_247104264" r:id="rId8"/>
        </w:object>
      </w:r>
    </w:p>
    <w:p>
      <w:pPr>
        <w:pStyle w:val="Normal"/>
        <w:ind w:firstLine="720" w:end="0"/>
        <w:rPr>
          <w:sz w:val="24"/>
        </w:rPr>
      </w:pPr>
      <w:r>
        <w:rPr>
          <w:sz w:val="24"/>
        </w:rPr>
        <w:t>Industrial, commercial and residential gas consumption combined together comprise less than a half of the average daily consumed gas volumes.  These areas have shown no signs of significant growth over the last few years. At the same time, electric natural gas consumption is a significant part of total gas consumption. Gas fired electric generation capacity is expected to double by 2007 to satisfy growing electricity needs.</w:t>
      </w:r>
    </w:p>
    <w:p>
      <w:pPr>
        <w:pStyle w:val="Normal"/>
        <w:rPr>
          <w:sz w:val="24"/>
        </w:rPr>
      </w:pPr>
      <w:r>
        <w:rPr>
          <w:sz w:val="24"/>
        </w:rPr>
      </w:r>
    </w:p>
    <w:p>
      <w:pPr>
        <w:pStyle w:val="BodyTextIndent"/>
        <w:rPr/>
      </w:pPr>
      <w:r>
        <w:rPr/>
        <w:t>As displayed in the following table, generation capacity is expected to grow by 3,552 MW in 2001 and another 7,515 MW in 2002.  It is important to note that all of the gas-fired plants scheduled to be in service in the next two years have the ability to switch to No. 2 oil.</w:t>
      </w:r>
    </w:p>
    <w:p>
      <w:pPr>
        <w:pStyle w:val="Normal"/>
        <w:ind w:firstLine="720" w:end="0"/>
        <w:rPr>
          <w:sz w:val="24"/>
        </w:rPr>
      </w:pPr>
      <w:r>
        <w:rPr>
          <w:sz w:val="24"/>
        </w:rPr>
      </w:r>
    </w:p>
    <w:tbl>
      <w:tblPr>
        <w:tblW w:w="6638" w:type="dxa"/>
        <w:jc w:val="start"/>
        <w:tblInd w:w="750" w:type="dxa"/>
        <w:tblLayout w:type="fixed"/>
        <w:tblCellMar>
          <w:top w:w="0" w:type="dxa"/>
          <w:start w:w="30" w:type="dxa"/>
          <w:bottom w:w="0" w:type="dxa"/>
          <w:end w:w="30" w:type="dxa"/>
        </w:tblCellMar>
      </w:tblPr>
      <w:tblGrid>
        <w:gridCol w:w="773"/>
        <w:gridCol w:w="2712"/>
        <w:gridCol w:w="1939"/>
        <w:gridCol w:w="1214"/>
      </w:tblGrid>
      <w:tr>
        <w:trPr>
          <w:trHeight w:val="475" w:hRule="atLeast"/>
        </w:trPr>
        <w:tc>
          <w:tcPr>
            <w:tcW w:w="773" w:type="dxa"/>
            <w:tcBorders>
              <w:top w:val="single" w:sz="6" w:space="0" w:color="000000"/>
              <w:start w:val="single" w:sz="6" w:space="0" w:color="000000"/>
              <w:bottom w:val="single" w:sz="12" w:space="0" w:color="000000"/>
            </w:tcBorders>
          </w:tcPr>
          <w:p>
            <w:pPr>
              <w:pStyle w:val="Normal"/>
              <w:jc w:val="center"/>
              <w:rPr>
                <w:rFonts w:ascii="Arial" w:hAnsi="Arial" w:cs="Arial"/>
                <w:b/>
                <w:color w:val="000000"/>
                <w:sz w:val="16"/>
              </w:rPr>
            </w:pPr>
            <w:r>
              <w:rPr>
                <w:rFonts w:cs="Arial" w:ascii="Arial" w:hAnsi="Arial"/>
                <w:b/>
                <w:color w:val="000000"/>
                <w:sz w:val="16"/>
              </w:rPr>
              <w:t>Date</w:t>
            </w:r>
          </w:p>
        </w:tc>
        <w:tc>
          <w:tcPr>
            <w:tcW w:w="2712" w:type="dxa"/>
            <w:tcBorders>
              <w:top w:val="single" w:sz="6" w:space="0" w:color="000000"/>
              <w:bottom w:val="single" w:sz="12" w:space="0" w:color="000000"/>
            </w:tcBorders>
          </w:tcPr>
          <w:p>
            <w:pPr>
              <w:pStyle w:val="Normal"/>
              <w:jc w:val="center"/>
              <w:rPr>
                <w:rFonts w:ascii="Arial" w:hAnsi="Arial" w:cs="Arial"/>
                <w:b/>
                <w:color w:val="000000"/>
                <w:sz w:val="16"/>
              </w:rPr>
            </w:pPr>
            <w:r>
              <w:rPr>
                <w:rFonts w:cs="Arial" w:ascii="Arial" w:hAnsi="Arial"/>
                <w:b/>
                <w:color w:val="000000"/>
                <w:sz w:val="16"/>
              </w:rPr>
              <w:t>Plant Name</w:t>
            </w:r>
          </w:p>
        </w:tc>
        <w:tc>
          <w:tcPr>
            <w:tcW w:w="1939" w:type="dxa"/>
            <w:tcBorders>
              <w:top w:val="single" w:sz="6" w:space="0" w:color="000000"/>
              <w:bottom w:val="single" w:sz="12" w:space="0" w:color="000000"/>
            </w:tcBorders>
          </w:tcPr>
          <w:p>
            <w:pPr>
              <w:pStyle w:val="Normal"/>
              <w:jc w:val="center"/>
              <w:rPr>
                <w:rFonts w:ascii="Arial" w:hAnsi="Arial" w:cs="Arial"/>
                <w:b/>
                <w:color w:val="000000"/>
                <w:sz w:val="16"/>
              </w:rPr>
            </w:pPr>
            <w:r>
              <w:rPr>
                <w:rFonts w:cs="Arial" w:ascii="Arial" w:hAnsi="Arial"/>
                <w:b/>
                <w:color w:val="000000"/>
                <w:sz w:val="16"/>
              </w:rPr>
              <w:t>Gas Fired Generation (MW per hour)</w:t>
            </w:r>
          </w:p>
        </w:tc>
        <w:tc>
          <w:tcPr>
            <w:tcW w:w="1214" w:type="dxa"/>
            <w:tcBorders>
              <w:top w:val="single" w:sz="6" w:space="0" w:color="000000"/>
              <w:bottom w:val="single" w:sz="12" w:space="0" w:color="000000"/>
              <w:end w:val="single" w:sz="6" w:space="0" w:color="000000"/>
            </w:tcBorders>
          </w:tcPr>
          <w:p>
            <w:pPr>
              <w:pStyle w:val="Normal"/>
              <w:jc w:val="center"/>
              <w:rPr>
                <w:rFonts w:ascii="Arial" w:hAnsi="Arial" w:cs="Arial"/>
                <w:b/>
                <w:color w:val="000000"/>
                <w:sz w:val="16"/>
              </w:rPr>
            </w:pPr>
            <w:r>
              <w:rPr>
                <w:rFonts w:cs="Arial" w:ascii="Arial" w:hAnsi="Arial"/>
                <w:b/>
                <w:color w:val="000000"/>
                <w:sz w:val="16"/>
              </w:rPr>
              <w:t>Gas (MMBtu)</w:t>
            </w:r>
          </w:p>
        </w:tc>
      </w:tr>
      <w:tr>
        <w:trPr>
          <w:trHeight w:val="230" w:hRule="atLeast"/>
        </w:trPr>
        <w:tc>
          <w:tcPr>
            <w:tcW w:w="773" w:type="dxa"/>
            <w:tcBorders>
              <w:start w:val="single" w:sz="6" w:space="0" w:color="000000"/>
            </w:tcBorders>
          </w:tcPr>
          <w:p>
            <w:pPr>
              <w:pStyle w:val="Normal"/>
              <w:jc w:val="end"/>
              <w:rPr>
                <w:rFonts w:ascii="Arial" w:hAnsi="Arial" w:cs="Arial"/>
                <w:color w:val="000000"/>
                <w:sz w:val="16"/>
              </w:rPr>
            </w:pPr>
            <w:r>
              <w:rPr>
                <w:rFonts w:cs="Arial" w:ascii="Arial" w:hAnsi="Arial"/>
                <w:color w:val="000000"/>
                <w:sz w:val="16"/>
              </w:rPr>
              <w:t>Jan-01</w:t>
            </w:r>
          </w:p>
        </w:tc>
        <w:tc>
          <w:tcPr>
            <w:tcW w:w="2712" w:type="dxa"/>
            <w:tcBorders/>
          </w:tcPr>
          <w:p>
            <w:pPr>
              <w:pStyle w:val="Normal"/>
              <w:rPr>
                <w:rFonts w:ascii="Arial" w:hAnsi="Arial" w:cs="Arial"/>
                <w:color w:val="000000"/>
                <w:sz w:val="16"/>
              </w:rPr>
            </w:pPr>
            <w:r>
              <w:rPr>
                <w:rFonts w:cs="Arial" w:ascii="Arial" w:hAnsi="Arial"/>
                <w:color w:val="000000"/>
                <w:sz w:val="16"/>
              </w:rPr>
              <w:t>Fort Myers Repower Phase I</w:t>
            </w:r>
          </w:p>
        </w:tc>
        <w:tc>
          <w:tcPr>
            <w:tcW w:w="1939" w:type="dxa"/>
            <w:tcBorders/>
          </w:tcPr>
          <w:p>
            <w:pPr>
              <w:pStyle w:val="Normal"/>
              <w:jc w:val="end"/>
              <w:rPr>
                <w:rFonts w:ascii="Arial" w:hAnsi="Arial" w:cs="Arial"/>
                <w:color w:val="000000"/>
                <w:sz w:val="16"/>
              </w:rPr>
            </w:pPr>
            <w:r>
              <w:rPr>
                <w:rFonts w:eastAsia="Arial" w:cs="Arial" w:ascii="Arial" w:hAnsi="Arial"/>
                <w:color w:val="000000"/>
                <w:sz w:val="16"/>
              </w:rPr>
              <w:t xml:space="preserve">                                </w:t>
            </w:r>
            <w:r>
              <w:rPr>
                <w:rFonts w:cs="Arial" w:ascii="Arial" w:hAnsi="Arial"/>
                <w:color w:val="000000"/>
                <w:sz w:val="16"/>
              </w:rPr>
              <w:t xml:space="preserve">894 </w:t>
            </w:r>
          </w:p>
        </w:tc>
        <w:tc>
          <w:tcPr>
            <w:tcW w:w="1214" w:type="dxa"/>
            <w:tcBorders>
              <w:end w:val="single" w:sz="6" w:space="0" w:color="000000"/>
            </w:tcBorders>
          </w:tcPr>
          <w:p>
            <w:pPr>
              <w:pStyle w:val="Normal"/>
              <w:jc w:val="end"/>
              <w:rPr>
                <w:rFonts w:ascii="Arial" w:hAnsi="Arial" w:cs="Arial"/>
                <w:color w:val="000000"/>
                <w:sz w:val="16"/>
              </w:rPr>
            </w:pPr>
            <w:r>
              <w:rPr>
                <w:rFonts w:eastAsia="Arial" w:cs="Arial" w:ascii="Arial" w:hAnsi="Arial"/>
                <w:color w:val="000000"/>
                <w:sz w:val="16"/>
              </w:rPr>
              <w:t xml:space="preserve">          </w:t>
            </w:r>
            <w:r>
              <w:rPr>
                <w:rFonts w:cs="Arial" w:ascii="Arial" w:hAnsi="Arial"/>
                <w:color w:val="000000"/>
                <w:sz w:val="16"/>
              </w:rPr>
              <w:t xml:space="preserve">205,978 </w:t>
            </w:r>
          </w:p>
        </w:tc>
      </w:tr>
      <w:tr>
        <w:trPr>
          <w:trHeight w:val="230" w:hRule="atLeast"/>
        </w:trPr>
        <w:tc>
          <w:tcPr>
            <w:tcW w:w="773" w:type="dxa"/>
            <w:tcBorders>
              <w:start w:val="single" w:sz="6" w:space="0" w:color="000000"/>
            </w:tcBorders>
          </w:tcPr>
          <w:p>
            <w:pPr>
              <w:pStyle w:val="Normal"/>
              <w:jc w:val="end"/>
              <w:rPr>
                <w:rFonts w:ascii="Arial" w:hAnsi="Arial" w:cs="Arial"/>
                <w:color w:val="000000"/>
                <w:sz w:val="16"/>
              </w:rPr>
            </w:pPr>
            <w:r>
              <w:rPr>
                <w:rFonts w:cs="Arial" w:ascii="Arial" w:hAnsi="Arial"/>
                <w:color w:val="000000"/>
                <w:sz w:val="16"/>
              </w:rPr>
              <w:t>Jan-01</w:t>
            </w:r>
          </w:p>
        </w:tc>
        <w:tc>
          <w:tcPr>
            <w:tcW w:w="2712" w:type="dxa"/>
            <w:tcBorders/>
          </w:tcPr>
          <w:p>
            <w:pPr>
              <w:pStyle w:val="Normal"/>
              <w:rPr>
                <w:rFonts w:ascii="Arial" w:hAnsi="Arial" w:cs="Arial"/>
                <w:color w:val="000000"/>
                <w:sz w:val="16"/>
              </w:rPr>
            </w:pPr>
            <w:r>
              <w:rPr>
                <w:rFonts w:cs="Arial" w:ascii="Arial" w:hAnsi="Arial"/>
                <w:color w:val="000000"/>
                <w:sz w:val="16"/>
              </w:rPr>
              <w:t>Lauderdale ST4</w:t>
            </w:r>
          </w:p>
        </w:tc>
        <w:tc>
          <w:tcPr>
            <w:tcW w:w="1939" w:type="dxa"/>
            <w:tcBorders/>
          </w:tcPr>
          <w:p>
            <w:pPr>
              <w:pStyle w:val="Normal"/>
              <w:jc w:val="end"/>
              <w:rPr>
                <w:rFonts w:ascii="Arial" w:hAnsi="Arial" w:cs="Arial"/>
                <w:color w:val="000000"/>
                <w:sz w:val="16"/>
              </w:rPr>
            </w:pPr>
            <w:r>
              <w:rPr>
                <w:rFonts w:eastAsia="Arial" w:cs="Arial" w:ascii="Arial" w:hAnsi="Arial"/>
                <w:color w:val="000000"/>
                <w:sz w:val="16"/>
              </w:rPr>
              <w:t xml:space="preserve">                                  </w:t>
            </w:r>
            <w:r>
              <w:rPr>
                <w:rFonts w:cs="Arial" w:ascii="Arial" w:hAnsi="Arial"/>
                <w:color w:val="000000"/>
                <w:sz w:val="16"/>
              </w:rPr>
              <w:t xml:space="preserve">10 </w:t>
            </w:r>
          </w:p>
        </w:tc>
        <w:tc>
          <w:tcPr>
            <w:tcW w:w="1214" w:type="dxa"/>
            <w:tcBorders>
              <w:end w:val="single" w:sz="6" w:space="0" w:color="000000"/>
            </w:tcBorders>
          </w:tcPr>
          <w:p>
            <w:pPr>
              <w:pStyle w:val="Normal"/>
              <w:jc w:val="end"/>
              <w:rPr>
                <w:rFonts w:ascii="Arial" w:hAnsi="Arial" w:cs="Arial"/>
                <w:color w:val="000000"/>
                <w:sz w:val="16"/>
              </w:rPr>
            </w:pPr>
            <w:r>
              <w:rPr>
                <w:rFonts w:eastAsia="Arial" w:cs="Arial" w:ascii="Arial" w:hAnsi="Arial"/>
                <w:color w:val="000000"/>
                <w:sz w:val="16"/>
              </w:rPr>
              <w:t xml:space="preserve">              </w:t>
            </w:r>
            <w:r>
              <w:rPr>
                <w:rFonts w:cs="Arial" w:ascii="Arial" w:hAnsi="Arial"/>
                <w:color w:val="000000"/>
                <w:sz w:val="16"/>
              </w:rPr>
              <w:t xml:space="preserve">2,304 </w:t>
            </w:r>
          </w:p>
        </w:tc>
      </w:tr>
      <w:tr>
        <w:trPr>
          <w:trHeight w:val="230" w:hRule="atLeast"/>
        </w:trPr>
        <w:tc>
          <w:tcPr>
            <w:tcW w:w="773" w:type="dxa"/>
            <w:tcBorders>
              <w:start w:val="single" w:sz="6" w:space="0" w:color="000000"/>
            </w:tcBorders>
          </w:tcPr>
          <w:p>
            <w:pPr>
              <w:pStyle w:val="Normal"/>
              <w:jc w:val="end"/>
              <w:rPr>
                <w:rFonts w:ascii="Arial" w:hAnsi="Arial" w:cs="Arial"/>
                <w:color w:val="000000"/>
                <w:sz w:val="16"/>
              </w:rPr>
            </w:pPr>
            <w:r>
              <w:rPr>
                <w:rFonts w:cs="Arial" w:ascii="Arial" w:hAnsi="Arial"/>
                <w:color w:val="000000"/>
                <w:sz w:val="16"/>
              </w:rPr>
              <w:t>Jan-01</w:t>
            </w:r>
          </w:p>
        </w:tc>
        <w:tc>
          <w:tcPr>
            <w:tcW w:w="2712" w:type="dxa"/>
            <w:tcBorders/>
          </w:tcPr>
          <w:p>
            <w:pPr>
              <w:pStyle w:val="Normal"/>
              <w:rPr>
                <w:rFonts w:ascii="Arial" w:hAnsi="Arial" w:cs="Arial"/>
                <w:color w:val="000000"/>
                <w:sz w:val="16"/>
              </w:rPr>
            </w:pPr>
            <w:r>
              <w:rPr>
                <w:rFonts w:cs="Arial" w:ascii="Arial" w:hAnsi="Arial"/>
                <w:color w:val="000000"/>
                <w:sz w:val="16"/>
              </w:rPr>
              <w:t>Lauderdale ST5</w:t>
            </w:r>
          </w:p>
        </w:tc>
        <w:tc>
          <w:tcPr>
            <w:tcW w:w="1939" w:type="dxa"/>
            <w:tcBorders/>
          </w:tcPr>
          <w:p>
            <w:pPr>
              <w:pStyle w:val="Normal"/>
              <w:jc w:val="end"/>
              <w:rPr>
                <w:rFonts w:ascii="Arial" w:hAnsi="Arial" w:cs="Arial"/>
                <w:color w:val="000000"/>
                <w:sz w:val="16"/>
              </w:rPr>
            </w:pPr>
            <w:r>
              <w:rPr>
                <w:rFonts w:eastAsia="Arial" w:cs="Arial" w:ascii="Arial" w:hAnsi="Arial"/>
                <w:color w:val="000000"/>
                <w:sz w:val="16"/>
              </w:rPr>
              <w:t xml:space="preserve">                                  </w:t>
            </w:r>
            <w:r>
              <w:rPr>
                <w:rFonts w:cs="Arial" w:ascii="Arial" w:hAnsi="Arial"/>
                <w:color w:val="000000"/>
                <w:sz w:val="16"/>
              </w:rPr>
              <w:t xml:space="preserve">10 </w:t>
            </w:r>
          </w:p>
        </w:tc>
        <w:tc>
          <w:tcPr>
            <w:tcW w:w="1214" w:type="dxa"/>
            <w:tcBorders>
              <w:end w:val="single" w:sz="6" w:space="0" w:color="000000"/>
            </w:tcBorders>
          </w:tcPr>
          <w:p>
            <w:pPr>
              <w:pStyle w:val="Normal"/>
              <w:jc w:val="end"/>
              <w:rPr>
                <w:rFonts w:ascii="Arial" w:hAnsi="Arial" w:cs="Arial"/>
                <w:color w:val="000000"/>
                <w:sz w:val="16"/>
              </w:rPr>
            </w:pPr>
            <w:r>
              <w:rPr>
                <w:rFonts w:eastAsia="Arial" w:cs="Arial" w:ascii="Arial" w:hAnsi="Arial"/>
                <w:color w:val="000000"/>
                <w:sz w:val="16"/>
              </w:rPr>
              <w:t xml:space="preserve">              </w:t>
            </w:r>
            <w:r>
              <w:rPr>
                <w:rFonts w:cs="Arial" w:ascii="Arial" w:hAnsi="Arial"/>
                <w:color w:val="000000"/>
                <w:sz w:val="16"/>
              </w:rPr>
              <w:t xml:space="preserve">2,304 </w:t>
            </w:r>
          </w:p>
        </w:tc>
      </w:tr>
      <w:tr>
        <w:trPr>
          <w:trHeight w:val="230" w:hRule="atLeast"/>
        </w:trPr>
        <w:tc>
          <w:tcPr>
            <w:tcW w:w="773" w:type="dxa"/>
            <w:tcBorders>
              <w:start w:val="single" w:sz="6" w:space="0" w:color="000000"/>
            </w:tcBorders>
          </w:tcPr>
          <w:p>
            <w:pPr>
              <w:pStyle w:val="Normal"/>
              <w:jc w:val="end"/>
              <w:rPr>
                <w:rFonts w:ascii="Arial" w:hAnsi="Arial" w:cs="Arial"/>
                <w:color w:val="000000"/>
                <w:sz w:val="16"/>
              </w:rPr>
            </w:pPr>
            <w:r>
              <w:rPr>
                <w:rFonts w:cs="Arial" w:ascii="Arial" w:hAnsi="Arial"/>
                <w:color w:val="000000"/>
                <w:sz w:val="16"/>
              </w:rPr>
              <w:t>Jan-01</w:t>
            </w:r>
          </w:p>
        </w:tc>
        <w:tc>
          <w:tcPr>
            <w:tcW w:w="2712" w:type="dxa"/>
            <w:tcBorders/>
          </w:tcPr>
          <w:p>
            <w:pPr>
              <w:pStyle w:val="Normal"/>
              <w:rPr>
                <w:rFonts w:ascii="Arial" w:hAnsi="Arial" w:cs="Arial"/>
                <w:color w:val="000000"/>
                <w:sz w:val="16"/>
              </w:rPr>
            </w:pPr>
            <w:r>
              <w:rPr>
                <w:rFonts w:cs="Arial" w:ascii="Arial" w:hAnsi="Arial"/>
                <w:color w:val="000000"/>
                <w:sz w:val="16"/>
              </w:rPr>
              <w:t>Kelly Repower</w:t>
            </w:r>
          </w:p>
        </w:tc>
        <w:tc>
          <w:tcPr>
            <w:tcW w:w="1939" w:type="dxa"/>
            <w:tcBorders/>
          </w:tcPr>
          <w:p>
            <w:pPr>
              <w:pStyle w:val="Normal"/>
              <w:jc w:val="end"/>
              <w:rPr>
                <w:rFonts w:ascii="Arial" w:hAnsi="Arial" w:cs="Arial"/>
                <w:color w:val="000000"/>
                <w:sz w:val="16"/>
              </w:rPr>
            </w:pPr>
            <w:r>
              <w:rPr>
                <w:rFonts w:eastAsia="Arial" w:cs="Arial" w:ascii="Arial" w:hAnsi="Arial"/>
                <w:color w:val="000000"/>
                <w:sz w:val="16"/>
              </w:rPr>
              <w:t xml:space="preserve">                                </w:t>
            </w:r>
            <w:r>
              <w:rPr>
                <w:rFonts w:cs="Arial" w:ascii="Arial" w:hAnsi="Arial"/>
                <w:color w:val="000000"/>
                <w:sz w:val="16"/>
              </w:rPr>
              <w:t xml:space="preserve">110 </w:t>
            </w:r>
          </w:p>
        </w:tc>
        <w:tc>
          <w:tcPr>
            <w:tcW w:w="1214" w:type="dxa"/>
            <w:tcBorders>
              <w:end w:val="single" w:sz="6" w:space="0" w:color="000000"/>
            </w:tcBorders>
          </w:tcPr>
          <w:p>
            <w:pPr>
              <w:pStyle w:val="Normal"/>
              <w:jc w:val="end"/>
              <w:rPr>
                <w:rFonts w:ascii="Arial" w:hAnsi="Arial" w:cs="Arial"/>
                <w:color w:val="000000"/>
                <w:sz w:val="16"/>
              </w:rPr>
            </w:pPr>
            <w:r>
              <w:rPr>
                <w:rFonts w:eastAsia="Arial" w:cs="Arial" w:ascii="Arial" w:hAnsi="Arial"/>
                <w:color w:val="000000"/>
                <w:sz w:val="16"/>
              </w:rPr>
              <w:t xml:space="preserve">            </w:t>
            </w:r>
            <w:r>
              <w:rPr>
                <w:rFonts w:cs="Arial" w:ascii="Arial" w:hAnsi="Arial"/>
                <w:color w:val="000000"/>
                <w:sz w:val="16"/>
              </w:rPr>
              <w:t xml:space="preserve">25,344 </w:t>
            </w:r>
          </w:p>
        </w:tc>
      </w:tr>
      <w:tr>
        <w:trPr>
          <w:trHeight w:val="230" w:hRule="atLeast"/>
        </w:trPr>
        <w:tc>
          <w:tcPr>
            <w:tcW w:w="773" w:type="dxa"/>
            <w:tcBorders>
              <w:start w:val="single" w:sz="6" w:space="0" w:color="000000"/>
            </w:tcBorders>
          </w:tcPr>
          <w:p>
            <w:pPr>
              <w:pStyle w:val="Normal"/>
              <w:jc w:val="end"/>
              <w:rPr>
                <w:rFonts w:ascii="Arial" w:hAnsi="Arial" w:cs="Arial"/>
                <w:color w:val="000000"/>
                <w:sz w:val="16"/>
              </w:rPr>
            </w:pPr>
            <w:r>
              <w:rPr>
                <w:rFonts w:cs="Arial" w:ascii="Arial" w:hAnsi="Arial"/>
                <w:color w:val="000000"/>
                <w:sz w:val="16"/>
              </w:rPr>
              <w:t>Jan-01</w:t>
            </w:r>
          </w:p>
        </w:tc>
        <w:tc>
          <w:tcPr>
            <w:tcW w:w="2712" w:type="dxa"/>
            <w:tcBorders/>
          </w:tcPr>
          <w:p>
            <w:pPr>
              <w:pStyle w:val="Normal"/>
              <w:rPr>
                <w:rFonts w:ascii="Arial" w:hAnsi="Arial" w:cs="Arial"/>
                <w:color w:val="000000"/>
                <w:sz w:val="16"/>
              </w:rPr>
            </w:pPr>
            <w:r>
              <w:rPr>
                <w:rFonts w:cs="Arial" w:ascii="Arial" w:hAnsi="Arial"/>
                <w:color w:val="000000"/>
                <w:sz w:val="16"/>
              </w:rPr>
              <w:t>Brandy Branch Generating Station</w:t>
            </w:r>
          </w:p>
        </w:tc>
        <w:tc>
          <w:tcPr>
            <w:tcW w:w="1939" w:type="dxa"/>
            <w:tcBorders/>
          </w:tcPr>
          <w:p>
            <w:pPr>
              <w:pStyle w:val="Normal"/>
              <w:jc w:val="end"/>
              <w:rPr>
                <w:rFonts w:ascii="Arial" w:hAnsi="Arial" w:cs="Arial"/>
                <w:color w:val="000000"/>
                <w:sz w:val="16"/>
              </w:rPr>
            </w:pPr>
            <w:r>
              <w:rPr>
                <w:rFonts w:eastAsia="Arial" w:cs="Arial" w:ascii="Arial" w:hAnsi="Arial"/>
                <w:color w:val="000000"/>
                <w:sz w:val="16"/>
              </w:rPr>
              <w:t xml:space="preserve">                                </w:t>
            </w:r>
            <w:r>
              <w:rPr>
                <w:rFonts w:cs="Arial" w:ascii="Arial" w:hAnsi="Arial"/>
                <w:color w:val="000000"/>
                <w:sz w:val="16"/>
              </w:rPr>
              <w:t xml:space="preserve">382 </w:t>
            </w:r>
          </w:p>
        </w:tc>
        <w:tc>
          <w:tcPr>
            <w:tcW w:w="1214" w:type="dxa"/>
            <w:tcBorders>
              <w:end w:val="single" w:sz="6" w:space="0" w:color="000000"/>
            </w:tcBorders>
          </w:tcPr>
          <w:p>
            <w:pPr>
              <w:pStyle w:val="Normal"/>
              <w:jc w:val="end"/>
              <w:rPr>
                <w:rFonts w:ascii="Arial" w:hAnsi="Arial" w:cs="Arial"/>
                <w:color w:val="000000"/>
                <w:sz w:val="16"/>
              </w:rPr>
            </w:pPr>
            <w:r>
              <w:rPr>
                <w:rFonts w:eastAsia="Arial" w:cs="Arial" w:ascii="Arial" w:hAnsi="Arial"/>
                <w:color w:val="000000"/>
                <w:sz w:val="16"/>
              </w:rPr>
              <w:t xml:space="preserve">            </w:t>
            </w:r>
            <w:r>
              <w:rPr>
                <w:rFonts w:cs="Arial" w:ascii="Arial" w:hAnsi="Arial"/>
                <w:color w:val="000000"/>
                <w:sz w:val="16"/>
              </w:rPr>
              <w:t xml:space="preserve">88,013 </w:t>
            </w:r>
          </w:p>
        </w:tc>
      </w:tr>
      <w:tr>
        <w:trPr>
          <w:trHeight w:val="230" w:hRule="atLeast"/>
        </w:trPr>
        <w:tc>
          <w:tcPr>
            <w:tcW w:w="773" w:type="dxa"/>
            <w:tcBorders>
              <w:start w:val="single" w:sz="6" w:space="0" w:color="000000"/>
            </w:tcBorders>
          </w:tcPr>
          <w:p>
            <w:pPr>
              <w:pStyle w:val="Normal"/>
              <w:jc w:val="end"/>
              <w:rPr>
                <w:rFonts w:ascii="Arial" w:hAnsi="Arial" w:cs="Arial"/>
                <w:color w:val="000000"/>
                <w:sz w:val="16"/>
              </w:rPr>
            </w:pPr>
            <w:r>
              <w:rPr>
                <w:rFonts w:cs="Arial" w:ascii="Arial" w:hAnsi="Arial"/>
                <w:color w:val="000000"/>
                <w:sz w:val="16"/>
              </w:rPr>
              <w:t>Jan-01</w:t>
            </w:r>
          </w:p>
        </w:tc>
        <w:tc>
          <w:tcPr>
            <w:tcW w:w="2712" w:type="dxa"/>
            <w:tcBorders/>
          </w:tcPr>
          <w:p>
            <w:pPr>
              <w:pStyle w:val="Normal"/>
              <w:rPr>
                <w:rFonts w:ascii="Arial" w:hAnsi="Arial" w:cs="Arial"/>
                <w:color w:val="000000"/>
                <w:sz w:val="16"/>
              </w:rPr>
            </w:pPr>
            <w:r>
              <w:rPr>
                <w:rFonts w:cs="Arial" w:ascii="Arial" w:hAnsi="Arial"/>
                <w:color w:val="000000"/>
                <w:sz w:val="16"/>
              </w:rPr>
              <w:t>CT Peaker</w:t>
            </w:r>
          </w:p>
        </w:tc>
        <w:tc>
          <w:tcPr>
            <w:tcW w:w="1939" w:type="dxa"/>
            <w:tcBorders/>
          </w:tcPr>
          <w:p>
            <w:pPr>
              <w:pStyle w:val="Normal"/>
              <w:jc w:val="end"/>
              <w:rPr>
                <w:rFonts w:ascii="Arial" w:hAnsi="Arial" w:cs="Arial"/>
                <w:color w:val="000000"/>
                <w:sz w:val="16"/>
              </w:rPr>
            </w:pPr>
            <w:r>
              <w:rPr>
                <w:rFonts w:eastAsia="Arial" w:cs="Arial" w:ascii="Arial" w:hAnsi="Arial"/>
                <w:color w:val="000000"/>
                <w:sz w:val="16"/>
              </w:rPr>
              <w:t xml:space="preserve">                                </w:t>
            </w:r>
            <w:r>
              <w:rPr>
                <w:rFonts w:cs="Arial" w:ascii="Arial" w:hAnsi="Arial"/>
                <w:color w:val="000000"/>
                <w:sz w:val="16"/>
              </w:rPr>
              <w:t xml:space="preserve">177 </w:t>
            </w:r>
          </w:p>
        </w:tc>
        <w:tc>
          <w:tcPr>
            <w:tcW w:w="1214" w:type="dxa"/>
            <w:tcBorders>
              <w:end w:val="single" w:sz="6" w:space="0" w:color="000000"/>
            </w:tcBorders>
          </w:tcPr>
          <w:p>
            <w:pPr>
              <w:pStyle w:val="Normal"/>
              <w:jc w:val="end"/>
              <w:rPr>
                <w:rFonts w:ascii="Arial" w:hAnsi="Arial" w:cs="Arial"/>
                <w:color w:val="000000"/>
                <w:sz w:val="16"/>
              </w:rPr>
            </w:pPr>
            <w:r>
              <w:rPr>
                <w:rFonts w:eastAsia="Arial" w:cs="Arial" w:ascii="Arial" w:hAnsi="Arial"/>
                <w:color w:val="000000"/>
                <w:sz w:val="16"/>
              </w:rPr>
              <w:t xml:space="preserve">            </w:t>
            </w:r>
            <w:r>
              <w:rPr>
                <w:rFonts w:cs="Arial" w:ascii="Arial" w:hAnsi="Arial"/>
                <w:color w:val="000000"/>
                <w:sz w:val="16"/>
              </w:rPr>
              <w:t xml:space="preserve">40,781 </w:t>
            </w:r>
          </w:p>
        </w:tc>
      </w:tr>
      <w:tr>
        <w:trPr>
          <w:trHeight w:val="230" w:hRule="atLeast"/>
        </w:trPr>
        <w:tc>
          <w:tcPr>
            <w:tcW w:w="773" w:type="dxa"/>
            <w:tcBorders>
              <w:start w:val="single" w:sz="6" w:space="0" w:color="000000"/>
            </w:tcBorders>
          </w:tcPr>
          <w:p>
            <w:pPr>
              <w:pStyle w:val="Normal"/>
              <w:jc w:val="end"/>
              <w:rPr>
                <w:rFonts w:ascii="Arial" w:hAnsi="Arial" w:cs="Arial"/>
                <w:color w:val="000000"/>
                <w:sz w:val="16"/>
              </w:rPr>
            </w:pPr>
            <w:r>
              <w:rPr>
                <w:rFonts w:cs="Arial" w:ascii="Arial" w:hAnsi="Arial"/>
                <w:color w:val="000000"/>
                <w:sz w:val="16"/>
              </w:rPr>
              <w:t>Apr-01</w:t>
            </w:r>
          </w:p>
        </w:tc>
        <w:tc>
          <w:tcPr>
            <w:tcW w:w="2712" w:type="dxa"/>
            <w:tcBorders/>
          </w:tcPr>
          <w:p>
            <w:pPr>
              <w:pStyle w:val="Normal"/>
              <w:rPr>
                <w:rFonts w:ascii="Arial" w:hAnsi="Arial" w:cs="Arial"/>
                <w:color w:val="000000"/>
                <w:sz w:val="16"/>
              </w:rPr>
            </w:pPr>
            <w:r>
              <w:rPr>
                <w:rFonts w:cs="Arial" w:ascii="Arial" w:hAnsi="Arial"/>
                <w:color w:val="000000"/>
                <w:sz w:val="16"/>
              </w:rPr>
              <w:t>Northside Unit 2 (Repower)</w:t>
            </w:r>
          </w:p>
        </w:tc>
        <w:tc>
          <w:tcPr>
            <w:tcW w:w="1939" w:type="dxa"/>
            <w:tcBorders/>
          </w:tcPr>
          <w:p>
            <w:pPr>
              <w:pStyle w:val="Normal"/>
              <w:jc w:val="end"/>
              <w:rPr>
                <w:rFonts w:ascii="Arial" w:hAnsi="Arial" w:cs="Arial"/>
                <w:color w:val="000000"/>
                <w:sz w:val="16"/>
              </w:rPr>
            </w:pPr>
            <w:r>
              <w:rPr>
                <w:rFonts w:eastAsia="Arial" w:cs="Arial" w:ascii="Arial" w:hAnsi="Arial"/>
                <w:color w:val="000000"/>
                <w:sz w:val="16"/>
              </w:rPr>
              <w:t xml:space="preserve">                                </w:t>
            </w:r>
            <w:r>
              <w:rPr>
                <w:rFonts w:cs="Arial" w:ascii="Arial" w:hAnsi="Arial"/>
                <w:color w:val="000000"/>
                <w:sz w:val="16"/>
              </w:rPr>
              <w:t xml:space="preserve">177 </w:t>
            </w:r>
          </w:p>
        </w:tc>
        <w:tc>
          <w:tcPr>
            <w:tcW w:w="1214" w:type="dxa"/>
            <w:tcBorders>
              <w:end w:val="single" w:sz="6" w:space="0" w:color="000000"/>
            </w:tcBorders>
          </w:tcPr>
          <w:p>
            <w:pPr>
              <w:pStyle w:val="Normal"/>
              <w:jc w:val="end"/>
              <w:rPr>
                <w:rFonts w:ascii="Arial" w:hAnsi="Arial" w:cs="Arial"/>
                <w:color w:val="000000"/>
                <w:sz w:val="16"/>
              </w:rPr>
            </w:pPr>
            <w:r>
              <w:rPr>
                <w:rFonts w:eastAsia="Arial" w:cs="Arial" w:ascii="Arial" w:hAnsi="Arial"/>
                <w:color w:val="000000"/>
                <w:sz w:val="16"/>
              </w:rPr>
              <w:t xml:space="preserve">            </w:t>
            </w:r>
            <w:r>
              <w:rPr>
                <w:rFonts w:cs="Arial" w:ascii="Arial" w:hAnsi="Arial"/>
                <w:color w:val="000000"/>
                <w:sz w:val="16"/>
              </w:rPr>
              <w:t xml:space="preserve">40,781 </w:t>
            </w:r>
          </w:p>
        </w:tc>
      </w:tr>
      <w:tr>
        <w:trPr>
          <w:trHeight w:val="230" w:hRule="atLeast"/>
        </w:trPr>
        <w:tc>
          <w:tcPr>
            <w:tcW w:w="773" w:type="dxa"/>
            <w:tcBorders>
              <w:start w:val="single" w:sz="6" w:space="0" w:color="000000"/>
            </w:tcBorders>
          </w:tcPr>
          <w:p>
            <w:pPr>
              <w:pStyle w:val="Normal"/>
              <w:jc w:val="end"/>
              <w:rPr>
                <w:rFonts w:ascii="Arial" w:hAnsi="Arial" w:cs="Arial"/>
                <w:color w:val="000000"/>
                <w:sz w:val="16"/>
              </w:rPr>
            </w:pPr>
            <w:r>
              <w:rPr>
                <w:rFonts w:cs="Arial" w:ascii="Arial" w:hAnsi="Arial"/>
                <w:color w:val="000000"/>
                <w:sz w:val="16"/>
              </w:rPr>
              <w:t>Jun-01</w:t>
            </w:r>
          </w:p>
        </w:tc>
        <w:tc>
          <w:tcPr>
            <w:tcW w:w="2712" w:type="dxa"/>
            <w:tcBorders/>
          </w:tcPr>
          <w:p>
            <w:pPr>
              <w:pStyle w:val="Normal"/>
              <w:rPr>
                <w:rFonts w:ascii="Arial" w:hAnsi="Arial" w:cs="Arial"/>
                <w:color w:val="000000"/>
                <w:sz w:val="16"/>
              </w:rPr>
            </w:pPr>
            <w:r>
              <w:rPr>
                <w:rFonts w:cs="Arial" w:ascii="Arial" w:hAnsi="Arial"/>
                <w:color w:val="000000"/>
                <w:sz w:val="16"/>
              </w:rPr>
              <w:t>Marathon</w:t>
            </w:r>
          </w:p>
        </w:tc>
        <w:tc>
          <w:tcPr>
            <w:tcW w:w="1939" w:type="dxa"/>
            <w:tcBorders/>
          </w:tcPr>
          <w:p>
            <w:pPr>
              <w:pStyle w:val="Normal"/>
              <w:jc w:val="end"/>
              <w:rPr>
                <w:rFonts w:ascii="Arial" w:hAnsi="Arial" w:cs="Arial"/>
                <w:color w:val="000000"/>
                <w:sz w:val="16"/>
              </w:rPr>
            </w:pPr>
            <w:r>
              <w:rPr>
                <w:rFonts w:eastAsia="Arial" w:cs="Arial" w:ascii="Arial" w:hAnsi="Arial"/>
                <w:color w:val="000000"/>
                <w:sz w:val="16"/>
              </w:rPr>
              <w:t xml:space="preserve">                                    </w:t>
            </w:r>
            <w:r>
              <w:rPr>
                <w:rFonts w:cs="Arial" w:ascii="Arial" w:hAnsi="Arial"/>
                <w:color w:val="000000"/>
                <w:sz w:val="16"/>
              </w:rPr>
              <w:t xml:space="preserve">4 </w:t>
            </w:r>
          </w:p>
        </w:tc>
        <w:tc>
          <w:tcPr>
            <w:tcW w:w="1214" w:type="dxa"/>
            <w:tcBorders>
              <w:end w:val="single" w:sz="6" w:space="0" w:color="000000"/>
            </w:tcBorders>
          </w:tcPr>
          <w:p>
            <w:pPr>
              <w:pStyle w:val="Normal"/>
              <w:jc w:val="end"/>
              <w:rPr>
                <w:rFonts w:ascii="Arial" w:hAnsi="Arial" w:cs="Arial"/>
                <w:color w:val="000000"/>
                <w:sz w:val="16"/>
              </w:rPr>
            </w:pPr>
            <w:r>
              <w:rPr>
                <w:rFonts w:eastAsia="Arial" w:cs="Arial" w:ascii="Arial" w:hAnsi="Arial"/>
                <w:color w:val="000000"/>
                <w:sz w:val="16"/>
              </w:rPr>
              <w:t xml:space="preserve">                 </w:t>
            </w:r>
            <w:r>
              <w:rPr>
                <w:rFonts w:cs="Arial" w:ascii="Arial" w:hAnsi="Arial"/>
                <w:color w:val="000000"/>
                <w:sz w:val="16"/>
              </w:rPr>
              <w:t xml:space="preserve">922 </w:t>
            </w:r>
          </w:p>
        </w:tc>
      </w:tr>
      <w:tr>
        <w:trPr>
          <w:trHeight w:val="230" w:hRule="atLeast"/>
        </w:trPr>
        <w:tc>
          <w:tcPr>
            <w:tcW w:w="773" w:type="dxa"/>
            <w:tcBorders>
              <w:start w:val="single" w:sz="6" w:space="0" w:color="000000"/>
            </w:tcBorders>
          </w:tcPr>
          <w:p>
            <w:pPr>
              <w:pStyle w:val="Normal"/>
              <w:jc w:val="end"/>
              <w:rPr>
                <w:rFonts w:ascii="Arial" w:hAnsi="Arial" w:cs="Arial"/>
                <w:color w:val="000000"/>
                <w:sz w:val="16"/>
              </w:rPr>
            </w:pPr>
            <w:r>
              <w:rPr>
                <w:rFonts w:cs="Arial" w:ascii="Arial" w:hAnsi="Arial"/>
                <w:color w:val="000000"/>
                <w:sz w:val="16"/>
              </w:rPr>
              <w:t>Jun-01</w:t>
            </w:r>
          </w:p>
        </w:tc>
        <w:tc>
          <w:tcPr>
            <w:tcW w:w="2712" w:type="dxa"/>
            <w:tcBorders/>
          </w:tcPr>
          <w:p>
            <w:pPr>
              <w:pStyle w:val="Normal"/>
              <w:rPr>
                <w:rFonts w:ascii="Arial" w:hAnsi="Arial" w:cs="Arial"/>
                <w:color w:val="000000"/>
                <w:sz w:val="16"/>
              </w:rPr>
            </w:pPr>
            <w:r>
              <w:rPr>
                <w:rFonts w:cs="Arial" w:ascii="Arial" w:hAnsi="Arial"/>
                <w:color w:val="000000"/>
                <w:sz w:val="16"/>
              </w:rPr>
              <w:t>Martin County Expansion</w:t>
            </w:r>
          </w:p>
        </w:tc>
        <w:tc>
          <w:tcPr>
            <w:tcW w:w="1939" w:type="dxa"/>
            <w:tcBorders/>
          </w:tcPr>
          <w:p>
            <w:pPr>
              <w:pStyle w:val="Normal"/>
              <w:jc w:val="end"/>
              <w:rPr>
                <w:rFonts w:ascii="Arial" w:hAnsi="Arial" w:cs="Arial"/>
                <w:color w:val="000000"/>
                <w:sz w:val="16"/>
              </w:rPr>
            </w:pPr>
            <w:r>
              <w:rPr>
                <w:rFonts w:eastAsia="Arial" w:cs="Arial" w:ascii="Arial" w:hAnsi="Arial"/>
                <w:color w:val="000000"/>
                <w:sz w:val="16"/>
              </w:rPr>
              <w:t xml:space="preserve">                                </w:t>
            </w:r>
            <w:r>
              <w:rPr>
                <w:rFonts w:cs="Arial" w:ascii="Arial" w:hAnsi="Arial"/>
                <w:color w:val="000000"/>
                <w:sz w:val="16"/>
              </w:rPr>
              <w:t xml:space="preserve">340 </w:t>
            </w:r>
          </w:p>
        </w:tc>
        <w:tc>
          <w:tcPr>
            <w:tcW w:w="1214" w:type="dxa"/>
            <w:tcBorders>
              <w:end w:val="single" w:sz="6" w:space="0" w:color="000000"/>
            </w:tcBorders>
          </w:tcPr>
          <w:p>
            <w:pPr>
              <w:pStyle w:val="Normal"/>
              <w:jc w:val="end"/>
              <w:rPr>
                <w:rFonts w:ascii="Arial" w:hAnsi="Arial" w:cs="Arial"/>
                <w:color w:val="000000"/>
                <w:sz w:val="16"/>
              </w:rPr>
            </w:pPr>
            <w:r>
              <w:rPr>
                <w:rFonts w:eastAsia="Arial" w:cs="Arial" w:ascii="Arial" w:hAnsi="Arial"/>
                <w:color w:val="000000"/>
                <w:sz w:val="16"/>
              </w:rPr>
              <w:t xml:space="preserve">            </w:t>
            </w:r>
            <w:r>
              <w:rPr>
                <w:rFonts w:cs="Arial" w:ascii="Arial" w:hAnsi="Arial"/>
                <w:color w:val="000000"/>
                <w:sz w:val="16"/>
              </w:rPr>
              <w:t xml:space="preserve">78,336 </w:t>
            </w:r>
          </w:p>
        </w:tc>
      </w:tr>
      <w:tr>
        <w:trPr>
          <w:trHeight w:val="230" w:hRule="atLeast"/>
        </w:trPr>
        <w:tc>
          <w:tcPr>
            <w:tcW w:w="773" w:type="dxa"/>
            <w:tcBorders>
              <w:start w:val="single" w:sz="6" w:space="0" w:color="000000"/>
            </w:tcBorders>
          </w:tcPr>
          <w:p>
            <w:pPr>
              <w:pStyle w:val="Normal"/>
              <w:jc w:val="end"/>
              <w:rPr>
                <w:rFonts w:ascii="Arial" w:hAnsi="Arial" w:cs="Arial"/>
                <w:color w:val="000000"/>
                <w:sz w:val="16"/>
              </w:rPr>
            </w:pPr>
            <w:r>
              <w:rPr>
                <w:rFonts w:cs="Arial" w:ascii="Arial" w:hAnsi="Arial"/>
                <w:color w:val="000000"/>
                <w:sz w:val="16"/>
              </w:rPr>
              <w:t>Jun-01</w:t>
            </w:r>
          </w:p>
        </w:tc>
        <w:tc>
          <w:tcPr>
            <w:tcW w:w="2712" w:type="dxa"/>
            <w:tcBorders/>
          </w:tcPr>
          <w:p>
            <w:pPr>
              <w:pStyle w:val="Normal"/>
              <w:rPr>
                <w:rFonts w:ascii="Arial" w:hAnsi="Arial" w:cs="Arial"/>
                <w:color w:val="000000"/>
                <w:sz w:val="16"/>
              </w:rPr>
            </w:pPr>
            <w:r>
              <w:rPr>
                <w:rFonts w:cs="Arial" w:ascii="Arial" w:hAnsi="Arial"/>
                <w:color w:val="000000"/>
                <w:sz w:val="16"/>
              </w:rPr>
              <w:t>Cane Island 3</w:t>
            </w:r>
          </w:p>
        </w:tc>
        <w:tc>
          <w:tcPr>
            <w:tcW w:w="1939" w:type="dxa"/>
            <w:tcBorders/>
          </w:tcPr>
          <w:p>
            <w:pPr>
              <w:pStyle w:val="Normal"/>
              <w:jc w:val="end"/>
              <w:rPr>
                <w:rFonts w:ascii="Arial" w:hAnsi="Arial" w:cs="Arial"/>
                <w:color w:val="000000"/>
                <w:sz w:val="16"/>
              </w:rPr>
            </w:pPr>
            <w:r>
              <w:rPr>
                <w:rFonts w:eastAsia="Arial" w:cs="Arial" w:ascii="Arial" w:hAnsi="Arial"/>
                <w:color w:val="000000"/>
                <w:sz w:val="16"/>
              </w:rPr>
              <w:t xml:space="preserve">                                </w:t>
            </w:r>
            <w:r>
              <w:rPr>
                <w:rFonts w:cs="Arial" w:ascii="Arial" w:hAnsi="Arial"/>
                <w:color w:val="000000"/>
                <w:sz w:val="16"/>
              </w:rPr>
              <w:t xml:space="preserve">250 </w:t>
            </w:r>
          </w:p>
        </w:tc>
        <w:tc>
          <w:tcPr>
            <w:tcW w:w="1214" w:type="dxa"/>
            <w:tcBorders>
              <w:end w:val="single" w:sz="6" w:space="0" w:color="000000"/>
            </w:tcBorders>
          </w:tcPr>
          <w:p>
            <w:pPr>
              <w:pStyle w:val="Normal"/>
              <w:jc w:val="end"/>
              <w:rPr>
                <w:rFonts w:ascii="Arial" w:hAnsi="Arial" w:cs="Arial"/>
                <w:color w:val="000000"/>
                <w:sz w:val="16"/>
              </w:rPr>
            </w:pPr>
            <w:r>
              <w:rPr>
                <w:rFonts w:eastAsia="Arial" w:cs="Arial" w:ascii="Arial" w:hAnsi="Arial"/>
                <w:color w:val="000000"/>
                <w:sz w:val="16"/>
              </w:rPr>
              <w:t xml:space="preserve">            </w:t>
            </w:r>
            <w:r>
              <w:rPr>
                <w:rFonts w:cs="Arial" w:ascii="Arial" w:hAnsi="Arial"/>
                <w:color w:val="000000"/>
                <w:sz w:val="16"/>
              </w:rPr>
              <w:t xml:space="preserve">57,600 </w:t>
            </w:r>
          </w:p>
        </w:tc>
      </w:tr>
      <w:tr>
        <w:trPr>
          <w:trHeight w:val="230" w:hRule="atLeast"/>
        </w:trPr>
        <w:tc>
          <w:tcPr>
            <w:tcW w:w="773" w:type="dxa"/>
            <w:tcBorders>
              <w:start w:val="single" w:sz="6" w:space="0" w:color="000000"/>
            </w:tcBorders>
          </w:tcPr>
          <w:p>
            <w:pPr>
              <w:pStyle w:val="Normal"/>
              <w:jc w:val="end"/>
              <w:rPr>
                <w:rFonts w:ascii="Arial" w:hAnsi="Arial" w:cs="Arial"/>
                <w:color w:val="000000"/>
                <w:sz w:val="16"/>
              </w:rPr>
            </w:pPr>
            <w:r>
              <w:rPr>
                <w:rFonts w:cs="Arial" w:ascii="Arial" w:hAnsi="Arial"/>
                <w:color w:val="000000"/>
                <w:sz w:val="16"/>
              </w:rPr>
              <w:t>Jun-01</w:t>
            </w:r>
          </w:p>
        </w:tc>
        <w:tc>
          <w:tcPr>
            <w:tcW w:w="2712" w:type="dxa"/>
            <w:tcBorders/>
          </w:tcPr>
          <w:p>
            <w:pPr>
              <w:pStyle w:val="Normal"/>
              <w:rPr>
                <w:rFonts w:ascii="Arial" w:hAnsi="Arial" w:cs="Arial"/>
                <w:color w:val="000000"/>
                <w:sz w:val="16"/>
              </w:rPr>
            </w:pPr>
            <w:r>
              <w:rPr>
                <w:rFonts w:cs="Arial" w:ascii="Arial" w:hAnsi="Arial"/>
                <w:color w:val="000000"/>
                <w:sz w:val="16"/>
              </w:rPr>
              <w:t>Santa Rosa</w:t>
            </w:r>
          </w:p>
        </w:tc>
        <w:tc>
          <w:tcPr>
            <w:tcW w:w="1939" w:type="dxa"/>
            <w:tcBorders/>
          </w:tcPr>
          <w:p>
            <w:pPr>
              <w:pStyle w:val="Normal"/>
              <w:jc w:val="end"/>
              <w:rPr>
                <w:rFonts w:ascii="Arial" w:hAnsi="Arial" w:cs="Arial"/>
                <w:color w:val="000000"/>
                <w:sz w:val="16"/>
              </w:rPr>
            </w:pPr>
            <w:r>
              <w:rPr>
                <w:rFonts w:eastAsia="Arial" w:cs="Arial" w:ascii="Arial" w:hAnsi="Arial"/>
                <w:color w:val="000000"/>
                <w:sz w:val="16"/>
              </w:rPr>
              <w:t xml:space="preserve">                                </w:t>
            </w:r>
            <w:r>
              <w:rPr>
                <w:rFonts w:cs="Arial" w:ascii="Arial" w:hAnsi="Arial"/>
                <w:color w:val="000000"/>
                <w:sz w:val="16"/>
              </w:rPr>
              <w:t xml:space="preserve">240 </w:t>
            </w:r>
          </w:p>
        </w:tc>
        <w:tc>
          <w:tcPr>
            <w:tcW w:w="1214" w:type="dxa"/>
            <w:tcBorders>
              <w:end w:val="single" w:sz="6" w:space="0" w:color="000000"/>
            </w:tcBorders>
          </w:tcPr>
          <w:p>
            <w:pPr>
              <w:pStyle w:val="Normal"/>
              <w:jc w:val="end"/>
              <w:rPr>
                <w:rFonts w:ascii="Arial" w:hAnsi="Arial" w:cs="Arial"/>
                <w:color w:val="000000"/>
                <w:sz w:val="16"/>
              </w:rPr>
            </w:pPr>
            <w:r>
              <w:rPr>
                <w:rFonts w:eastAsia="Arial" w:cs="Arial" w:ascii="Arial" w:hAnsi="Arial"/>
                <w:color w:val="000000"/>
                <w:sz w:val="16"/>
              </w:rPr>
              <w:t xml:space="preserve">            </w:t>
            </w:r>
            <w:r>
              <w:rPr>
                <w:rFonts w:cs="Arial" w:ascii="Arial" w:hAnsi="Arial"/>
                <w:color w:val="000000"/>
                <w:sz w:val="16"/>
              </w:rPr>
              <w:t xml:space="preserve">55,296 </w:t>
            </w:r>
          </w:p>
        </w:tc>
      </w:tr>
      <w:tr>
        <w:trPr>
          <w:trHeight w:val="230" w:hRule="atLeast"/>
        </w:trPr>
        <w:tc>
          <w:tcPr>
            <w:tcW w:w="773" w:type="dxa"/>
            <w:tcBorders>
              <w:start w:val="single" w:sz="6" w:space="0" w:color="000000"/>
            </w:tcBorders>
          </w:tcPr>
          <w:p>
            <w:pPr>
              <w:pStyle w:val="Normal"/>
              <w:jc w:val="end"/>
              <w:rPr>
                <w:rFonts w:ascii="Arial" w:hAnsi="Arial" w:cs="Arial"/>
                <w:color w:val="000000"/>
                <w:sz w:val="16"/>
              </w:rPr>
            </w:pPr>
            <w:r>
              <w:rPr>
                <w:rFonts w:cs="Arial" w:ascii="Arial" w:hAnsi="Arial"/>
                <w:color w:val="000000"/>
                <w:sz w:val="16"/>
              </w:rPr>
              <w:t>Jun-01</w:t>
            </w:r>
          </w:p>
        </w:tc>
        <w:tc>
          <w:tcPr>
            <w:tcW w:w="2712" w:type="dxa"/>
            <w:tcBorders/>
          </w:tcPr>
          <w:p>
            <w:pPr>
              <w:pStyle w:val="Normal"/>
              <w:rPr>
                <w:rFonts w:ascii="Arial" w:hAnsi="Arial" w:cs="Arial"/>
                <w:color w:val="000000"/>
                <w:sz w:val="16"/>
              </w:rPr>
            </w:pPr>
            <w:r>
              <w:rPr>
                <w:rFonts w:cs="Arial" w:ascii="Arial" w:hAnsi="Arial"/>
                <w:color w:val="000000"/>
                <w:sz w:val="16"/>
              </w:rPr>
              <w:t>Auburndale Expansion</w:t>
            </w:r>
          </w:p>
        </w:tc>
        <w:tc>
          <w:tcPr>
            <w:tcW w:w="1939" w:type="dxa"/>
            <w:tcBorders/>
          </w:tcPr>
          <w:p>
            <w:pPr>
              <w:pStyle w:val="Normal"/>
              <w:jc w:val="end"/>
              <w:rPr>
                <w:rFonts w:ascii="Arial" w:hAnsi="Arial" w:cs="Arial"/>
                <w:color w:val="000000"/>
                <w:sz w:val="16"/>
              </w:rPr>
            </w:pPr>
            <w:r>
              <w:rPr>
                <w:rFonts w:eastAsia="Arial" w:cs="Arial" w:ascii="Arial" w:hAnsi="Arial"/>
                <w:color w:val="000000"/>
                <w:sz w:val="16"/>
              </w:rPr>
              <w:t xml:space="preserve">                                </w:t>
            </w:r>
            <w:r>
              <w:rPr>
                <w:rFonts w:cs="Arial" w:ascii="Arial" w:hAnsi="Arial"/>
                <w:color w:val="000000"/>
                <w:sz w:val="16"/>
              </w:rPr>
              <w:t xml:space="preserve">100 </w:t>
            </w:r>
          </w:p>
        </w:tc>
        <w:tc>
          <w:tcPr>
            <w:tcW w:w="1214" w:type="dxa"/>
            <w:tcBorders>
              <w:end w:val="single" w:sz="6" w:space="0" w:color="000000"/>
            </w:tcBorders>
          </w:tcPr>
          <w:p>
            <w:pPr>
              <w:pStyle w:val="Normal"/>
              <w:jc w:val="end"/>
              <w:rPr>
                <w:rFonts w:ascii="Arial" w:hAnsi="Arial" w:cs="Arial"/>
                <w:color w:val="000000"/>
                <w:sz w:val="16"/>
              </w:rPr>
            </w:pPr>
            <w:r>
              <w:rPr>
                <w:rFonts w:eastAsia="Arial" w:cs="Arial" w:ascii="Arial" w:hAnsi="Arial"/>
                <w:color w:val="000000"/>
                <w:sz w:val="16"/>
              </w:rPr>
              <w:t xml:space="preserve">            </w:t>
            </w:r>
            <w:r>
              <w:rPr>
                <w:rFonts w:cs="Arial" w:ascii="Arial" w:hAnsi="Arial"/>
                <w:color w:val="000000"/>
                <w:sz w:val="16"/>
              </w:rPr>
              <w:t xml:space="preserve">23,040 </w:t>
            </w:r>
          </w:p>
        </w:tc>
      </w:tr>
      <w:tr>
        <w:trPr>
          <w:trHeight w:val="230" w:hRule="atLeast"/>
        </w:trPr>
        <w:tc>
          <w:tcPr>
            <w:tcW w:w="773" w:type="dxa"/>
            <w:tcBorders>
              <w:start w:val="single" w:sz="6" w:space="0" w:color="000000"/>
            </w:tcBorders>
          </w:tcPr>
          <w:p>
            <w:pPr>
              <w:pStyle w:val="Normal"/>
              <w:jc w:val="end"/>
              <w:rPr>
                <w:rFonts w:ascii="Arial" w:hAnsi="Arial" w:cs="Arial"/>
                <w:color w:val="000000"/>
                <w:sz w:val="16"/>
              </w:rPr>
            </w:pPr>
            <w:r>
              <w:rPr>
                <w:rFonts w:cs="Arial" w:ascii="Arial" w:hAnsi="Arial"/>
                <w:color w:val="000000"/>
                <w:sz w:val="16"/>
              </w:rPr>
              <w:t>Aug-01</w:t>
            </w:r>
          </w:p>
        </w:tc>
        <w:tc>
          <w:tcPr>
            <w:tcW w:w="2712" w:type="dxa"/>
            <w:tcBorders/>
          </w:tcPr>
          <w:p>
            <w:pPr>
              <w:pStyle w:val="Normal"/>
              <w:rPr>
                <w:rFonts w:ascii="Arial" w:hAnsi="Arial" w:cs="Arial"/>
                <w:color w:val="000000"/>
                <w:sz w:val="16"/>
              </w:rPr>
            </w:pPr>
            <w:r>
              <w:rPr>
                <w:rFonts w:cs="Arial" w:ascii="Arial" w:hAnsi="Arial"/>
                <w:color w:val="000000"/>
                <w:sz w:val="16"/>
              </w:rPr>
              <w:t>Crystal Rivers Coal Expansion</w:t>
            </w:r>
          </w:p>
        </w:tc>
        <w:tc>
          <w:tcPr>
            <w:tcW w:w="1939" w:type="dxa"/>
            <w:tcBorders/>
          </w:tcPr>
          <w:p>
            <w:pPr>
              <w:pStyle w:val="Normal"/>
              <w:jc w:val="end"/>
              <w:rPr>
                <w:rFonts w:ascii="Arial" w:hAnsi="Arial" w:cs="Arial"/>
                <w:color w:val="000000"/>
                <w:sz w:val="16"/>
              </w:rPr>
            </w:pPr>
            <w:r>
              <w:rPr>
                <w:rFonts w:eastAsia="Arial" w:cs="Arial" w:ascii="Arial" w:hAnsi="Arial"/>
                <w:color w:val="000000"/>
                <w:sz w:val="16"/>
              </w:rPr>
              <w:t xml:space="preserve">                                  </w:t>
            </w:r>
            <w:r>
              <w:rPr>
                <w:rFonts w:cs="Arial" w:ascii="Arial" w:hAnsi="Arial"/>
                <w:color w:val="000000"/>
                <w:sz w:val="16"/>
              </w:rPr>
              <w:t xml:space="preserve">17 </w:t>
            </w:r>
          </w:p>
        </w:tc>
        <w:tc>
          <w:tcPr>
            <w:tcW w:w="1214" w:type="dxa"/>
            <w:tcBorders>
              <w:end w:val="single" w:sz="6" w:space="0" w:color="000000"/>
            </w:tcBorders>
          </w:tcPr>
          <w:p>
            <w:pPr>
              <w:pStyle w:val="Normal"/>
              <w:jc w:val="end"/>
              <w:rPr>
                <w:rFonts w:ascii="Arial" w:hAnsi="Arial" w:cs="Arial"/>
                <w:color w:val="000000"/>
                <w:sz w:val="16"/>
              </w:rPr>
            </w:pPr>
            <w:r>
              <w:rPr>
                <w:rFonts w:eastAsia="Arial" w:cs="Arial" w:ascii="Arial" w:hAnsi="Arial"/>
                <w:color w:val="000000"/>
                <w:sz w:val="16"/>
              </w:rPr>
              <w:t xml:space="preserve">              </w:t>
            </w:r>
            <w:r>
              <w:rPr>
                <w:rFonts w:cs="Arial" w:ascii="Arial" w:hAnsi="Arial"/>
                <w:color w:val="000000"/>
                <w:sz w:val="16"/>
              </w:rPr>
              <w:t xml:space="preserve">3,917 </w:t>
            </w:r>
          </w:p>
        </w:tc>
      </w:tr>
      <w:tr>
        <w:trPr>
          <w:trHeight w:val="230" w:hRule="atLeast"/>
        </w:trPr>
        <w:tc>
          <w:tcPr>
            <w:tcW w:w="773" w:type="dxa"/>
            <w:tcBorders>
              <w:start w:val="single" w:sz="6" w:space="0" w:color="000000"/>
            </w:tcBorders>
          </w:tcPr>
          <w:p>
            <w:pPr>
              <w:pStyle w:val="Normal"/>
              <w:jc w:val="end"/>
              <w:rPr>
                <w:rFonts w:ascii="Arial" w:hAnsi="Arial" w:cs="Arial"/>
                <w:color w:val="000000"/>
                <w:sz w:val="16"/>
              </w:rPr>
            </w:pPr>
            <w:r>
              <w:rPr>
                <w:rFonts w:cs="Arial" w:ascii="Arial" w:hAnsi="Arial"/>
                <w:color w:val="000000"/>
                <w:sz w:val="16"/>
              </w:rPr>
              <w:t>Dec-01</w:t>
            </w:r>
          </w:p>
        </w:tc>
        <w:tc>
          <w:tcPr>
            <w:tcW w:w="2712" w:type="dxa"/>
            <w:tcBorders/>
          </w:tcPr>
          <w:p>
            <w:pPr>
              <w:pStyle w:val="Normal"/>
              <w:rPr>
                <w:rFonts w:ascii="Arial" w:hAnsi="Arial" w:cs="Arial"/>
                <w:color w:val="000000"/>
                <w:sz w:val="16"/>
              </w:rPr>
            </w:pPr>
            <w:r>
              <w:rPr>
                <w:rFonts w:cs="Arial" w:ascii="Arial" w:hAnsi="Arial"/>
                <w:color w:val="000000"/>
                <w:sz w:val="16"/>
              </w:rPr>
              <w:t>Brandy Branch Generating Station</w:t>
            </w:r>
          </w:p>
        </w:tc>
        <w:tc>
          <w:tcPr>
            <w:tcW w:w="1939" w:type="dxa"/>
            <w:tcBorders/>
          </w:tcPr>
          <w:p>
            <w:pPr>
              <w:pStyle w:val="Normal"/>
              <w:jc w:val="end"/>
              <w:rPr>
                <w:rFonts w:ascii="Arial" w:hAnsi="Arial" w:cs="Arial"/>
                <w:color w:val="000000"/>
                <w:sz w:val="16"/>
              </w:rPr>
            </w:pPr>
            <w:r>
              <w:rPr>
                <w:rFonts w:eastAsia="Arial" w:cs="Arial" w:ascii="Arial" w:hAnsi="Arial"/>
                <w:color w:val="000000"/>
                <w:sz w:val="16"/>
              </w:rPr>
              <w:t xml:space="preserve">                                </w:t>
            </w:r>
            <w:r>
              <w:rPr>
                <w:rFonts w:cs="Arial" w:ascii="Arial" w:hAnsi="Arial"/>
                <w:color w:val="000000"/>
                <w:sz w:val="16"/>
              </w:rPr>
              <w:t xml:space="preserve">191 </w:t>
            </w:r>
          </w:p>
        </w:tc>
        <w:tc>
          <w:tcPr>
            <w:tcW w:w="1214" w:type="dxa"/>
            <w:tcBorders>
              <w:end w:val="single" w:sz="6" w:space="0" w:color="000000"/>
            </w:tcBorders>
          </w:tcPr>
          <w:p>
            <w:pPr>
              <w:pStyle w:val="Normal"/>
              <w:jc w:val="end"/>
              <w:rPr>
                <w:rFonts w:ascii="Arial" w:hAnsi="Arial" w:cs="Arial"/>
                <w:color w:val="000000"/>
                <w:sz w:val="16"/>
              </w:rPr>
            </w:pPr>
            <w:r>
              <w:rPr>
                <w:rFonts w:eastAsia="Arial" w:cs="Arial" w:ascii="Arial" w:hAnsi="Arial"/>
                <w:color w:val="000000"/>
                <w:sz w:val="16"/>
              </w:rPr>
              <w:t xml:space="preserve">            </w:t>
            </w:r>
            <w:r>
              <w:rPr>
                <w:rFonts w:cs="Arial" w:ascii="Arial" w:hAnsi="Arial"/>
                <w:color w:val="000000"/>
                <w:sz w:val="16"/>
              </w:rPr>
              <w:t xml:space="preserve">44,006 </w:t>
            </w:r>
          </w:p>
        </w:tc>
      </w:tr>
      <w:tr>
        <w:trPr>
          <w:trHeight w:val="230" w:hRule="atLeast"/>
        </w:trPr>
        <w:tc>
          <w:tcPr>
            <w:tcW w:w="773" w:type="dxa"/>
            <w:tcBorders>
              <w:start w:val="single" w:sz="6" w:space="0" w:color="000000"/>
            </w:tcBorders>
          </w:tcPr>
          <w:p>
            <w:pPr>
              <w:pStyle w:val="Normal"/>
              <w:jc w:val="end"/>
              <w:rPr>
                <w:rFonts w:ascii="Arial" w:hAnsi="Arial" w:cs="Arial"/>
                <w:color w:val="000000"/>
                <w:sz w:val="16"/>
              </w:rPr>
            </w:pPr>
            <w:r>
              <w:rPr>
                <w:rFonts w:cs="Arial" w:ascii="Arial" w:hAnsi="Arial"/>
                <w:color w:val="000000"/>
                <w:sz w:val="16"/>
              </w:rPr>
              <w:t>Dec-01</w:t>
            </w:r>
          </w:p>
        </w:tc>
        <w:tc>
          <w:tcPr>
            <w:tcW w:w="2712" w:type="dxa"/>
            <w:tcBorders/>
          </w:tcPr>
          <w:p>
            <w:pPr>
              <w:pStyle w:val="Normal"/>
              <w:rPr>
                <w:rFonts w:ascii="Arial" w:hAnsi="Arial" w:cs="Arial"/>
                <w:color w:val="000000"/>
                <w:sz w:val="16"/>
              </w:rPr>
            </w:pPr>
            <w:r>
              <w:rPr>
                <w:rFonts w:cs="Arial" w:ascii="Arial" w:hAnsi="Arial"/>
                <w:color w:val="000000"/>
                <w:sz w:val="16"/>
              </w:rPr>
              <w:t>CT Peakers (3 units)</w:t>
            </w:r>
          </w:p>
        </w:tc>
        <w:tc>
          <w:tcPr>
            <w:tcW w:w="1939" w:type="dxa"/>
            <w:tcBorders/>
          </w:tcPr>
          <w:p>
            <w:pPr>
              <w:pStyle w:val="Normal"/>
              <w:jc w:val="end"/>
              <w:rPr>
                <w:rFonts w:ascii="Arial" w:hAnsi="Arial" w:cs="Arial"/>
                <w:color w:val="000000"/>
                <w:sz w:val="16"/>
              </w:rPr>
            </w:pPr>
            <w:r>
              <w:rPr>
                <w:rFonts w:eastAsia="Arial" w:cs="Arial" w:ascii="Arial" w:hAnsi="Arial"/>
                <w:color w:val="000000"/>
                <w:sz w:val="16"/>
              </w:rPr>
              <w:t xml:space="preserve">                                </w:t>
            </w:r>
            <w:r>
              <w:rPr>
                <w:rFonts w:cs="Arial" w:ascii="Arial" w:hAnsi="Arial"/>
                <w:color w:val="000000"/>
                <w:sz w:val="16"/>
              </w:rPr>
              <w:t xml:space="preserve">480 </w:t>
            </w:r>
          </w:p>
        </w:tc>
        <w:tc>
          <w:tcPr>
            <w:tcW w:w="1214" w:type="dxa"/>
            <w:tcBorders>
              <w:end w:val="single" w:sz="6" w:space="0" w:color="000000"/>
            </w:tcBorders>
          </w:tcPr>
          <w:p>
            <w:pPr>
              <w:pStyle w:val="Normal"/>
              <w:jc w:val="end"/>
              <w:rPr>
                <w:rFonts w:ascii="Arial" w:hAnsi="Arial" w:cs="Arial"/>
                <w:color w:val="000000"/>
                <w:sz w:val="16"/>
              </w:rPr>
            </w:pPr>
            <w:r>
              <w:rPr>
                <w:rFonts w:eastAsia="Arial" w:cs="Arial" w:ascii="Arial" w:hAnsi="Arial"/>
                <w:color w:val="000000"/>
                <w:sz w:val="16"/>
              </w:rPr>
              <w:t xml:space="preserve">          </w:t>
            </w:r>
            <w:r>
              <w:rPr>
                <w:rFonts w:cs="Arial" w:ascii="Arial" w:hAnsi="Arial"/>
                <w:color w:val="000000"/>
                <w:sz w:val="16"/>
              </w:rPr>
              <w:t xml:space="preserve">110,592 </w:t>
            </w:r>
          </w:p>
        </w:tc>
      </w:tr>
      <w:tr>
        <w:trPr>
          <w:trHeight w:val="245" w:hRule="atLeast"/>
        </w:trPr>
        <w:tc>
          <w:tcPr>
            <w:tcW w:w="773" w:type="dxa"/>
            <w:tcBorders>
              <w:start w:val="single" w:sz="6" w:space="0" w:color="000000"/>
            </w:tcBorders>
          </w:tcPr>
          <w:p>
            <w:pPr>
              <w:pStyle w:val="Normal"/>
              <w:jc w:val="end"/>
              <w:rPr>
                <w:rFonts w:ascii="Arial" w:hAnsi="Arial" w:cs="Arial"/>
                <w:color w:val="000000"/>
                <w:sz w:val="16"/>
              </w:rPr>
            </w:pPr>
            <w:r>
              <w:rPr>
                <w:rFonts w:cs="Arial" w:ascii="Arial" w:hAnsi="Arial"/>
                <w:color w:val="000000"/>
                <w:sz w:val="16"/>
              </w:rPr>
              <w:t>Dec-01</w:t>
            </w:r>
          </w:p>
        </w:tc>
        <w:tc>
          <w:tcPr>
            <w:tcW w:w="2712" w:type="dxa"/>
            <w:tcBorders>
              <w:bottom w:val="single" w:sz="6" w:space="0" w:color="000000"/>
            </w:tcBorders>
          </w:tcPr>
          <w:p>
            <w:pPr>
              <w:pStyle w:val="Normal"/>
              <w:rPr>
                <w:rFonts w:ascii="Arial" w:hAnsi="Arial" w:cs="Arial"/>
                <w:color w:val="000000"/>
                <w:sz w:val="16"/>
              </w:rPr>
            </w:pPr>
            <w:r>
              <w:rPr>
                <w:rFonts w:cs="Arial" w:ascii="Arial" w:hAnsi="Arial"/>
                <w:color w:val="000000"/>
                <w:sz w:val="16"/>
              </w:rPr>
              <w:t>Martin County Generation Station</w:t>
            </w:r>
          </w:p>
        </w:tc>
        <w:tc>
          <w:tcPr>
            <w:tcW w:w="1939" w:type="dxa"/>
            <w:tcBorders/>
          </w:tcPr>
          <w:p>
            <w:pPr>
              <w:pStyle w:val="Normal"/>
              <w:jc w:val="end"/>
              <w:rPr>
                <w:rFonts w:ascii="Arial" w:hAnsi="Arial" w:cs="Arial"/>
                <w:color w:val="000000"/>
                <w:sz w:val="16"/>
              </w:rPr>
            </w:pPr>
            <w:r>
              <w:rPr>
                <w:rFonts w:eastAsia="Arial" w:cs="Arial" w:ascii="Arial" w:hAnsi="Arial"/>
                <w:color w:val="000000"/>
                <w:sz w:val="16"/>
              </w:rPr>
              <w:t xml:space="preserve">                                </w:t>
            </w:r>
            <w:r>
              <w:rPr>
                <w:rFonts w:cs="Arial" w:ascii="Arial" w:hAnsi="Arial"/>
                <w:color w:val="000000"/>
                <w:sz w:val="16"/>
              </w:rPr>
              <w:t xml:space="preserve">170 </w:t>
            </w:r>
          </w:p>
        </w:tc>
        <w:tc>
          <w:tcPr>
            <w:tcW w:w="1214" w:type="dxa"/>
            <w:tcBorders>
              <w:end w:val="single" w:sz="6" w:space="0" w:color="000000"/>
            </w:tcBorders>
          </w:tcPr>
          <w:p>
            <w:pPr>
              <w:pStyle w:val="Normal"/>
              <w:jc w:val="end"/>
              <w:rPr>
                <w:rFonts w:ascii="Arial" w:hAnsi="Arial" w:cs="Arial"/>
                <w:color w:val="000000"/>
                <w:sz w:val="16"/>
              </w:rPr>
            </w:pPr>
            <w:r>
              <w:rPr>
                <w:rFonts w:eastAsia="Arial" w:cs="Arial" w:ascii="Arial" w:hAnsi="Arial"/>
                <w:color w:val="000000"/>
                <w:sz w:val="16"/>
              </w:rPr>
              <w:t xml:space="preserve">            </w:t>
            </w:r>
            <w:r>
              <w:rPr>
                <w:rFonts w:cs="Arial" w:ascii="Arial" w:hAnsi="Arial"/>
                <w:color w:val="000000"/>
                <w:sz w:val="16"/>
              </w:rPr>
              <w:t xml:space="preserve">39,168 </w:t>
            </w:r>
          </w:p>
        </w:tc>
      </w:tr>
      <w:tr>
        <w:trPr>
          <w:trHeight w:val="245" w:hRule="atLeast"/>
        </w:trPr>
        <w:tc>
          <w:tcPr>
            <w:tcW w:w="773" w:type="dxa"/>
            <w:tcBorders>
              <w:top w:val="single" w:sz="6" w:space="0" w:color="000000"/>
              <w:start w:val="single" w:sz="6" w:space="0" w:color="000000"/>
              <w:bottom w:val="single" w:sz="6" w:space="0" w:color="000000"/>
            </w:tcBorders>
          </w:tcPr>
          <w:p>
            <w:pPr>
              <w:pStyle w:val="Normal"/>
              <w:snapToGrid w:val="false"/>
              <w:jc w:val="end"/>
              <w:rPr>
                <w:rFonts w:ascii="Arial" w:hAnsi="Arial" w:cs="Arial"/>
                <w:color w:val="000000"/>
                <w:sz w:val="16"/>
              </w:rPr>
            </w:pPr>
            <w:r>
              <w:rPr>
                <w:rFonts w:cs="Arial" w:ascii="Arial" w:hAnsi="Arial"/>
                <w:color w:val="000000"/>
                <w:sz w:val="16"/>
              </w:rPr>
            </w:r>
          </w:p>
        </w:tc>
        <w:tc>
          <w:tcPr>
            <w:tcW w:w="2712" w:type="dxa"/>
            <w:tcBorders>
              <w:bottom w:val="single" w:sz="6" w:space="0" w:color="000000"/>
            </w:tcBorders>
          </w:tcPr>
          <w:p>
            <w:pPr>
              <w:pStyle w:val="Normal"/>
              <w:rPr>
                <w:rFonts w:ascii="Arial" w:hAnsi="Arial" w:cs="Arial"/>
                <w:b/>
                <w:color w:val="000000"/>
                <w:sz w:val="16"/>
              </w:rPr>
            </w:pPr>
            <w:r>
              <w:rPr>
                <w:rFonts w:cs="Arial" w:ascii="Arial" w:hAnsi="Arial"/>
                <w:b/>
                <w:color w:val="000000"/>
                <w:sz w:val="16"/>
              </w:rPr>
              <w:t>Total 2001</w:t>
            </w:r>
          </w:p>
        </w:tc>
        <w:tc>
          <w:tcPr>
            <w:tcW w:w="1939" w:type="dxa"/>
            <w:tcBorders>
              <w:top w:val="single" w:sz="6" w:space="0" w:color="000000"/>
              <w:bottom w:val="single" w:sz="6" w:space="0" w:color="000000"/>
            </w:tcBorders>
          </w:tcPr>
          <w:p>
            <w:pPr>
              <w:pStyle w:val="Normal"/>
              <w:jc w:val="end"/>
              <w:rPr>
                <w:rFonts w:ascii="Arial" w:hAnsi="Arial" w:cs="Arial"/>
                <w:b/>
                <w:color w:val="000000"/>
                <w:sz w:val="16"/>
              </w:rPr>
            </w:pPr>
            <w:r>
              <w:rPr>
                <w:rFonts w:eastAsia="Arial" w:cs="Arial" w:ascii="Arial" w:hAnsi="Arial"/>
                <w:b/>
                <w:color w:val="000000"/>
                <w:sz w:val="16"/>
              </w:rPr>
              <w:t xml:space="preserve">                             </w:t>
            </w:r>
            <w:r>
              <w:rPr>
                <w:rFonts w:cs="Arial" w:ascii="Arial" w:hAnsi="Arial"/>
                <w:b/>
                <w:color w:val="000000"/>
                <w:sz w:val="16"/>
              </w:rPr>
              <w:t xml:space="preserve">3,552 </w:t>
            </w:r>
          </w:p>
        </w:tc>
        <w:tc>
          <w:tcPr>
            <w:tcW w:w="1214" w:type="dxa"/>
            <w:tcBorders>
              <w:top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eastAsia="Arial" w:cs="Arial" w:ascii="Arial" w:hAnsi="Arial"/>
                <w:b/>
                <w:color w:val="000000"/>
                <w:sz w:val="16"/>
              </w:rPr>
              <w:t xml:space="preserve">          </w:t>
            </w:r>
            <w:r>
              <w:rPr>
                <w:rFonts w:cs="Arial" w:ascii="Arial" w:hAnsi="Arial"/>
                <w:b/>
                <w:color w:val="000000"/>
                <w:sz w:val="16"/>
              </w:rPr>
              <w:t xml:space="preserve">818,382 </w:t>
            </w:r>
          </w:p>
        </w:tc>
      </w:tr>
      <w:tr>
        <w:trPr>
          <w:trHeight w:val="230" w:hRule="atLeast"/>
        </w:trPr>
        <w:tc>
          <w:tcPr>
            <w:tcW w:w="773" w:type="dxa"/>
            <w:tcBorders>
              <w:start w:val="single" w:sz="6" w:space="0" w:color="000000"/>
            </w:tcBorders>
          </w:tcPr>
          <w:p>
            <w:pPr>
              <w:pStyle w:val="Normal"/>
              <w:snapToGrid w:val="false"/>
              <w:jc w:val="end"/>
              <w:rPr>
                <w:rFonts w:ascii="Arial" w:hAnsi="Arial" w:cs="Arial"/>
                <w:b/>
                <w:color w:val="000000"/>
                <w:sz w:val="16"/>
              </w:rPr>
            </w:pPr>
            <w:r>
              <w:rPr>
                <w:rFonts w:cs="Arial" w:ascii="Arial" w:hAnsi="Arial"/>
                <w:b/>
                <w:color w:val="000000"/>
                <w:sz w:val="16"/>
              </w:rPr>
            </w:r>
          </w:p>
        </w:tc>
        <w:tc>
          <w:tcPr>
            <w:tcW w:w="2712" w:type="dxa"/>
            <w:tcBorders/>
          </w:tcPr>
          <w:p>
            <w:pPr>
              <w:pStyle w:val="Normal"/>
              <w:snapToGrid w:val="false"/>
              <w:jc w:val="end"/>
              <w:rPr>
                <w:rFonts w:ascii="Arial" w:hAnsi="Arial" w:cs="Arial"/>
                <w:color w:val="000000"/>
                <w:sz w:val="16"/>
              </w:rPr>
            </w:pPr>
            <w:r>
              <w:rPr>
                <w:rFonts w:cs="Arial" w:ascii="Arial" w:hAnsi="Arial"/>
                <w:color w:val="000000"/>
                <w:sz w:val="16"/>
              </w:rPr>
            </w:r>
          </w:p>
        </w:tc>
        <w:tc>
          <w:tcPr>
            <w:tcW w:w="1939" w:type="dxa"/>
            <w:tcBorders/>
          </w:tcPr>
          <w:p>
            <w:pPr>
              <w:pStyle w:val="Normal"/>
              <w:snapToGrid w:val="false"/>
              <w:jc w:val="end"/>
              <w:rPr>
                <w:rFonts w:ascii="Arial" w:hAnsi="Arial" w:cs="Arial"/>
                <w:color w:val="000000"/>
                <w:sz w:val="16"/>
              </w:rPr>
            </w:pPr>
            <w:r>
              <w:rPr>
                <w:rFonts w:cs="Arial" w:ascii="Arial" w:hAnsi="Arial"/>
                <w:color w:val="000000"/>
                <w:sz w:val="16"/>
              </w:rPr>
            </w:r>
          </w:p>
        </w:tc>
        <w:tc>
          <w:tcPr>
            <w:tcW w:w="1214" w:type="dxa"/>
            <w:tcBorders>
              <w:end w:val="single" w:sz="6" w:space="0" w:color="000000"/>
            </w:tcBorders>
          </w:tcPr>
          <w:p>
            <w:pPr>
              <w:pStyle w:val="Normal"/>
              <w:snapToGrid w:val="false"/>
              <w:jc w:val="end"/>
              <w:rPr>
                <w:rFonts w:ascii="Arial" w:hAnsi="Arial" w:cs="Arial"/>
                <w:color w:val="000000"/>
                <w:sz w:val="16"/>
              </w:rPr>
            </w:pPr>
            <w:r>
              <w:rPr>
                <w:rFonts w:cs="Arial" w:ascii="Arial" w:hAnsi="Arial"/>
                <w:color w:val="000000"/>
                <w:sz w:val="16"/>
              </w:rPr>
            </w:r>
          </w:p>
        </w:tc>
      </w:tr>
      <w:tr>
        <w:trPr>
          <w:trHeight w:val="230" w:hRule="atLeast"/>
        </w:trPr>
        <w:tc>
          <w:tcPr>
            <w:tcW w:w="773" w:type="dxa"/>
            <w:tcBorders>
              <w:start w:val="single" w:sz="6" w:space="0" w:color="000000"/>
              <w:bottom w:val="single" w:sz="6" w:space="0" w:color="000000"/>
            </w:tcBorders>
          </w:tcPr>
          <w:p>
            <w:pPr>
              <w:pStyle w:val="Normal"/>
              <w:snapToGrid w:val="false"/>
              <w:jc w:val="end"/>
              <w:rPr>
                <w:rFonts w:ascii="Arial" w:hAnsi="Arial" w:cs="Arial"/>
                <w:color w:val="000000"/>
                <w:sz w:val="16"/>
              </w:rPr>
            </w:pPr>
            <w:r>
              <w:rPr>
                <w:rFonts w:cs="Arial" w:ascii="Arial" w:hAnsi="Arial"/>
                <w:color w:val="000000"/>
                <w:sz w:val="16"/>
              </w:rPr>
            </w:r>
          </w:p>
        </w:tc>
        <w:tc>
          <w:tcPr>
            <w:tcW w:w="2712" w:type="dxa"/>
            <w:tcBorders>
              <w:bottom w:val="single" w:sz="6" w:space="0" w:color="000000"/>
            </w:tcBorders>
          </w:tcPr>
          <w:p>
            <w:pPr>
              <w:pStyle w:val="Normal"/>
              <w:rPr>
                <w:rFonts w:ascii="Arial" w:hAnsi="Arial" w:cs="Arial"/>
                <w:b/>
                <w:i/>
                <w:i/>
                <w:color w:val="000000"/>
                <w:sz w:val="16"/>
              </w:rPr>
            </w:pPr>
            <w:r>
              <w:rPr>
                <w:rFonts w:cs="Arial" w:ascii="Arial" w:hAnsi="Arial"/>
                <w:b/>
                <w:i/>
                <w:color w:val="000000"/>
                <w:sz w:val="16"/>
              </w:rPr>
              <w:t>Projected 2002 (27 Plants)</w:t>
            </w:r>
          </w:p>
        </w:tc>
        <w:tc>
          <w:tcPr>
            <w:tcW w:w="1939" w:type="dxa"/>
            <w:tcBorders>
              <w:bottom w:val="single" w:sz="6" w:space="0" w:color="000000"/>
            </w:tcBorders>
          </w:tcPr>
          <w:p>
            <w:pPr>
              <w:pStyle w:val="Normal"/>
              <w:jc w:val="end"/>
              <w:rPr>
                <w:rFonts w:ascii="Arial" w:hAnsi="Arial" w:cs="Arial"/>
                <w:b/>
                <w:i/>
                <w:i/>
                <w:color w:val="000000"/>
                <w:sz w:val="16"/>
              </w:rPr>
            </w:pPr>
            <w:r>
              <w:rPr>
                <w:rFonts w:cs="Arial" w:ascii="Arial" w:hAnsi="Arial"/>
                <w:b/>
                <w:i/>
                <w:color w:val="000000"/>
                <w:sz w:val="16"/>
              </w:rPr>
              <w:t>7,515</w:t>
            </w:r>
          </w:p>
        </w:tc>
        <w:tc>
          <w:tcPr>
            <w:tcW w:w="1214" w:type="dxa"/>
            <w:tcBorders>
              <w:bottom w:val="single" w:sz="6" w:space="0" w:color="000000"/>
              <w:end w:val="single" w:sz="6" w:space="0" w:color="000000"/>
            </w:tcBorders>
          </w:tcPr>
          <w:p>
            <w:pPr>
              <w:pStyle w:val="Normal"/>
              <w:jc w:val="end"/>
              <w:rPr>
                <w:rFonts w:ascii="Arial" w:hAnsi="Arial" w:cs="Arial"/>
                <w:b/>
                <w:i/>
                <w:i/>
                <w:color w:val="000000"/>
                <w:sz w:val="16"/>
              </w:rPr>
            </w:pPr>
            <w:r>
              <w:rPr>
                <w:rFonts w:cs="Arial" w:ascii="Arial" w:hAnsi="Arial"/>
                <w:b/>
                <w:i/>
                <w:color w:val="000000"/>
                <w:sz w:val="16"/>
              </w:rPr>
              <w:t>1,541,786</w:t>
            </w:r>
          </w:p>
        </w:tc>
      </w:tr>
    </w:tbl>
    <w:p>
      <w:pPr>
        <w:pStyle w:val="Normal"/>
        <w:ind w:firstLine="720" w:end="0"/>
        <w:rPr>
          <w:sz w:val="24"/>
        </w:rPr>
      </w:pPr>
      <w:r>
        <w:rPr>
          <w:sz w:val="24"/>
        </w:rPr>
      </w:r>
    </w:p>
    <w:p>
      <w:pPr>
        <w:pStyle w:val="Normal"/>
        <w:ind w:firstLine="720" w:end="0"/>
        <w:rPr>
          <w:sz w:val="24"/>
        </w:rPr>
      </w:pPr>
      <w:r>
        <w:rPr>
          <w:sz w:val="24"/>
        </w:rPr>
        <w:t>Taking into account the fact that most of the planned generation capacity coming online in upcoming years is natural gas fired, the importance of sufficient natural gas supplies in the future cannot be underestimated.</w:t>
      </w:r>
    </w:p>
    <w:p>
      <w:pPr>
        <w:pStyle w:val="Normal"/>
        <w:rPr>
          <w:sz w:val="24"/>
        </w:rPr>
      </w:pPr>
      <w:r>
        <w:rPr>
          <w:sz w:val="24"/>
        </w:rPr>
      </w:r>
    </w:p>
    <w:p>
      <w:pPr>
        <w:pStyle w:val="Normal"/>
        <w:numPr>
          <w:ilvl w:val="0"/>
          <w:numId w:val="0"/>
        </w:numPr>
        <w:ind w:firstLine="720" w:end="0"/>
        <w:outlineLvl w:val="0"/>
        <w:rPr>
          <w:sz w:val="24"/>
          <w:u w:val="single"/>
        </w:rPr>
      </w:pPr>
      <w:r>
        <w:rPr>
          <w:sz w:val="24"/>
          <w:u w:val="single"/>
        </w:rPr>
        <w:t>Florida natural gas transmission infrastructure</w:t>
      </w:r>
    </w:p>
    <w:p>
      <w:pPr>
        <w:pStyle w:val="Normal"/>
        <w:ind w:firstLine="720" w:end="0"/>
        <w:rPr>
          <w:sz w:val="24"/>
        </w:rPr>
      </w:pPr>
      <w:r>
        <w:rPr>
          <w:sz w:val="24"/>
        </w:rPr>
        <w:t>One of the major concerns with regard to the Florida energy market is whether current pipeline infrastructure will be able to meet the growing demand for natural gas.</w:t>
      </w:r>
    </w:p>
    <w:p>
      <w:pPr>
        <w:pStyle w:val="BodyText"/>
        <w:rPr/>
      </w:pPr>
      <w:r>
        <w:rPr/>
        <w:t xml:space="preserve">Current natural gas transmission capabilities into Florida are limited to Florida Gas Transmission pipeline (FGT).  FGT flows natural gas from South Texas and Louisiana, through Mississippi and Alabama, into Florida.   Pipeline capacity along FGT varies due to market demand and pipeline issues such as maintenance and operational constraints.  During the peak load summer season, FGT lists their available capacity at 1.575 BCF/d.  This represents the maximum that FGT will release for scheduling purposes.  As demand decreases during the winter months, FGT takes the opportunity to perform yearly maintenance and remedy any other issues that the pipeline anticipates.  During the winter season, available pipeline capacity in the Florida market zone drops to approximately 1.45 BCF/d. </w:t>
      </w:r>
    </w:p>
    <w:p>
      <w:pPr>
        <w:pStyle w:val="Normal"/>
        <w:ind w:firstLine="720" w:end="0"/>
        <w:jc w:val="center"/>
        <w:rPr>
          <w:sz w:val="24"/>
        </w:rPr>
      </w:pPr>
      <w:r>
        <w:rPr>
          <w:sz w:val="24"/>
        </w:rPr>
        <w:drawing>
          <wp:inline distT="0" distB="0" distL="0" distR="0">
            <wp:extent cx="4086225" cy="2714625"/>
            <wp:effectExtent l="0" t="0" r="0" b="0"/>
            <wp:docPr id="1" name="map"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 descr="" title=""/>
                    <pic:cNvPicPr>
                      <a:picLocks noChangeAspect="1" noChangeArrowheads="1"/>
                    </pic:cNvPicPr>
                  </pic:nvPicPr>
                  <pic:blipFill>
                    <a:blip r:embed="rId10"/>
                    <a:srcRect l="-9" t="-13" r="-9" b="-13"/>
                    <a:stretch>
                      <a:fillRect/>
                    </a:stretch>
                  </pic:blipFill>
                  <pic:spPr bwMode="auto">
                    <a:xfrm>
                      <a:off x="0" y="0"/>
                      <a:ext cx="4086225" cy="2714625"/>
                    </a:xfrm>
                    <a:prstGeom prst="rect">
                      <a:avLst/>
                    </a:prstGeom>
                    <a:noFill/>
                  </pic:spPr>
                </pic:pic>
              </a:graphicData>
            </a:graphic>
          </wp:inline>
        </w:drawing>
      </w:r>
      <w:r>
        <mc:AlternateContent>
          <mc:Choice Requires="wps">
            <w:drawing>
              <wp:anchor behindDoc="0" distT="0" distB="0" distL="114935" distR="114935" simplePos="0" locked="0" layoutInCell="1" allowOverlap="1" relativeHeight="4">
                <wp:simplePos x="0" y="0"/>
                <wp:positionH relativeFrom="column">
                  <wp:posOffset>1532890</wp:posOffset>
                </wp:positionH>
                <wp:positionV relativeFrom="paragraph">
                  <wp:posOffset>1133475</wp:posOffset>
                </wp:positionV>
                <wp:extent cx="374650" cy="307975"/>
                <wp:effectExtent l="0" t="0" r="0" b="0"/>
                <wp:wrapNone/>
                <wp:docPr id="2" name="Frame1"/>
                <a:graphic xmlns:a="http://schemas.openxmlformats.org/drawingml/2006/main">
                  <a:graphicData uri="http://schemas.microsoft.com/office/word/2010/wordprocessingShape">
                    <wps:wsp>
                      <wps:cNvSpPr txBox="1"/>
                      <wps:spPr>
                        <a:xfrm>
                          <a:off x="0" y="0"/>
                          <a:ext cx="374650" cy="307975"/>
                        </a:xfrm>
                        <a:prstGeom prst="rect"/>
                        <a:solidFill>
                          <a:srgbClr val="FFFFFF"/>
                        </a:solidFill>
                        <a:ln w="9525">
                          <a:solidFill>
                            <a:srgbClr val="000000"/>
                          </a:solidFill>
                        </a:ln>
                      </wps:spPr>
                      <wps:txbx>
                        <w:txbxContent>
                          <w:p>
                            <w:pPr>
                              <w:pStyle w:val="Normal"/>
                              <w:rPr/>
                            </w:pPr>
                            <w:r>
                              <w:rPr/>
                              <w:t>TX</w:t>
                            </w:r>
                          </w:p>
                        </w:txbxContent>
                      </wps:txbx>
                      <wps:bodyPr anchor="t" lIns="91440" tIns="45720" rIns="91440" bIns="45720">
                        <a:noAutofit/>
                      </wps:bodyPr>
                    </wps:wsp>
                  </a:graphicData>
                </a:graphic>
              </wp:anchor>
            </w:drawing>
          </mc:Choice>
          <mc:Fallback>
            <w:pict>
              <v:rect fillcolor="#FFFFFF" strokecolor="#000000" strokeweight="0pt" style="position:absolute;rotation:-0;width:29.5pt;height:24.25pt;mso-wrap-distance-left:9.05pt;mso-wrap-distance-right:9.05pt;mso-wrap-distance-top:0pt;mso-wrap-distance-bottom:0pt;margin-top:89.25pt;mso-position-vertical-relative:text;margin-left:120.7pt;mso-position-horizontal-relative:text">
                <v:textbox>
                  <w:txbxContent>
                    <w:p>
                      <w:pPr>
                        <w:pStyle w:val="Normal"/>
                        <w:rPr/>
                      </w:pPr>
                      <w:r>
                        <w:rPr/>
                        <w:t>TX</w:t>
                      </w:r>
                    </w:p>
                  </w:txbxContent>
                </v:textbox>
                <w10:wrap type="none"/>
              </v:rect>
            </w:pict>
          </mc:Fallback>
        </mc:AlternateContent>
      </w:r>
      <w:r>
        <mc:AlternateContent>
          <mc:Choice Requires="wps">
            <w:drawing>
              <wp:anchor behindDoc="0" distT="0" distB="0" distL="114935" distR="114935" simplePos="0" locked="0" layoutInCell="1" allowOverlap="1" relativeHeight="5">
                <wp:simplePos x="0" y="0"/>
                <wp:positionH relativeFrom="column">
                  <wp:posOffset>3247390</wp:posOffset>
                </wp:positionH>
                <wp:positionV relativeFrom="paragraph">
                  <wp:posOffset>904875</wp:posOffset>
                </wp:positionV>
                <wp:extent cx="374650" cy="283210"/>
                <wp:effectExtent l="0" t="0" r="0" b="0"/>
                <wp:wrapNone/>
                <wp:docPr id="3" name="Frame2"/>
                <a:graphic xmlns:a="http://schemas.openxmlformats.org/drawingml/2006/main">
                  <a:graphicData uri="http://schemas.microsoft.com/office/word/2010/wordprocessingShape">
                    <wps:wsp>
                      <wps:cNvSpPr txBox="1"/>
                      <wps:spPr>
                        <a:xfrm>
                          <a:off x="0" y="0"/>
                          <a:ext cx="374650" cy="283210"/>
                        </a:xfrm>
                        <a:prstGeom prst="rect"/>
                        <a:solidFill>
                          <a:srgbClr val="FFFFFF"/>
                        </a:solidFill>
                        <a:ln w="9525">
                          <a:solidFill>
                            <a:srgbClr val="000000"/>
                          </a:solidFill>
                        </a:ln>
                      </wps:spPr>
                      <wps:txbx>
                        <w:txbxContent>
                          <w:p>
                            <w:pPr>
                              <w:pStyle w:val="Normal"/>
                              <w:rPr/>
                            </w:pPr>
                            <w:r>
                              <w:rPr/>
                              <w:t>AL</w:t>
                            </w:r>
                          </w:p>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29.5pt;height:22.3pt;mso-wrap-distance-left:9.05pt;mso-wrap-distance-right:9.05pt;mso-wrap-distance-top:0pt;mso-wrap-distance-bottom:0pt;margin-top:71.25pt;mso-position-vertical-relative:text;margin-left:255.7pt;mso-position-horizontal-relative:text">
                <v:textbox>
                  <w:txbxContent>
                    <w:p>
                      <w:pPr>
                        <w:pStyle w:val="Normal"/>
                        <w:rPr/>
                      </w:pPr>
                      <w:r>
                        <w:rPr/>
                        <w:t>AL</w:t>
                      </w:r>
                    </w:p>
                    <w:p>
                      <w:pPr>
                        <w:pStyle w:val="Normal"/>
                        <w:rPr/>
                      </w:pPr>
                      <w:r>
                        <w:rPr/>
                      </w:r>
                    </w:p>
                  </w:txbxContent>
                </v:textbox>
                <w10:wrap type="none"/>
              </v:rect>
            </w:pict>
          </mc:Fallback>
        </mc:AlternateContent>
      </w:r>
      <w:r>
        <mc:AlternateContent>
          <mc:Choice Requires="wps">
            <w:drawing>
              <wp:anchor behindDoc="0" distT="0" distB="0" distL="114935" distR="114935" simplePos="0" locked="0" layoutInCell="1" allowOverlap="1" relativeHeight="6">
                <wp:simplePos x="0" y="0"/>
                <wp:positionH relativeFrom="column">
                  <wp:posOffset>2104390</wp:posOffset>
                </wp:positionH>
                <wp:positionV relativeFrom="paragraph">
                  <wp:posOffset>904875</wp:posOffset>
                </wp:positionV>
                <wp:extent cx="374650" cy="283210"/>
                <wp:effectExtent l="0" t="0" r="0" b="0"/>
                <wp:wrapNone/>
                <wp:docPr id="4" name="Frame3"/>
                <a:graphic xmlns:a="http://schemas.openxmlformats.org/drawingml/2006/main">
                  <a:graphicData uri="http://schemas.microsoft.com/office/word/2010/wordprocessingShape">
                    <wps:wsp>
                      <wps:cNvSpPr txBox="1"/>
                      <wps:spPr>
                        <a:xfrm>
                          <a:off x="0" y="0"/>
                          <a:ext cx="374650" cy="283210"/>
                        </a:xfrm>
                        <a:prstGeom prst="rect"/>
                        <a:solidFill>
                          <a:srgbClr val="FFFFFF"/>
                        </a:solidFill>
                        <a:ln w="9525">
                          <a:solidFill>
                            <a:srgbClr val="000000"/>
                          </a:solidFill>
                        </a:ln>
                      </wps:spPr>
                      <wps:txbx>
                        <w:txbxContent>
                          <w:p>
                            <w:pPr>
                              <w:pStyle w:val="Normal"/>
                              <w:rPr/>
                            </w:pPr>
                            <w:r>
                              <w:rPr/>
                              <w:t>LA</w:t>
                            </w:r>
                          </w:p>
                        </w:txbxContent>
                      </wps:txbx>
                      <wps:bodyPr anchor="t" lIns="91440" tIns="45720" rIns="91440" bIns="45720">
                        <a:noAutofit/>
                      </wps:bodyPr>
                    </wps:wsp>
                  </a:graphicData>
                </a:graphic>
              </wp:anchor>
            </w:drawing>
          </mc:Choice>
          <mc:Fallback>
            <w:pict>
              <v:rect fillcolor="#FFFFFF" strokecolor="#000000" strokeweight="0pt" style="position:absolute;rotation:-0;width:29.5pt;height:22.3pt;mso-wrap-distance-left:9.05pt;mso-wrap-distance-right:9.05pt;mso-wrap-distance-top:0pt;mso-wrap-distance-bottom:0pt;margin-top:71.25pt;mso-position-vertical-relative:text;margin-left:165.7pt;mso-position-horizontal-relative:text">
                <v:textbox>
                  <w:txbxContent>
                    <w:p>
                      <w:pPr>
                        <w:pStyle w:val="Normal"/>
                        <w:rPr/>
                      </w:pPr>
                      <w:r>
                        <w:rPr/>
                        <w:t>LA</w:t>
                      </w:r>
                    </w:p>
                  </w:txbxContent>
                </v:textbox>
                <w10:wrap type="none"/>
              </v:rect>
            </w:pict>
          </mc:Fallback>
        </mc:AlternateContent>
      </w:r>
    </w:p>
    <w:p>
      <w:pPr>
        <w:pStyle w:val="Normal"/>
        <w:numPr>
          <w:ilvl w:val="0"/>
          <w:numId w:val="0"/>
        </w:numPr>
        <w:ind w:firstLine="720" w:end="0"/>
        <w:outlineLvl w:val="0"/>
        <w:rPr>
          <w:sz w:val="24"/>
        </w:rPr>
      </w:pPr>
      <w:r>
        <w:object w:dxaOrig="7680" w:dyaOrig="4097">
          <v:shapetype id="_x0000_tole_rId11" coordsize="21600,21600" o:spt="ole_rId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 type="_x0000_tole_rId11" style="position:absolute;margin-left:25.2pt;margin-top:46.85pt;width:360pt;height:201.3pt;mso-wrap-distance-left:9.05pt;mso-wrap-distance-right:9.05pt;mso-position-horizontal-relative:text;mso-position-vertical-relative:text" filled="f" o:ole="">
            <v:imagedata r:id="rId12" o:title=""/>
            <w10:wrap type="topAndBottom"/>
          </v:shape>
          <o:OLEObject Type="Embed" ProgID="Excel.Sheet.12" ShapeID="ole_rId11" DrawAspect="Content" ObjectID="_1814175243" r:id="rId11"/>
        </w:object>
      </w:r>
      <w:r>
        <w:rPr>
          <w:sz w:val="24"/>
        </w:rPr>
        <w:t>Although current FGT capacity is not enough to meet the peaking summer demand for natural gas, the pipeline is working on two expansion projects.</w:t>
      </w:r>
    </w:p>
    <w:p>
      <w:pPr>
        <w:pStyle w:val="Normal"/>
        <w:numPr>
          <w:ilvl w:val="0"/>
          <w:numId w:val="0"/>
        </w:numPr>
        <w:ind w:firstLine="720" w:end="0"/>
        <w:outlineLvl w:val="0"/>
        <w:rPr>
          <w:sz w:val="24"/>
        </w:rPr>
      </w:pPr>
      <w:r>
        <w:rPr>
          <w:sz w:val="24"/>
        </w:rPr>
      </w:r>
    </w:p>
    <w:p>
      <w:pPr>
        <w:pStyle w:val="Normal"/>
        <w:ind w:firstLine="720" w:end="0"/>
        <w:rPr/>
      </w:pPr>
      <w:r>
        <w:rPr>
          <w:sz w:val="24"/>
        </w:rPr>
        <w:t xml:space="preserve">The first project, Phase IV expansion, is going to increase FGT's deliverability into Florida by 0.2 Bcf/day. According to pipeline management, the plan is going as scheduled and will be completed by </w:t>
      </w:r>
      <w:r>
        <w:rPr>
          <w:i/>
          <w:sz w:val="24"/>
        </w:rPr>
        <w:t>05/01/2001.</w:t>
      </w:r>
    </w:p>
    <w:p>
      <w:pPr>
        <w:pStyle w:val="BodyTextIndent"/>
        <w:rPr>
          <w:i/>
          <w:i/>
          <w:sz w:val="24"/>
        </w:rPr>
      </w:pPr>
      <w:r>
        <w:rPr>
          <w:i/>
          <w:sz w:val="24"/>
        </w:rPr>
      </w:r>
    </w:p>
    <w:p>
      <w:pPr>
        <w:pStyle w:val="BodyTextIndent"/>
        <w:rPr/>
      </w:pPr>
      <w:r>
        <w:rPr/>
        <w:t xml:space="preserve">The second project, Phase V expansion, will bring the pipeline’s total deliverability into the Florida market area to 2.2 bcf/day. This project has received preliminary approval from FERC and is to be completed by </w:t>
      </w:r>
      <w:r>
        <w:rPr>
          <w:i/>
        </w:rPr>
        <w:t>04/01/2002.</w:t>
      </w:r>
    </w:p>
    <w:p>
      <w:pPr>
        <w:pStyle w:val="BodyTextIndent"/>
        <w:rPr/>
      </w:pPr>
      <w:r>
        <w:rPr/>
      </w:r>
    </w:p>
    <w:p>
      <w:pPr>
        <w:pStyle w:val="BodyTextIndent"/>
        <w:rPr/>
      </w:pPr>
      <w:r>
        <w:rPr/>
        <w:t xml:space="preserve">In addition to Florida Gas Transmission's expansion plans, there were competing pipeline projects to bring gas from Alabama to Florida: Gulfstream , Buccaneer and Sawgrass pipelines.  </w:t>
      </w:r>
    </w:p>
    <w:p>
      <w:pPr>
        <w:pStyle w:val="BodyTextIndent"/>
        <w:rPr/>
      </w:pPr>
      <w:r>
        <w:rPr/>
      </w:r>
    </w:p>
    <w:p>
      <w:pPr>
        <w:pStyle w:val="BodyTextIndent"/>
        <w:rPr/>
      </w:pPr>
      <w:r>
        <w:rPr/>
        <w:t xml:space="preserve">Sawgrass was to enter Florida through the panhandle and track south to the market area.  This project, however, never saw the light of day.  Several months after initially unveiling the project, on Oct. 28, 1999, Duke announced plans for a joint venture with Williams, creating the Buccaneer pipeline. </w:t>
      </w:r>
    </w:p>
    <w:p>
      <w:pPr>
        <w:pStyle w:val="BodyTextIndent"/>
        <w:rPr/>
      </w:pPr>
      <w:r>
        <w:rPr/>
      </w:r>
    </w:p>
    <w:p>
      <w:pPr>
        <w:pStyle w:val="BodyTextIndent"/>
        <w:rPr/>
      </w:pPr>
      <w:r>
        <w:rPr/>
        <w:t>In the latest shakeout of Florida pipeline projects, Williams and Duke Energy, purchased the Gulfstream Natural Gas System from Coastal. Taking into account that Gulfstream was the most developed project, they scrapped the Buccaneer project, leaving only one pipeline as a potential competitor to the FGT monopoly.</w:t>
      </w:r>
    </w:p>
    <w:p>
      <w:pPr>
        <w:pStyle w:val="BodyTextIndent"/>
        <w:rPr/>
      </w:pPr>
      <w:r>
        <w:rPr/>
      </w:r>
    </w:p>
    <w:p>
      <w:pPr>
        <w:pStyle w:val="BodyTextIndent"/>
        <w:rPr/>
      </w:pPr>
      <w:r>
        <w:drawing>
          <wp:anchor behindDoc="0" distT="0" distB="0" distL="114935" distR="114935" simplePos="0" locked="0" layoutInCell="0" allowOverlap="1" relativeHeight="8">
            <wp:simplePos x="0" y="0"/>
            <wp:positionH relativeFrom="column">
              <wp:posOffset>777240</wp:posOffset>
            </wp:positionH>
            <wp:positionV relativeFrom="paragraph">
              <wp:posOffset>613410</wp:posOffset>
            </wp:positionV>
            <wp:extent cx="3840480" cy="2580005"/>
            <wp:effectExtent l="0" t="0" r="0" b="0"/>
            <wp:wrapTopAndBottom/>
            <wp:docPr id="5"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descr="" title=""/>
                    <pic:cNvPicPr>
                      <a:picLocks noChangeAspect="1" noChangeArrowheads="1"/>
                    </pic:cNvPicPr>
                  </pic:nvPicPr>
                  <pic:blipFill>
                    <a:blip r:embed="rId13"/>
                    <a:srcRect l="-7" t="-12" r="-7" b="-12"/>
                    <a:stretch>
                      <a:fillRect/>
                    </a:stretch>
                  </pic:blipFill>
                  <pic:spPr bwMode="auto">
                    <a:xfrm>
                      <a:off x="0" y="0"/>
                      <a:ext cx="3840480" cy="2580005"/>
                    </a:xfrm>
                    <a:prstGeom prst="rect">
                      <a:avLst/>
                    </a:prstGeom>
                    <a:noFill/>
                  </pic:spPr>
                </pic:pic>
              </a:graphicData>
            </a:graphic>
          </wp:anchor>
        </w:drawing>
      </w:r>
      <w:r>
        <w:rPr/>
        <w:t>Gulfstream is designed to run across the Gulf of Mexico from a point near Mobile, Alabama, coming onshore in the Tampa By area and proceeding east to West Palm Beach.</w:t>
      </w:r>
    </w:p>
    <w:p>
      <w:pPr>
        <w:pStyle w:val="BodyText"/>
        <w:ind w:firstLine="720" w:end="0"/>
        <w:rPr/>
      </w:pPr>
      <w:r>
        <w:rPr/>
      </w:r>
    </w:p>
    <w:p>
      <w:pPr>
        <w:pStyle w:val="BodyText"/>
        <w:ind w:firstLine="720" w:end="0"/>
        <w:rPr/>
      </w:pPr>
      <w:r>
        <w:rPr/>
        <w:t xml:space="preserve">The $1.6 billion Gulstream pipeline project has achieved two key milestones in the FERC approval process: preliminary determination on non-environmental issues and a favorable draft environmental impact statement. It is anticipated that the project will get final FERC approval in first quarter of 2001. </w:t>
      </w:r>
      <w:r>
        <w:rPr>
          <w:i/>
        </w:rPr>
        <w:t>The projected in-service date is June 2002.</w:t>
      </w:r>
      <w:r>
        <w:rPr/>
        <w:t xml:space="preserve"> Gulfstream has precedent agreements with 10 large Florida utilities and power-generation facilities representing long-term commitments for the majority of its 1.1 billion cubic feet of natural gas per day capacity. Gulfstream's proposed 744-mile pipeline is designed to primarily serve Florida utilities and power-generation facilities that plan on using high-efficiency, natural gas turbines to meet the incremental demand for electric energy.  If all projects go as scheduled, the total natural gas deliverability into Florida will reach a summer capacity of 1.775 Bcf/day by May 2001, 2.2 Bcf/day by April 2002 and 3.3 bcf/day by June 2002. </w:t>
      </w:r>
    </w:p>
    <w:p>
      <w:pPr>
        <w:pStyle w:val="BodyText"/>
        <w:rPr>
          <w:sz w:val="20"/>
        </w:rPr>
      </w:pPr>
      <w:r>
        <w:rPr>
          <w:sz w:val="20"/>
        </w:rPr>
      </w:r>
    </w:p>
    <w:p>
      <w:pPr>
        <w:pStyle w:val="BodyText"/>
        <w:rPr>
          <w:u w:val="single"/>
        </w:rPr>
      </w:pPr>
      <w:r>
        <w:rPr>
          <w:u w:val="single"/>
        </w:rPr>
        <w:t>Conclusion</w:t>
      </w:r>
    </w:p>
    <w:p>
      <w:pPr>
        <w:pStyle w:val="BodyText"/>
        <w:ind w:firstLine="720" w:end="0"/>
        <w:rPr/>
      </w:pPr>
      <w:r>
        <w:rPr/>
        <w:t>In the event of severe natural gas shortages, or market conditions where natural gas is the most expensive fuel, Florida's electric utilities use heating and residual oil. Due to Florida’s proximity to the Gulf Coast and other regions with significant heating oil reserves, currently there is not a heating oil deliverability problem into Florida.  According to the traders at EGM, the availability of heating oil and residual fuel oil from the Gulf Coast as well as overseas markets (Venezuela) present the Florida utilities with fuel switching options in case of natural gas shortages.  However, the supplies of heating oil will be severely impacted in the event of extended cold weather in Europe.  Therefore it will be necessary to monitor the European weather forecast in order to predict potential heating oil supply constraints in Florida this winter.</w:t>
      </w:r>
    </w:p>
    <w:p>
      <w:pPr>
        <w:pStyle w:val="BodyText"/>
        <w:ind w:firstLine="720" w:end="0"/>
        <w:rPr>
          <w:i/>
          <w:i/>
        </w:rPr>
      </w:pPr>
      <w:r>
        <w:rPr>
          <w:i/>
        </w:rPr>
      </w:r>
    </w:p>
    <w:p>
      <w:pPr>
        <w:pStyle w:val="BodyText"/>
        <w:ind w:firstLine="720" w:end="0"/>
        <w:rPr/>
      </w:pPr>
      <w:r>
        <w:rPr/>
        <w:t>The following chart illustrates the scenario in which gas prices fall below both heating and residual oil, and switching exclusively to natural gas occurs.  It is important to note that this situation assumes that all gas-fired units are generating power twenty- four hours a day, seven days a week.  The analysis includes new plant burns as well as pipeline expansion for Jan 2001 – Dec 2002.</w:t>
      </w:r>
    </w:p>
    <w:p>
      <w:pPr>
        <w:pStyle w:val="BodyText"/>
        <w:ind w:firstLine="720" w:end="0"/>
        <w:rPr/>
      </w:pPr>
      <w:r>
        <w:rPr/>
      </w:r>
    </w:p>
    <w:p>
      <w:pPr>
        <w:pStyle w:val="BodyText"/>
        <w:ind w:firstLine="720" w:end="0"/>
        <w:rPr/>
      </w:pPr>
      <w:r>
        <w:rPr/>
      </w:r>
    </w:p>
    <w:p>
      <w:pPr>
        <w:pStyle w:val="BodyText"/>
        <w:ind w:firstLine="720" w:end="0"/>
        <w:rPr/>
      </w:pPr>
      <w:r>
        <w:rPr/>
      </w:r>
    </w:p>
    <w:p>
      <w:pPr>
        <w:pStyle w:val="BodyText"/>
        <w:ind w:firstLine="720" w:end="0"/>
        <w:rPr/>
      </w:pPr>
      <w:r>
        <w:rPr/>
      </w:r>
    </w:p>
    <w:p>
      <w:pPr>
        <w:pStyle w:val="BodyText"/>
        <w:ind w:firstLine="720" w:end="0"/>
        <w:rPr/>
      </w:pPr>
      <w:r>
        <w:rPr/>
      </w:r>
    </w:p>
    <w:p>
      <w:pPr>
        <w:pStyle w:val="BodyText"/>
        <w:ind w:firstLine="720" w:end="0"/>
        <w:rPr/>
      </w:pPr>
      <w:r>
        <w:rPr/>
      </w:r>
    </w:p>
    <w:p>
      <w:pPr>
        <w:pStyle w:val="BodyText"/>
        <w:ind w:firstLine="720" w:end="0"/>
        <w:rPr/>
      </w:pPr>
      <w:r>
        <w:rPr/>
      </w:r>
    </w:p>
    <w:p>
      <w:pPr>
        <w:pStyle w:val="BodyText"/>
        <w:ind w:firstLine="720" w:end="0"/>
        <w:rPr/>
      </w:pPr>
      <w:r>
        <w:rPr/>
      </w:r>
    </w:p>
    <w:p>
      <w:pPr>
        <w:pStyle w:val="BodyText"/>
        <w:ind w:firstLine="720" w:end="0"/>
        <w:rPr/>
      </w:pPr>
      <w:r>
        <w:rPr/>
      </w:r>
    </w:p>
    <w:p>
      <w:pPr>
        <w:pStyle w:val="BodyText"/>
        <w:ind w:firstLine="720" w:end="0"/>
        <w:rPr/>
      </w:pPr>
      <w:r>
        <w:rPr/>
      </w:r>
    </w:p>
    <w:p>
      <w:pPr>
        <w:pStyle w:val="BodyText"/>
        <w:ind w:firstLine="720" w:end="0"/>
        <w:rPr/>
      </w:pPr>
      <w:r>
        <w:rPr/>
      </w:r>
    </w:p>
    <w:p>
      <w:pPr>
        <w:pStyle w:val="BodyText"/>
        <w:ind w:firstLine="720" w:end="0"/>
        <w:rPr/>
      </w:pPr>
      <w:r>
        <w:rPr/>
      </w:r>
    </w:p>
    <w:p>
      <w:pPr>
        <w:pStyle w:val="BodyText"/>
        <w:ind w:firstLine="720" w:end="0"/>
        <w:rPr/>
      </w:pPr>
      <w:r>
        <w:rPr/>
      </w:r>
    </w:p>
    <w:p>
      <w:pPr>
        <w:pStyle w:val="BodyText"/>
        <w:ind w:firstLine="720" w:end="0"/>
        <w:rPr/>
      </w:pPr>
      <w:r>
        <w:rPr/>
      </w:r>
    </w:p>
    <w:p>
      <w:pPr>
        <w:pStyle w:val="BodyText"/>
        <w:ind w:firstLine="720" w:end="0"/>
        <w:rPr/>
      </w:pPr>
      <w:r>
        <w:rPr/>
      </w:r>
    </w:p>
    <w:p>
      <w:pPr>
        <w:pStyle w:val="BodyText"/>
        <w:ind w:firstLine="720" w:end="0"/>
        <w:rPr/>
      </w:pPr>
      <w:r>
        <w:rPr/>
      </w:r>
    </w:p>
    <w:p>
      <w:pPr>
        <w:pStyle w:val="BodyText"/>
        <w:ind w:firstLine="720" w:end="0"/>
        <w:rPr/>
      </w:pPr>
      <w:r>
        <w:rPr/>
      </w:r>
    </w:p>
    <w:p>
      <w:pPr>
        <w:pStyle w:val="BodyText"/>
        <w:ind w:firstLine="720" w:end="0"/>
        <w:rPr/>
      </w:pPr>
      <w:r>
        <w:rPr/>
      </w:r>
    </w:p>
    <w:p>
      <w:pPr>
        <w:pStyle w:val="BodyText"/>
        <w:ind w:firstLine="720" w:end="0"/>
        <w:rPr/>
      </w:pPr>
      <w:r>
        <w:rPr/>
      </w:r>
    </w:p>
    <w:p>
      <w:pPr>
        <w:pStyle w:val="BodyText"/>
        <w:ind w:firstLine="720" w:end="0"/>
        <w:rPr/>
      </w:pPr>
      <w:r>
        <w:rPr/>
      </w:r>
    </w:p>
    <w:p>
      <w:pPr>
        <w:pStyle w:val="BodyText"/>
        <w:ind w:firstLine="720" w:end="0"/>
        <w:rPr/>
      </w:pPr>
      <w:r>
        <w:rPr/>
      </w:r>
    </w:p>
    <w:tbl>
      <w:tblPr>
        <w:tblW w:w="9322" w:type="dxa"/>
        <w:jc w:val="start"/>
        <w:tblInd w:w="0" w:type="dxa"/>
        <w:tblLayout w:type="fixed"/>
        <w:tblCellMar>
          <w:top w:w="0" w:type="dxa"/>
          <w:start w:w="30" w:type="dxa"/>
          <w:bottom w:w="0" w:type="dxa"/>
          <w:end w:w="30" w:type="dxa"/>
        </w:tblCellMar>
      </w:tblPr>
      <w:tblGrid>
        <w:gridCol w:w="1025"/>
        <w:gridCol w:w="1404"/>
        <w:gridCol w:w="1545"/>
        <w:gridCol w:w="1184"/>
        <w:gridCol w:w="1341"/>
        <w:gridCol w:w="1215"/>
        <w:gridCol w:w="1608"/>
      </w:tblGrid>
      <w:tr>
        <w:trPr>
          <w:trHeight w:val="384" w:hRule="atLeast"/>
        </w:trPr>
        <w:tc>
          <w:tcPr>
            <w:tcW w:w="7714" w:type="dxa"/>
            <w:gridSpan w:val="6"/>
            <w:tcBorders>
              <w:top w:val="single" w:sz="12" w:space="0" w:color="000000"/>
              <w:start w:val="single" w:sz="12" w:space="0" w:color="000000"/>
              <w:bottom w:val="single" w:sz="12" w:space="0" w:color="000000"/>
            </w:tcBorders>
          </w:tcPr>
          <w:p>
            <w:pPr>
              <w:pStyle w:val="Normal"/>
              <w:jc w:val="center"/>
              <w:rPr>
                <w:rFonts w:ascii="Arial" w:hAnsi="Arial" w:cs="Arial"/>
                <w:b/>
                <w:color w:val="000000"/>
                <w:sz w:val="28"/>
              </w:rPr>
            </w:pPr>
            <w:r>
              <w:rPr>
                <w:rFonts w:cs="Arial" w:ascii="Arial" w:hAnsi="Arial"/>
                <w:b/>
                <w:color w:val="000000"/>
                <w:sz w:val="28"/>
              </w:rPr>
              <w:t>Scenario #1 – Natural Gas Cheapest Fuel (Peak Load)</w:t>
            </w:r>
          </w:p>
        </w:tc>
        <w:tc>
          <w:tcPr>
            <w:tcW w:w="1608" w:type="dxa"/>
            <w:tcBorders>
              <w:top w:val="single" w:sz="12" w:space="0" w:color="000000"/>
              <w:bottom w:val="single" w:sz="12" w:space="0" w:color="000000"/>
              <w:end w:val="single" w:sz="12" w:space="0" w:color="000000"/>
            </w:tcBorders>
          </w:tcPr>
          <w:p>
            <w:pPr>
              <w:pStyle w:val="Normal"/>
              <w:snapToGrid w:val="false"/>
              <w:jc w:val="center"/>
              <w:rPr>
                <w:rFonts w:ascii="Arial" w:hAnsi="Arial" w:cs="Arial"/>
                <w:b/>
                <w:color w:val="000000"/>
                <w:sz w:val="28"/>
              </w:rPr>
            </w:pPr>
            <w:r>
              <w:rPr>
                <w:rFonts w:cs="Arial" w:ascii="Arial" w:hAnsi="Arial"/>
                <w:b/>
                <w:color w:val="000000"/>
                <w:sz w:val="28"/>
              </w:rPr>
            </w:r>
          </w:p>
        </w:tc>
      </w:tr>
      <w:tr>
        <w:trPr>
          <w:trHeight w:val="691" w:hRule="atLeast"/>
        </w:trPr>
        <w:tc>
          <w:tcPr>
            <w:tcW w:w="1025" w:type="dxa"/>
            <w:tcBorders>
              <w:top w:val="single" w:sz="12" w:space="0" w:color="000000"/>
              <w:start w:val="single" w:sz="6" w:space="0" w:color="000000"/>
              <w:bottom w:val="single" w:sz="6" w:space="0" w:color="000000"/>
              <w:end w:val="single" w:sz="6" w:space="0" w:color="000000"/>
            </w:tcBorders>
          </w:tcPr>
          <w:p>
            <w:pPr>
              <w:pStyle w:val="Normal"/>
              <w:snapToGrid w:val="false"/>
              <w:jc w:val="end"/>
              <w:rPr>
                <w:rFonts w:ascii="Arial" w:hAnsi="Arial" w:cs="Arial"/>
                <w:b/>
                <w:color w:val="000000"/>
                <w:sz w:val="16"/>
              </w:rPr>
            </w:pPr>
            <w:r>
              <w:rPr>
                <w:rFonts w:cs="Arial" w:ascii="Arial" w:hAnsi="Arial"/>
                <w:b/>
                <w:color w:val="000000"/>
                <w:sz w:val="16"/>
              </w:rPr>
            </w:r>
          </w:p>
        </w:tc>
        <w:tc>
          <w:tcPr>
            <w:tcW w:w="1404" w:type="dxa"/>
            <w:tcBorders>
              <w:top w:val="single" w:sz="12" w:space="0" w:color="000000"/>
              <w:start w:val="single" w:sz="6" w:space="0" w:color="000000"/>
              <w:bottom w:val="single" w:sz="6" w:space="0" w:color="000000"/>
              <w:end w:val="single" w:sz="6" w:space="0" w:color="000000"/>
            </w:tcBorders>
          </w:tcPr>
          <w:p>
            <w:pPr>
              <w:pStyle w:val="Normal"/>
              <w:jc w:val="center"/>
              <w:rPr>
                <w:rFonts w:ascii="Arial" w:hAnsi="Arial" w:cs="Arial"/>
                <w:b/>
                <w:color w:val="000000"/>
                <w:sz w:val="16"/>
              </w:rPr>
            </w:pPr>
            <w:r>
              <w:rPr>
                <w:rFonts w:cs="Arial" w:ascii="Arial" w:hAnsi="Arial"/>
                <w:b/>
                <w:color w:val="000000"/>
                <w:sz w:val="16"/>
              </w:rPr>
              <w:t>Max. Gas Fired Generation (MW per hour)</w:t>
            </w:r>
          </w:p>
        </w:tc>
        <w:tc>
          <w:tcPr>
            <w:tcW w:w="1545" w:type="dxa"/>
            <w:tcBorders>
              <w:top w:val="single" w:sz="12" w:space="0" w:color="000000"/>
              <w:start w:val="single" w:sz="6" w:space="0" w:color="000000"/>
              <w:bottom w:val="single" w:sz="6" w:space="0" w:color="000000"/>
              <w:end w:val="single" w:sz="6" w:space="0" w:color="000000"/>
            </w:tcBorders>
          </w:tcPr>
          <w:p>
            <w:pPr>
              <w:pStyle w:val="Normal"/>
              <w:jc w:val="center"/>
              <w:rPr>
                <w:rFonts w:ascii="Arial" w:hAnsi="Arial" w:cs="Arial"/>
                <w:b/>
                <w:color w:val="000000"/>
                <w:sz w:val="16"/>
              </w:rPr>
            </w:pPr>
            <w:r>
              <w:rPr>
                <w:rFonts w:cs="Arial" w:ascii="Arial" w:hAnsi="Arial"/>
                <w:b/>
                <w:color w:val="000000"/>
                <w:sz w:val="16"/>
              </w:rPr>
              <w:t>Gas Consumption (MMBtu)</w:t>
            </w:r>
          </w:p>
        </w:tc>
        <w:tc>
          <w:tcPr>
            <w:tcW w:w="1184" w:type="dxa"/>
            <w:tcBorders>
              <w:top w:val="single" w:sz="12" w:space="0" w:color="000000"/>
              <w:start w:val="single" w:sz="6" w:space="0" w:color="000000"/>
              <w:bottom w:val="single" w:sz="6" w:space="0" w:color="000000"/>
              <w:end w:val="single" w:sz="6" w:space="0" w:color="000000"/>
            </w:tcBorders>
          </w:tcPr>
          <w:p>
            <w:pPr>
              <w:pStyle w:val="Normal"/>
              <w:jc w:val="center"/>
              <w:rPr>
                <w:rFonts w:ascii="Arial" w:hAnsi="Arial" w:cs="Arial"/>
                <w:b/>
                <w:color w:val="000000"/>
                <w:sz w:val="16"/>
              </w:rPr>
            </w:pPr>
            <w:r>
              <w:rPr>
                <w:rFonts w:cs="Arial" w:ascii="Arial" w:hAnsi="Arial"/>
                <w:b/>
                <w:color w:val="000000"/>
                <w:sz w:val="16"/>
              </w:rPr>
              <w:t>FGT Pipeline Capacity</w:t>
            </w:r>
          </w:p>
        </w:tc>
        <w:tc>
          <w:tcPr>
            <w:tcW w:w="1341" w:type="dxa"/>
            <w:tcBorders>
              <w:top w:val="single" w:sz="12" w:space="0" w:color="000000"/>
              <w:start w:val="single" w:sz="6" w:space="0" w:color="000000"/>
              <w:bottom w:val="single" w:sz="6" w:space="0" w:color="000000"/>
              <w:end w:val="single" w:sz="6" w:space="0" w:color="000000"/>
            </w:tcBorders>
          </w:tcPr>
          <w:p>
            <w:pPr>
              <w:pStyle w:val="Normal"/>
              <w:jc w:val="center"/>
              <w:rPr>
                <w:rFonts w:ascii="Arial" w:hAnsi="Arial" w:cs="Arial"/>
                <w:b/>
                <w:color w:val="000000"/>
                <w:sz w:val="16"/>
              </w:rPr>
            </w:pPr>
            <w:r>
              <w:rPr>
                <w:rFonts w:cs="Arial" w:ascii="Arial" w:hAnsi="Arial"/>
                <w:b/>
                <w:color w:val="000000"/>
                <w:sz w:val="16"/>
              </w:rPr>
              <w:t>Other Consumption*</w:t>
            </w:r>
          </w:p>
        </w:tc>
        <w:tc>
          <w:tcPr>
            <w:tcW w:w="1215" w:type="dxa"/>
            <w:tcBorders>
              <w:top w:val="single" w:sz="12" w:space="0" w:color="000000"/>
              <w:start w:val="single" w:sz="6" w:space="0" w:color="000000"/>
              <w:bottom w:val="single" w:sz="6" w:space="0" w:color="000000"/>
              <w:end w:val="single" w:sz="6" w:space="0" w:color="000000"/>
            </w:tcBorders>
          </w:tcPr>
          <w:p>
            <w:pPr>
              <w:pStyle w:val="Normal"/>
              <w:jc w:val="center"/>
              <w:rPr>
                <w:rFonts w:ascii="Arial" w:hAnsi="Arial" w:cs="Arial"/>
                <w:b/>
                <w:color w:val="000000"/>
                <w:sz w:val="16"/>
              </w:rPr>
            </w:pPr>
            <w:r>
              <w:rPr>
                <w:rFonts w:cs="Arial" w:ascii="Arial" w:hAnsi="Arial"/>
                <w:b/>
                <w:color w:val="000000"/>
                <w:sz w:val="16"/>
              </w:rPr>
              <w:t>FGT Capacity MMBtu/D</w:t>
            </w:r>
          </w:p>
        </w:tc>
        <w:tc>
          <w:tcPr>
            <w:tcW w:w="1608" w:type="dxa"/>
            <w:tcBorders>
              <w:top w:val="single" w:sz="12" w:space="0" w:color="000000"/>
              <w:start w:val="single" w:sz="6" w:space="0" w:color="000000"/>
              <w:bottom w:val="single" w:sz="6" w:space="0" w:color="000000"/>
              <w:end w:val="single" w:sz="6" w:space="0" w:color="000000"/>
            </w:tcBorders>
          </w:tcPr>
          <w:p>
            <w:pPr>
              <w:pStyle w:val="Normal"/>
              <w:jc w:val="center"/>
              <w:rPr>
                <w:rFonts w:ascii="Arial" w:hAnsi="Arial" w:cs="Arial"/>
                <w:b/>
                <w:color w:val="000000"/>
                <w:sz w:val="16"/>
              </w:rPr>
            </w:pPr>
            <w:r>
              <w:rPr>
                <w:rFonts w:cs="Arial" w:ascii="Arial" w:hAnsi="Arial"/>
                <w:b/>
                <w:color w:val="000000"/>
                <w:sz w:val="16"/>
              </w:rPr>
              <w:t>Balance (MMcf/D)</w:t>
            </w:r>
          </w:p>
        </w:tc>
      </w:tr>
      <w:tr>
        <w:trPr>
          <w:trHeight w:val="230" w:hRule="atLeast"/>
        </w:trPr>
        <w:tc>
          <w:tcPr>
            <w:tcW w:w="102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Dec-00</w:t>
            </w:r>
          </w:p>
        </w:tc>
        <w:tc>
          <w:tcPr>
            <w:tcW w:w="140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 xml:space="preserve">15,307 </w:t>
            </w:r>
          </w:p>
        </w:tc>
        <w:tc>
          <w:tcPr>
            <w:tcW w:w="154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 xml:space="preserve">3,526,733 </w:t>
            </w:r>
          </w:p>
        </w:tc>
        <w:tc>
          <w:tcPr>
            <w:tcW w:w="118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 xml:space="preserve">1,450,000 </w:t>
            </w:r>
          </w:p>
        </w:tc>
        <w:tc>
          <w:tcPr>
            <w:tcW w:w="1341"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521,065</w:t>
            </w:r>
          </w:p>
        </w:tc>
        <w:tc>
          <w:tcPr>
            <w:tcW w:w="121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928,935</w:t>
            </w:r>
          </w:p>
        </w:tc>
        <w:tc>
          <w:tcPr>
            <w:tcW w:w="1608"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(2,597,798)</w:t>
            </w:r>
          </w:p>
        </w:tc>
      </w:tr>
      <w:tr>
        <w:trPr>
          <w:trHeight w:val="230" w:hRule="atLeast"/>
        </w:trPr>
        <w:tc>
          <w:tcPr>
            <w:tcW w:w="102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Jan-01</w:t>
            </w:r>
          </w:p>
        </w:tc>
        <w:tc>
          <w:tcPr>
            <w:tcW w:w="140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16,890 </w:t>
            </w:r>
          </w:p>
        </w:tc>
        <w:tc>
          <w:tcPr>
            <w:tcW w:w="154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3,891,456 </w:t>
            </w:r>
          </w:p>
        </w:tc>
        <w:tc>
          <w:tcPr>
            <w:tcW w:w="118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1,450,000 </w:t>
            </w:r>
          </w:p>
        </w:tc>
        <w:tc>
          <w:tcPr>
            <w:tcW w:w="1341"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560,871</w:t>
            </w:r>
          </w:p>
        </w:tc>
        <w:tc>
          <w:tcPr>
            <w:tcW w:w="121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889,129</w:t>
            </w:r>
          </w:p>
        </w:tc>
        <w:tc>
          <w:tcPr>
            <w:tcW w:w="1608"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(3,002,327)</w:t>
            </w:r>
          </w:p>
        </w:tc>
      </w:tr>
      <w:tr>
        <w:trPr>
          <w:trHeight w:val="230" w:hRule="atLeast"/>
        </w:trPr>
        <w:tc>
          <w:tcPr>
            <w:tcW w:w="102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Feb-01</w:t>
            </w:r>
          </w:p>
        </w:tc>
        <w:tc>
          <w:tcPr>
            <w:tcW w:w="140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16,890 </w:t>
            </w:r>
          </w:p>
        </w:tc>
        <w:tc>
          <w:tcPr>
            <w:tcW w:w="154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3,891,456 </w:t>
            </w:r>
          </w:p>
        </w:tc>
        <w:tc>
          <w:tcPr>
            <w:tcW w:w="118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1,450,000 </w:t>
            </w:r>
          </w:p>
        </w:tc>
        <w:tc>
          <w:tcPr>
            <w:tcW w:w="1341"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542,310</w:t>
            </w:r>
          </w:p>
        </w:tc>
        <w:tc>
          <w:tcPr>
            <w:tcW w:w="121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907,690</w:t>
            </w:r>
          </w:p>
        </w:tc>
        <w:tc>
          <w:tcPr>
            <w:tcW w:w="1608"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(2,983,766)</w:t>
            </w:r>
          </w:p>
        </w:tc>
      </w:tr>
      <w:tr>
        <w:trPr>
          <w:trHeight w:val="230" w:hRule="atLeast"/>
        </w:trPr>
        <w:tc>
          <w:tcPr>
            <w:tcW w:w="102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Mar-01</w:t>
            </w:r>
          </w:p>
        </w:tc>
        <w:tc>
          <w:tcPr>
            <w:tcW w:w="140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16,890 </w:t>
            </w:r>
          </w:p>
        </w:tc>
        <w:tc>
          <w:tcPr>
            <w:tcW w:w="154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3,891,456 </w:t>
            </w:r>
          </w:p>
        </w:tc>
        <w:tc>
          <w:tcPr>
            <w:tcW w:w="118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1,450,000 </w:t>
            </w:r>
          </w:p>
        </w:tc>
        <w:tc>
          <w:tcPr>
            <w:tcW w:w="1341"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587,613</w:t>
            </w:r>
          </w:p>
        </w:tc>
        <w:tc>
          <w:tcPr>
            <w:tcW w:w="121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862,387</w:t>
            </w:r>
          </w:p>
        </w:tc>
        <w:tc>
          <w:tcPr>
            <w:tcW w:w="1608"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(3,029,069)</w:t>
            </w:r>
          </w:p>
        </w:tc>
      </w:tr>
      <w:tr>
        <w:trPr>
          <w:trHeight w:val="230" w:hRule="atLeast"/>
        </w:trPr>
        <w:tc>
          <w:tcPr>
            <w:tcW w:w="102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Apr-01</w:t>
            </w:r>
          </w:p>
        </w:tc>
        <w:tc>
          <w:tcPr>
            <w:tcW w:w="140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17,067 </w:t>
            </w:r>
          </w:p>
        </w:tc>
        <w:tc>
          <w:tcPr>
            <w:tcW w:w="154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3,932,237 </w:t>
            </w:r>
          </w:p>
        </w:tc>
        <w:tc>
          <w:tcPr>
            <w:tcW w:w="118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1,450,000 </w:t>
            </w:r>
          </w:p>
        </w:tc>
        <w:tc>
          <w:tcPr>
            <w:tcW w:w="1341"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571,233</w:t>
            </w:r>
          </w:p>
        </w:tc>
        <w:tc>
          <w:tcPr>
            <w:tcW w:w="121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878,767</w:t>
            </w:r>
          </w:p>
        </w:tc>
        <w:tc>
          <w:tcPr>
            <w:tcW w:w="1608"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(3,053,470)</w:t>
            </w:r>
          </w:p>
        </w:tc>
      </w:tr>
      <w:tr>
        <w:trPr>
          <w:trHeight w:val="230" w:hRule="atLeast"/>
        </w:trPr>
        <w:tc>
          <w:tcPr>
            <w:tcW w:w="102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May-01</w:t>
            </w:r>
          </w:p>
        </w:tc>
        <w:tc>
          <w:tcPr>
            <w:tcW w:w="140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17,067 </w:t>
            </w:r>
          </w:p>
        </w:tc>
        <w:tc>
          <w:tcPr>
            <w:tcW w:w="154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3,932,237 </w:t>
            </w:r>
          </w:p>
        </w:tc>
        <w:tc>
          <w:tcPr>
            <w:tcW w:w="118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1,575,000 </w:t>
            </w:r>
          </w:p>
        </w:tc>
        <w:tc>
          <w:tcPr>
            <w:tcW w:w="1341"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498,742</w:t>
            </w:r>
          </w:p>
        </w:tc>
        <w:tc>
          <w:tcPr>
            <w:tcW w:w="121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1,076,258</w:t>
            </w:r>
          </w:p>
        </w:tc>
        <w:tc>
          <w:tcPr>
            <w:tcW w:w="1608"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(2,855,979)</w:t>
            </w:r>
          </w:p>
        </w:tc>
      </w:tr>
      <w:tr>
        <w:trPr>
          <w:trHeight w:val="230" w:hRule="atLeast"/>
        </w:trPr>
        <w:tc>
          <w:tcPr>
            <w:tcW w:w="102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Jun-01</w:t>
            </w:r>
          </w:p>
        </w:tc>
        <w:tc>
          <w:tcPr>
            <w:tcW w:w="140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18,001 </w:t>
            </w:r>
          </w:p>
        </w:tc>
        <w:tc>
          <w:tcPr>
            <w:tcW w:w="154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4,147,430 </w:t>
            </w:r>
          </w:p>
        </w:tc>
        <w:tc>
          <w:tcPr>
            <w:tcW w:w="118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1,575,000 </w:t>
            </w:r>
          </w:p>
        </w:tc>
        <w:tc>
          <w:tcPr>
            <w:tcW w:w="1341"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510,867</w:t>
            </w:r>
          </w:p>
        </w:tc>
        <w:tc>
          <w:tcPr>
            <w:tcW w:w="121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1,064,133</w:t>
            </w:r>
          </w:p>
        </w:tc>
        <w:tc>
          <w:tcPr>
            <w:tcW w:w="1608"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(3,083,297)</w:t>
            </w:r>
          </w:p>
        </w:tc>
      </w:tr>
      <w:tr>
        <w:trPr>
          <w:trHeight w:val="230" w:hRule="atLeast"/>
        </w:trPr>
        <w:tc>
          <w:tcPr>
            <w:tcW w:w="102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Jul-01</w:t>
            </w:r>
          </w:p>
        </w:tc>
        <w:tc>
          <w:tcPr>
            <w:tcW w:w="140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18,001 </w:t>
            </w:r>
          </w:p>
        </w:tc>
        <w:tc>
          <w:tcPr>
            <w:tcW w:w="154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4,147,430 </w:t>
            </w:r>
          </w:p>
        </w:tc>
        <w:tc>
          <w:tcPr>
            <w:tcW w:w="118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1,775,000 </w:t>
            </w:r>
          </w:p>
        </w:tc>
        <w:tc>
          <w:tcPr>
            <w:tcW w:w="1341"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500,548</w:t>
            </w:r>
          </w:p>
        </w:tc>
        <w:tc>
          <w:tcPr>
            <w:tcW w:w="121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1,274,452</w:t>
            </w:r>
          </w:p>
        </w:tc>
        <w:tc>
          <w:tcPr>
            <w:tcW w:w="1608"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(2,872,979)</w:t>
            </w:r>
          </w:p>
        </w:tc>
      </w:tr>
      <w:tr>
        <w:trPr>
          <w:trHeight w:val="230" w:hRule="atLeast"/>
        </w:trPr>
        <w:tc>
          <w:tcPr>
            <w:tcW w:w="102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Aug-01</w:t>
            </w:r>
          </w:p>
        </w:tc>
        <w:tc>
          <w:tcPr>
            <w:tcW w:w="140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18,018 </w:t>
            </w:r>
          </w:p>
        </w:tc>
        <w:tc>
          <w:tcPr>
            <w:tcW w:w="154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4,151,347 </w:t>
            </w:r>
          </w:p>
        </w:tc>
        <w:tc>
          <w:tcPr>
            <w:tcW w:w="118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1,775,000 </w:t>
            </w:r>
          </w:p>
        </w:tc>
        <w:tc>
          <w:tcPr>
            <w:tcW w:w="1341"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510,839</w:t>
            </w:r>
          </w:p>
        </w:tc>
        <w:tc>
          <w:tcPr>
            <w:tcW w:w="121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1,264,161</w:t>
            </w:r>
          </w:p>
        </w:tc>
        <w:tc>
          <w:tcPr>
            <w:tcW w:w="1608"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(2,887,186)</w:t>
            </w:r>
          </w:p>
        </w:tc>
      </w:tr>
      <w:tr>
        <w:trPr>
          <w:trHeight w:val="230" w:hRule="atLeast"/>
        </w:trPr>
        <w:tc>
          <w:tcPr>
            <w:tcW w:w="102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Sep-01</w:t>
            </w:r>
          </w:p>
        </w:tc>
        <w:tc>
          <w:tcPr>
            <w:tcW w:w="140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18,018 </w:t>
            </w:r>
          </w:p>
        </w:tc>
        <w:tc>
          <w:tcPr>
            <w:tcW w:w="154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4,151,347 </w:t>
            </w:r>
          </w:p>
        </w:tc>
        <w:tc>
          <w:tcPr>
            <w:tcW w:w="118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1,775,000 </w:t>
            </w:r>
          </w:p>
        </w:tc>
        <w:tc>
          <w:tcPr>
            <w:tcW w:w="1341"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475,833</w:t>
            </w:r>
          </w:p>
        </w:tc>
        <w:tc>
          <w:tcPr>
            <w:tcW w:w="121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1,299,167</w:t>
            </w:r>
          </w:p>
        </w:tc>
        <w:tc>
          <w:tcPr>
            <w:tcW w:w="1608"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(2,852,181)</w:t>
            </w:r>
          </w:p>
        </w:tc>
      </w:tr>
      <w:tr>
        <w:trPr>
          <w:trHeight w:val="230" w:hRule="atLeast"/>
        </w:trPr>
        <w:tc>
          <w:tcPr>
            <w:tcW w:w="102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Oct-01</w:t>
            </w:r>
          </w:p>
        </w:tc>
        <w:tc>
          <w:tcPr>
            <w:tcW w:w="140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18,018 </w:t>
            </w:r>
          </w:p>
        </w:tc>
        <w:tc>
          <w:tcPr>
            <w:tcW w:w="154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4,151,347 </w:t>
            </w:r>
          </w:p>
        </w:tc>
        <w:tc>
          <w:tcPr>
            <w:tcW w:w="118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1,775,000 </w:t>
            </w:r>
          </w:p>
        </w:tc>
        <w:tc>
          <w:tcPr>
            <w:tcW w:w="1341"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494,129</w:t>
            </w:r>
          </w:p>
        </w:tc>
        <w:tc>
          <w:tcPr>
            <w:tcW w:w="121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1,280,871</w:t>
            </w:r>
          </w:p>
        </w:tc>
        <w:tc>
          <w:tcPr>
            <w:tcW w:w="1608"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(2,870,476)</w:t>
            </w:r>
          </w:p>
        </w:tc>
      </w:tr>
      <w:tr>
        <w:trPr>
          <w:trHeight w:val="230" w:hRule="atLeast"/>
        </w:trPr>
        <w:tc>
          <w:tcPr>
            <w:tcW w:w="102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Nov-01</w:t>
            </w:r>
          </w:p>
        </w:tc>
        <w:tc>
          <w:tcPr>
            <w:tcW w:w="140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18,018 </w:t>
            </w:r>
          </w:p>
        </w:tc>
        <w:tc>
          <w:tcPr>
            <w:tcW w:w="154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4,151,347 </w:t>
            </w:r>
          </w:p>
        </w:tc>
        <w:tc>
          <w:tcPr>
            <w:tcW w:w="118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1,775,000 </w:t>
            </w:r>
          </w:p>
        </w:tc>
        <w:tc>
          <w:tcPr>
            <w:tcW w:w="1341"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511,200</w:t>
            </w:r>
          </w:p>
        </w:tc>
        <w:tc>
          <w:tcPr>
            <w:tcW w:w="121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1,263,800</w:t>
            </w:r>
          </w:p>
        </w:tc>
        <w:tc>
          <w:tcPr>
            <w:tcW w:w="1608"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(2,887,547)</w:t>
            </w:r>
          </w:p>
        </w:tc>
      </w:tr>
      <w:tr>
        <w:trPr>
          <w:trHeight w:val="230" w:hRule="atLeast"/>
        </w:trPr>
        <w:tc>
          <w:tcPr>
            <w:tcW w:w="102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Dec-01</w:t>
            </w:r>
          </w:p>
        </w:tc>
        <w:tc>
          <w:tcPr>
            <w:tcW w:w="140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18,859 </w:t>
            </w:r>
          </w:p>
        </w:tc>
        <w:tc>
          <w:tcPr>
            <w:tcW w:w="154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4,345,114 </w:t>
            </w:r>
          </w:p>
        </w:tc>
        <w:tc>
          <w:tcPr>
            <w:tcW w:w="118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1,650,000 </w:t>
            </w:r>
          </w:p>
        </w:tc>
        <w:tc>
          <w:tcPr>
            <w:tcW w:w="1341"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529,000</w:t>
            </w:r>
          </w:p>
        </w:tc>
        <w:tc>
          <w:tcPr>
            <w:tcW w:w="121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1,121,000</w:t>
            </w:r>
          </w:p>
        </w:tc>
        <w:tc>
          <w:tcPr>
            <w:tcW w:w="1608"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(3,224,114)</w:t>
            </w:r>
          </w:p>
        </w:tc>
      </w:tr>
      <w:tr>
        <w:trPr>
          <w:trHeight w:val="230" w:hRule="atLeast"/>
        </w:trPr>
        <w:tc>
          <w:tcPr>
            <w:tcW w:w="102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Jan-02</w:t>
            </w:r>
          </w:p>
        </w:tc>
        <w:tc>
          <w:tcPr>
            <w:tcW w:w="140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21,401 </w:t>
            </w:r>
          </w:p>
        </w:tc>
        <w:tc>
          <w:tcPr>
            <w:tcW w:w="154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4,776,703 </w:t>
            </w:r>
          </w:p>
        </w:tc>
        <w:tc>
          <w:tcPr>
            <w:tcW w:w="118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1,650,000 </w:t>
            </w:r>
          </w:p>
        </w:tc>
        <w:tc>
          <w:tcPr>
            <w:tcW w:w="1341"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570,967</w:t>
            </w:r>
          </w:p>
        </w:tc>
        <w:tc>
          <w:tcPr>
            <w:tcW w:w="121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1,079,033</w:t>
            </w:r>
          </w:p>
        </w:tc>
        <w:tc>
          <w:tcPr>
            <w:tcW w:w="1608"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(3,697,670)</w:t>
            </w:r>
          </w:p>
        </w:tc>
      </w:tr>
      <w:tr>
        <w:trPr>
          <w:trHeight w:val="230" w:hRule="atLeast"/>
        </w:trPr>
        <w:tc>
          <w:tcPr>
            <w:tcW w:w="102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Feb-02</w:t>
            </w:r>
          </w:p>
        </w:tc>
        <w:tc>
          <w:tcPr>
            <w:tcW w:w="140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21,401 </w:t>
            </w:r>
          </w:p>
        </w:tc>
        <w:tc>
          <w:tcPr>
            <w:tcW w:w="154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4,776,703 </w:t>
            </w:r>
          </w:p>
        </w:tc>
        <w:tc>
          <w:tcPr>
            <w:tcW w:w="118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1,650,000 </w:t>
            </w:r>
          </w:p>
        </w:tc>
        <w:tc>
          <w:tcPr>
            <w:tcW w:w="1341"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552,072</w:t>
            </w:r>
          </w:p>
        </w:tc>
        <w:tc>
          <w:tcPr>
            <w:tcW w:w="121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1,097,928</w:t>
            </w:r>
          </w:p>
        </w:tc>
        <w:tc>
          <w:tcPr>
            <w:tcW w:w="1608"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(3,678,775)</w:t>
            </w:r>
          </w:p>
        </w:tc>
      </w:tr>
      <w:tr>
        <w:trPr>
          <w:trHeight w:val="230" w:hRule="atLeast"/>
        </w:trPr>
        <w:tc>
          <w:tcPr>
            <w:tcW w:w="102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Mar-02</w:t>
            </w:r>
          </w:p>
        </w:tc>
        <w:tc>
          <w:tcPr>
            <w:tcW w:w="140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21,401 </w:t>
            </w:r>
          </w:p>
        </w:tc>
        <w:tc>
          <w:tcPr>
            <w:tcW w:w="154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4,776,703 </w:t>
            </w:r>
          </w:p>
        </w:tc>
        <w:tc>
          <w:tcPr>
            <w:tcW w:w="118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1,650,000 </w:t>
            </w:r>
          </w:p>
        </w:tc>
        <w:tc>
          <w:tcPr>
            <w:tcW w:w="1341"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598,190</w:t>
            </w:r>
          </w:p>
        </w:tc>
        <w:tc>
          <w:tcPr>
            <w:tcW w:w="121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1,051,810</w:t>
            </w:r>
          </w:p>
        </w:tc>
        <w:tc>
          <w:tcPr>
            <w:tcW w:w="1608"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(3,724,893)</w:t>
            </w:r>
          </w:p>
        </w:tc>
      </w:tr>
      <w:tr>
        <w:trPr>
          <w:trHeight w:val="230" w:hRule="atLeast"/>
        </w:trPr>
        <w:tc>
          <w:tcPr>
            <w:tcW w:w="102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Apr-02</w:t>
            </w:r>
          </w:p>
        </w:tc>
        <w:tc>
          <w:tcPr>
            <w:tcW w:w="140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22,251 </w:t>
            </w:r>
          </w:p>
        </w:tc>
        <w:tc>
          <w:tcPr>
            <w:tcW w:w="154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4,966,423 </w:t>
            </w:r>
          </w:p>
        </w:tc>
        <w:tc>
          <w:tcPr>
            <w:tcW w:w="118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1,650,000 </w:t>
            </w:r>
          </w:p>
        </w:tc>
        <w:tc>
          <w:tcPr>
            <w:tcW w:w="1341"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581,516</w:t>
            </w:r>
          </w:p>
        </w:tc>
        <w:tc>
          <w:tcPr>
            <w:tcW w:w="121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1,068,484</w:t>
            </w:r>
          </w:p>
        </w:tc>
        <w:tc>
          <w:tcPr>
            <w:tcW w:w="1608"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(3,897,939)</w:t>
            </w:r>
          </w:p>
        </w:tc>
      </w:tr>
      <w:tr>
        <w:trPr>
          <w:trHeight w:val="230" w:hRule="atLeast"/>
        </w:trPr>
        <w:tc>
          <w:tcPr>
            <w:tcW w:w="102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May-02</w:t>
            </w:r>
          </w:p>
        </w:tc>
        <w:tc>
          <w:tcPr>
            <w:tcW w:w="140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22,251 </w:t>
            </w:r>
          </w:p>
        </w:tc>
        <w:tc>
          <w:tcPr>
            <w:tcW w:w="154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4,966,423 </w:t>
            </w:r>
          </w:p>
        </w:tc>
        <w:tc>
          <w:tcPr>
            <w:tcW w:w="118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2,200,000 </w:t>
            </w:r>
          </w:p>
        </w:tc>
        <w:tc>
          <w:tcPr>
            <w:tcW w:w="1341"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507,719</w:t>
            </w:r>
          </w:p>
        </w:tc>
        <w:tc>
          <w:tcPr>
            <w:tcW w:w="121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1,692,281</w:t>
            </w:r>
          </w:p>
        </w:tc>
        <w:tc>
          <w:tcPr>
            <w:tcW w:w="1608"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(3,274,142)</w:t>
            </w:r>
          </w:p>
        </w:tc>
      </w:tr>
      <w:tr>
        <w:trPr>
          <w:trHeight w:val="230" w:hRule="atLeast"/>
        </w:trPr>
        <w:tc>
          <w:tcPr>
            <w:tcW w:w="102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Jun-02</w:t>
            </w:r>
          </w:p>
        </w:tc>
        <w:tc>
          <w:tcPr>
            <w:tcW w:w="140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26,375 </w:t>
            </w:r>
          </w:p>
        </w:tc>
        <w:tc>
          <w:tcPr>
            <w:tcW w:w="154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5,886,900 </w:t>
            </w:r>
          </w:p>
        </w:tc>
        <w:tc>
          <w:tcPr>
            <w:tcW w:w="118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2,200,000 </w:t>
            </w:r>
          </w:p>
        </w:tc>
        <w:tc>
          <w:tcPr>
            <w:tcW w:w="1341"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520,062</w:t>
            </w:r>
          </w:p>
        </w:tc>
        <w:tc>
          <w:tcPr>
            <w:tcW w:w="121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1,679,938</w:t>
            </w:r>
          </w:p>
        </w:tc>
        <w:tc>
          <w:tcPr>
            <w:tcW w:w="1608"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(4,206,962)</w:t>
            </w:r>
          </w:p>
        </w:tc>
      </w:tr>
      <w:tr>
        <w:trPr>
          <w:trHeight w:val="230" w:hRule="atLeast"/>
        </w:trPr>
        <w:tc>
          <w:tcPr>
            <w:tcW w:w="102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Jul-02</w:t>
            </w:r>
          </w:p>
        </w:tc>
        <w:tc>
          <w:tcPr>
            <w:tcW w:w="140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26,375 </w:t>
            </w:r>
          </w:p>
        </w:tc>
        <w:tc>
          <w:tcPr>
            <w:tcW w:w="154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5,886,900 </w:t>
            </w:r>
          </w:p>
        </w:tc>
        <w:tc>
          <w:tcPr>
            <w:tcW w:w="118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3,300,000 </w:t>
            </w:r>
          </w:p>
        </w:tc>
        <w:tc>
          <w:tcPr>
            <w:tcW w:w="1341"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509,558</w:t>
            </w:r>
          </w:p>
        </w:tc>
        <w:tc>
          <w:tcPr>
            <w:tcW w:w="121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2,790,442</w:t>
            </w:r>
          </w:p>
        </w:tc>
        <w:tc>
          <w:tcPr>
            <w:tcW w:w="1608"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(3,096,458)</w:t>
            </w:r>
          </w:p>
        </w:tc>
      </w:tr>
      <w:tr>
        <w:trPr>
          <w:trHeight w:val="230" w:hRule="atLeast"/>
        </w:trPr>
        <w:tc>
          <w:tcPr>
            <w:tcW w:w="102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Aug-02</w:t>
            </w:r>
          </w:p>
        </w:tc>
        <w:tc>
          <w:tcPr>
            <w:tcW w:w="140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26,375 </w:t>
            </w:r>
          </w:p>
        </w:tc>
        <w:tc>
          <w:tcPr>
            <w:tcW w:w="154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5,886,900 </w:t>
            </w:r>
          </w:p>
        </w:tc>
        <w:tc>
          <w:tcPr>
            <w:tcW w:w="118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3,300,000 </w:t>
            </w:r>
          </w:p>
        </w:tc>
        <w:tc>
          <w:tcPr>
            <w:tcW w:w="1341"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520,034</w:t>
            </w:r>
          </w:p>
        </w:tc>
        <w:tc>
          <w:tcPr>
            <w:tcW w:w="121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2,779,966</w:t>
            </w:r>
          </w:p>
        </w:tc>
        <w:tc>
          <w:tcPr>
            <w:tcW w:w="1608"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(3,106,934)</w:t>
            </w:r>
          </w:p>
        </w:tc>
      </w:tr>
      <w:tr>
        <w:trPr>
          <w:trHeight w:val="230" w:hRule="atLeast"/>
        </w:trPr>
        <w:tc>
          <w:tcPr>
            <w:tcW w:w="102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Sep-02</w:t>
            </w:r>
          </w:p>
        </w:tc>
        <w:tc>
          <w:tcPr>
            <w:tcW w:w="140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26,375 </w:t>
            </w:r>
          </w:p>
        </w:tc>
        <w:tc>
          <w:tcPr>
            <w:tcW w:w="154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5,886,900 </w:t>
            </w:r>
          </w:p>
        </w:tc>
        <w:tc>
          <w:tcPr>
            <w:tcW w:w="118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3,300,000 </w:t>
            </w:r>
          </w:p>
        </w:tc>
        <w:tc>
          <w:tcPr>
            <w:tcW w:w="1341"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484,398</w:t>
            </w:r>
          </w:p>
        </w:tc>
        <w:tc>
          <w:tcPr>
            <w:tcW w:w="121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2,815,602</w:t>
            </w:r>
          </w:p>
        </w:tc>
        <w:tc>
          <w:tcPr>
            <w:tcW w:w="1608"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(3,071,298)</w:t>
            </w:r>
          </w:p>
        </w:tc>
      </w:tr>
      <w:tr>
        <w:trPr>
          <w:trHeight w:val="230" w:hRule="atLeast"/>
        </w:trPr>
        <w:tc>
          <w:tcPr>
            <w:tcW w:w="102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Oct-02</w:t>
            </w:r>
          </w:p>
        </w:tc>
        <w:tc>
          <w:tcPr>
            <w:tcW w:w="140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26,375 </w:t>
            </w:r>
          </w:p>
        </w:tc>
        <w:tc>
          <w:tcPr>
            <w:tcW w:w="154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5,886,900 </w:t>
            </w:r>
          </w:p>
        </w:tc>
        <w:tc>
          <w:tcPr>
            <w:tcW w:w="118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3,300,000 </w:t>
            </w:r>
          </w:p>
        </w:tc>
        <w:tc>
          <w:tcPr>
            <w:tcW w:w="1341"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503,023</w:t>
            </w:r>
          </w:p>
        </w:tc>
        <w:tc>
          <w:tcPr>
            <w:tcW w:w="121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2,796,977</w:t>
            </w:r>
          </w:p>
        </w:tc>
        <w:tc>
          <w:tcPr>
            <w:tcW w:w="1608"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(3,089,923)</w:t>
            </w:r>
          </w:p>
        </w:tc>
      </w:tr>
      <w:tr>
        <w:trPr>
          <w:trHeight w:val="230" w:hRule="atLeast"/>
        </w:trPr>
        <w:tc>
          <w:tcPr>
            <w:tcW w:w="102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Nov-02</w:t>
            </w:r>
          </w:p>
        </w:tc>
        <w:tc>
          <w:tcPr>
            <w:tcW w:w="140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26,375 </w:t>
            </w:r>
          </w:p>
        </w:tc>
        <w:tc>
          <w:tcPr>
            <w:tcW w:w="154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5,886,900 </w:t>
            </w:r>
          </w:p>
        </w:tc>
        <w:tc>
          <w:tcPr>
            <w:tcW w:w="118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3,300,000 </w:t>
            </w:r>
          </w:p>
        </w:tc>
        <w:tc>
          <w:tcPr>
            <w:tcW w:w="1341"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520,402</w:t>
            </w:r>
          </w:p>
        </w:tc>
        <w:tc>
          <w:tcPr>
            <w:tcW w:w="121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2,779,598</w:t>
            </w:r>
          </w:p>
        </w:tc>
        <w:tc>
          <w:tcPr>
            <w:tcW w:w="1608"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(3,107,302)</w:t>
            </w:r>
          </w:p>
        </w:tc>
      </w:tr>
      <w:tr>
        <w:trPr>
          <w:trHeight w:val="230" w:hRule="atLeast"/>
        </w:trPr>
        <w:tc>
          <w:tcPr>
            <w:tcW w:w="102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Dec-02</w:t>
            </w:r>
          </w:p>
        </w:tc>
        <w:tc>
          <w:tcPr>
            <w:tcW w:w="140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26,375 </w:t>
            </w:r>
          </w:p>
        </w:tc>
        <w:tc>
          <w:tcPr>
            <w:tcW w:w="154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5,886,900 </w:t>
            </w:r>
          </w:p>
        </w:tc>
        <w:tc>
          <w:tcPr>
            <w:tcW w:w="118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3,175,000 </w:t>
            </w:r>
          </w:p>
        </w:tc>
        <w:tc>
          <w:tcPr>
            <w:tcW w:w="1341"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538,522</w:t>
            </w:r>
          </w:p>
        </w:tc>
        <w:tc>
          <w:tcPr>
            <w:tcW w:w="121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2,636,478</w:t>
            </w:r>
          </w:p>
        </w:tc>
        <w:tc>
          <w:tcPr>
            <w:tcW w:w="1608"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(3,250,422)</w:t>
            </w:r>
          </w:p>
        </w:tc>
      </w:tr>
      <w:tr>
        <w:trPr>
          <w:trHeight w:val="230" w:hRule="atLeast"/>
        </w:trPr>
        <w:tc>
          <w:tcPr>
            <w:tcW w:w="1025" w:type="dxa"/>
            <w:tcBorders>
              <w:top w:val="single" w:sz="6" w:space="0" w:color="000000"/>
              <w:start w:val="single" w:sz="6" w:space="0" w:color="000000"/>
              <w:bottom w:val="single" w:sz="2" w:space="0" w:color="000000"/>
              <w:end w:val="single" w:sz="2" w:space="0" w:color="000000"/>
            </w:tcBorders>
          </w:tcPr>
          <w:p>
            <w:pPr>
              <w:pStyle w:val="Normal"/>
              <w:snapToGrid w:val="false"/>
              <w:jc w:val="end"/>
              <w:rPr>
                <w:rFonts w:ascii="Arial" w:hAnsi="Arial" w:cs="Arial"/>
                <w:b/>
                <w:color w:val="000000"/>
                <w:sz w:val="16"/>
              </w:rPr>
            </w:pPr>
            <w:r>
              <w:rPr>
                <w:rFonts w:cs="Arial" w:ascii="Arial" w:hAnsi="Arial"/>
                <w:b/>
                <w:color w:val="000000"/>
                <w:sz w:val="16"/>
              </w:rPr>
            </w:r>
          </w:p>
        </w:tc>
        <w:tc>
          <w:tcPr>
            <w:tcW w:w="1404" w:type="dxa"/>
            <w:tcBorders>
              <w:top w:val="single" w:sz="6" w:space="0" w:color="000000"/>
              <w:start w:val="single" w:sz="2" w:space="0" w:color="000000"/>
              <w:bottom w:val="single" w:sz="2" w:space="0" w:color="000000"/>
              <w:end w:val="single" w:sz="2" w:space="0" w:color="000000"/>
            </w:tcBorders>
          </w:tcPr>
          <w:p>
            <w:pPr>
              <w:pStyle w:val="Normal"/>
              <w:snapToGrid w:val="false"/>
              <w:jc w:val="end"/>
              <w:rPr>
                <w:rFonts w:ascii="Arial" w:hAnsi="Arial" w:cs="Arial"/>
                <w:color w:val="000000"/>
                <w:sz w:val="16"/>
              </w:rPr>
            </w:pPr>
            <w:r>
              <w:rPr>
                <w:rFonts w:cs="Arial" w:ascii="Arial" w:hAnsi="Arial"/>
                <w:color w:val="000000"/>
                <w:sz w:val="16"/>
              </w:rPr>
            </w:r>
          </w:p>
        </w:tc>
        <w:tc>
          <w:tcPr>
            <w:tcW w:w="1545" w:type="dxa"/>
            <w:tcBorders>
              <w:top w:val="single" w:sz="6" w:space="0" w:color="000000"/>
              <w:start w:val="single" w:sz="2" w:space="0" w:color="000000"/>
              <w:bottom w:val="single" w:sz="2" w:space="0" w:color="000000"/>
              <w:end w:val="single" w:sz="2" w:space="0" w:color="000000"/>
            </w:tcBorders>
          </w:tcPr>
          <w:p>
            <w:pPr>
              <w:pStyle w:val="Normal"/>
              <w:snapToGrid w:val="false"/>
              <w:jc w:val="end"/>
              <w:rPr>
                <w:rFonts w:ascii="Arial" w:hAnsi="Arial" w:cs="Arial"/>
                <w:color w:val="000000"/>
                <w:sz w:val="16"/>
              </w:rPr>
            </w:pPr>
            <w:r>
              <w:rPr>
                <w:rFonts w:cs="Arial" w:ascii="Arial" w:hAnsi="Arial"/>
                <w:color w:val="000000"/>
                <w:sz w:val="16"/>
              </w:rPr>
            </w:r>
          </w:p>
        </w:tc>
        <w:tc>
          <w:tcPr>
            <w:tcW w:w="1184" w:type="dxa"/>
            <w:tcBorders>
              <w:top w:val="single" w:sz="6" w:space="0" w:color="000000"/>
              <w:start w:val="single" w:sz="2" w:space="0" w:color="000000"/>
              <w:bottom w:val="single" w:sz="2" w:space="0" w:color="000000"/>
              <w:end w:val="single" w:sz="2" w:space="0" w:color="000000"/>
            </w:tcBorders>
          </w:tcPr>
          <w:p>
            <w:pPr>
              <w:pStyle w:val="Normal"/>
              <w:snapToGrid w:val="false"/>
              <w:jc w:val="end"/>
              <w:rPr>
                <w:rFonts w:ascii="Arial" w:hAnsi="Arial" w:cs="Arial"/>
                <w:color w:val="000000"/>
                <w:sz w:val="16"/>
              </w:rPr>
            </w:pPr>
            <w:r>
              <w:rPr>
                <w:rFonts w:cs="Arial" w:ascii="Arial" w:hAnsi="Arial"/>
                <w:color w:val="000000"/>
                <w:sz w:val="16"/>
              </w:rPr>
            </w:r>
          </w:p>
        </w:tc>
        <w:tc>
          <w:tcPr>
            <w:tcW w:w="1341" w:type="dxa"/>
            <w:tcBorders>
              <w:top w:val="single" w:sz="6" w:space="0" w:color="000000"/>
              <w:start w:val="single" w:sz="2" w:space="0" w:color="000000"/>
              <w:bottom w:val="single" w:sz="2" w:space="0" w:color="000000"/>
              <w:end w:val="single" w:sz="2" w:space="0" w:color="000000"/>
            </w:tcBorders>
          </w:tcPr>
          <w:p>
            <w:pPr>
              <w:pStyle w:val="Normal"/>
              <w:snapToGrid w:val="false"/>
              <w:jc w:val="end"/>
              <w:rPr>
                <w:rFonts w:ascii="Arial" w:hAnsi="Arial" w:cs="Arial"/>
                <w:color w:val="000000"/>
                <w:sz w:val="16"/>
              </w:rPr>
            </w:pPr>
            <w:r>
              <w:rPr>
                <w:rFonts w:cs="Arial" w:ascii="Arial" w:hAnsi="Arial"/>
                <w:color w:val="000000"/>
                <w:sz w:val="16"/>
              </w:rPr>
            </w:r>
          </w:p>
        </w:tc>
        <w:tc>
          <w:tcPr>
            <w:tcW w:w="1215" w:type="dxa"/>
            <w:tcBorders>
              <w:top w:val="single" w:sz="6" w:space="0" w:color="000000"/>
              <w:start w:val="single" w:sz="2" w:space="0" w:color="000000"/>
              <w:bottom w:val="single" w:sz="2" w:space="0" w:color="000000"/>
              <w:end w:val="single" w:sz="2" w:space="0" w:color="000000"/>
            </w:tcBorders>
          </w:tcPr>
          <w:p>
            <w:pPr>
              <w:pStyle w:val="Normal"/>
              <w:snapToGrid w:val="false"/>
              <w:jc w:val="end"/>
              <w:rPr>
                <w:rFonts w:ascii="Arial" w:hAnsi="Arial" w:cs="Arial"/>
                <w:color w:val="000000"/>
                <w:sz w:val="16"/>
              </w:rPr>
            </w:pPr>
            <w:r>
              <w:rPr>
                <w:rFonts w:cs="Arial" w:ascii="Arial" w:hAnsi="Arial"/>
                <w:color w:val="000000"/>
                <w:sz w:val="16"/>
              </w:rPr>
            </w:r>
          </w:p>
        </w:tc>
        <w:tc>
          <w:tcPr>
            <w:tcW w:w="1608" w:type="dxa"/>
            <w:tcBorders>
              <w:top w:val="single" w:sz="6" w:space="0" w:color="000000"/>
              <w:start w:val="single" w:sz="2" w:space="0" w:color="000000"/>
              <w:bottom w:val="single" w:sz="2" w:space="0" w:color="000000"/>
              <w:end w:val="single" w:sz="6" w:space="0" w:color="000000"/>
            </w:tcBorders>
          </w:tcPr>
          <w:p>
            <w:pPr>
              <w:pStyle w:val="Normal"/>
              <w:snapToGrid w:val="false"/>
              <w:jc w:val="end"/>
              <w:rPr>
                <w:rFonts w:ascii="Arial" w:hAnsi="Arial" w:cs="Arial"/>
                <w:color w:val="000000"/>
                <w:sz w:val="16"/>
              </w:rPr>
            </w:pPr>
            <w:r>
              <w:rPr>
                <w:rFonts w:cs="Arial" w:ascii="Arial" w:hAnsi="Arial"/>
                <w:color w:val="000000"/>
                <w:sz w:val="16"/>
              </w:rPr>
            </w:r>
          </w:p>
        </w:tc>
      </w:tr>
      <w:tr>
        <w:trPr>
          <w:trHeight w:val="230" w:hRule="atLeast"/>
        </w:trPr>
        <w:tc>
          <w:tcPr>
            <w:tcW w:w="9322" w:type="dxa"/>
            <w:gridSpan w:val="7"/>
            <w:tcBorders>
              <w:top w:val="single" w:sz="2" w:space="0" w:color="000000"/>
              <w:start w:val="single" w:sz="6" w:space="0" w:color="000000"/>
              <w:bottom w:val="single" w:sz="6" w:space="0" w:color="000000"/>
              <w:end w:val="single" w:sz="6" w:space="0" w:color="000000"/>
            </w:tcBorders>
          </w:tcPr>
          <w:p>
            <w:pPr>
              <w:pStyle w:val="Normal"/>
              <w:rPr>
                <w:rFonts w:ascii="Arial" w:hAnsi="Arial" w:cs="Arial"/>
                <w:color w:val="000000"/>
                <w:sz w:val="16"/>
              </w:rPr>
            </w:pPr>
            <w:r>
              <w:rPr>
                <w:rFonts w:cs="Arial" w:ascii="Arial" w:hAnsi="Arial"/>
                <w:color w:val="000000"/>
                <w:sz w:val="16"/>
              </w:rPr>
              <w:t xml:space="preserve">*Includes baseload industrial, residential, and commercial consumption </w:t>
            </w:r>
          </w:p>
        </w:tc>
      </w:tr>
    </w:tbl>
    <w:p>
      <w:pPr>
        <w:pStyle w:val="BodyText"/>
        <w:rPr/>
      </w:pPr>
      <w:r>
        <w:rPr/>
      </w:r>
    </w:p>
    <w:p>
      <w:pPr>
        <w:pStyle w:val="BodyText"/>
        <w:ind w:firstLine="720" w:end="0"/>
        <w:rPr/>
      </w:pPr>
      <w:r>
        <w:rPr/>
        <w:t>In this peak scenario, fuel switching to natural gas results in severe shortages.  Although this situation seems unlikely in today’s price environment, it would not be unreasonable to forecast natural gas price declines along with increases in the cost of heating or residual oil.  One such scenario could be explained by increasing costs associated with new federal emissions requirements.  Under these conditions, Florida market area gas would rise to the equivalent of the higher priced alternate fuel, No. 2 Oil.</w:t>
      </w:r>
    </w:p>
    <w:p>
      <w:pPr>
        <w:pStyle w:val="BodyText"/>
        <w:rPr/>
      </w:pPr>
      <w:r>
        <w:rPr/>
      </w:r>
    </w:p>
    <w:p>
      <w:pPr>
        <w:pStyle w:val="BodyText"/>
        <w:rPr/>
      </w:pPr>
      <w:r>
        <w:rPr/>
        <w:tab/>
        <w:t xml:space="preserve">The following table represents a more likely scenario.  This scenario assumes that No. 6 is the cheapest fuel, followed by natural gas, and then finally No. 2.  This scenario also assumes that all gas-fired units are generating power twenty-four hours a day, seven days a week.  </w:t>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p>
      <w:pPr>
        <w:pStyle w:val="BodyText"/>
        <w:rPr/>
      </w:pPr>
      <w:r>
        <w:rPr/>
      </w:r>
    </w:p>
    <w:tbl>
      <w:tblPr>
        <w:tblW w:w="9070" w:type="dxa"/>
        <w:jc w:val="start"/>
        <w:tblInd w:w="0" w:type="dxa"/>
        <w:tblLayout w:type="fixed"/>
        <w:tblCellMar>
          <w:top w:w="0" w:type="dxa"/>
          <w:start w:w="30" w:type="dxa"/>
          <w:bottom w:w="0" w:type="dxa"/>
          <w:end w:w="30" w:type="dxa"/>
        </w:tblCellMar>
      </w:tblPr>
      <w:tblGrid>
        <w:gridCol w:w="994"/>
        <w:gridCol w:w="1452"/>
        <w:gridCol w:w="1293"/>
        <w:gridCol w:w="1183"/>
        <w:gridCol w:w="1356"/>
        <w:gridCol w:w="1215"/>
        <w:gridCol w:w="1577"/>
      </w:tblGrid>
      <w:tr>
        <w:trPr>
          <w:trHeight w:val="384" w:hRule="atLeast"/>
        </w:trPr>
        <w:tc>
          <w:tcPr>
            <w:tcW w:w="7493" w:type="dxa"/>
            <w:gridSpan w:val="6"/>
            <w:tcBorders>
              <w:top w:val="single" w:sz="12" w:space="0" w:color="000000"/>
              <w:start w:val="single" w:sz="12" w:space="0" w:color="000000"/>
              <w:bottom w:val="single" w:sz="12" w:space="0" w:color="000000"/>
            </w:tcBorders>
          </w:tcPr>
          <w:p>
            <w:pPr>
              <w:pStyle w:val="Normal"/>
              <w:jc w:val="center"/>
              <w:rPr>
                <w:rFonts w:ascii="Arial" w:hAnsi="Arial" w:cs="Arial"/>
                <w:b/>
                <w:color w:val="000000"/>
                <w:sz w:val="28"/>
              </w:rPr>
            </w:pPr>
            <w:r>
              <w:rPr>
                <w:rFonts w:cs="Arial" w:ascii="Arial" w:hAnsi="Arial"/>
                <w:b/>
                <w:color w:val="000000"/>
                <w:sz w:val="28"/>
              </w:rPr>
              <w:t>Scenario #2 - No.2&gt;NG&gt;No.6 (Peak Load)</w:t>
            </w:r>
          </w:p>
        </w:tc>
        <w:tc>
          <w:tcPr>
            <w:tcW w:w="1577" w:type="dxa"/>
            <w:tcBorders>
              <w:top w:val="single" w:sz="12" w:space="0" w:color="000000"/>
              <w:bottom w:val="single" w:sz="12" w:space="0" w:color="000000"/>
              <w:end w:val="single" w:sz="12" w:space="0" w:color="000000"/>
            </w:tcBorders>
          </w:tcPr>
          <w:p>
            <w:pPr>
              <w:pStyle w:val="Normal"/>
              <w:snapToGrid w:val="false"/>
              <w:jc w:val="center"/>
              <w:rPr>
                <w:rFonts w:ascii="Arial" w:hAnsi="Arial" w:cs="Arial"/>
                <w:b/>
                <w:color w:val="000000"/>
                <w:sz w:val="28"/>
              </w:rPr>
            </w:pPr>
            <w:r>
              <w:rPr>
                <w:rFonts w:cs="Arial" w:ascii="Arial" w:hAnsi="Arial"/>
                <w:b/>
                <w:color w:val="000000"/>
                <w:sz w:val="28"/>
              </w:rPr>
            </w:r>
          </w:p>
        </w:tc>
      </w:tr>
      <w:tr>
        <w:trPr>
          <w:trHeight w:val="691" w:hRule="atLeast"/>
        </w:trPr>
        <w:tc>
          <w:tcPr>
            <w:tcW w:w="994" w:type="dxa"/>
            <w:tcBorders>
              <w:top w:val="single" w:sz="12" w:space="0" w:color="000000"/>
              <w:start w:val="single" w:sz="6" w:space="0" w:color="000000"/>
              <w:bottom w:val="single" w:sz="6" w:space="0" w:color="000000"/>
              <w:end w:val="single" w:sz="6" w:space="0" w:color="000000"/>
            </w:tcBorders>
          </w:tcPr>
          <w:p>
            <w:pPr>
              <w:pStyle w:val="Normal"/>
              <w:snapToGrid w:val="false"/>
              <w:jc w:val="end"/>
              <w:rPr>
                <w:rFonts w:ascii="Arial" w:hAnsi="Arial" w:cs="Arial"/>
                <w:b/>
                <w:color w:val="000000"/>
                <w:sz w:val="16"/>
              </w:rPr>
            </w:pPr>
            <w:r>
              <w:rPr>
                <w:rFonts w:cs="Arial" w:ascii="Arial" w:hAnsi="Arial"/>
                <w:b/>
                <w:color w:val="000000"/>
                <w:sz w:val="16"/>
              </w:rPr>
            </w:r>
          </w:p>
        </w:tc>
        <w:tc>
          <w:tcPr>
            <w:tcW w:w="1452" w:type="dxa"/>
            <w:tcBorders>
              <w:top w:val="single" w:sz="12" w:space="0" w:color="000000"/>
              <w:start w:val="single" w:sz="6" w:space="0" w:color="000000"/>
              <w:bottom w:val="single" w:sz="6" w:space="0" w:color="000000"/>
              <w:end w:val="single" w:sz="6" w:space="0" w:color="000000"/>
            </w:tcBorders>
          </w:tcPr>
          <w:p>
            <w:pPr>
              <w:pStyle w:val="Normal"/>
              <w:jc w:val="center"/>
              <w:rPr>
                <w:rFonts w:ascii="Arial" w:hAnsi="Arial" w:cs="Arial"/>
                <w:b/>
                <w:color w:val="000000"/>
                <w:sz w:val="16"/>
              </w:rPr>
            </w:pPr>
            <w:r>
              <w:rPr>
                <w:rFonts w:cs="Arial" w:ascii="Arial" w:hAnsi="Arial"/>
                <w:b/>
                <w:color w:val="000000"/>
                <w:sz w:val="16"/>
              </w:rPr>
              <w:t>Max. Gas Fired Generation (MW per hour)</w:t>
            </w:r>
          </w:p>
        </w:tc>
        <w:tc>
          <w:tcPr>
            <w:tcW w:w="1293" w:type="dxa"/>
            <w:tcBorders>
              <w:top w:val="single" w:sz="12" w:space="0" w:color="000000"/>
              <w:start w:val="single" w:sz="6" w:space="0" w:color="000000"/>
              <w:bottom w:val="single" w:sz="6" w:space="0" w:color="000000"/>
              <w:end w:val="single" w:sz="6" w:space="0" w:color="000000"/>
            </w:tcBorders>
          </w:tcPr>
          <w:p>
            <w:pPr>
              <w:pStyle w:val="Normal"/>
              <w:jc w:val="center"/>
              <w:rPr>
                <w:rFonts w:ascii="Arial" w:hAnsi="Arial" w:cs="Arial"/>
                <w:b/>
                <w:color w:val="000000"/>
                <w:sz w:val="16"/>
              </w:rPr>
            </w:pPr>
            <w:r>
              <w:rPr>
                <w:rFonts w:cs="Arial" w:ascii="Arial" w:hAnsi="Arial"/>
                <w:b/>
                <w:color w:val="000000"/>
                <w:sz w:val="16"/>
              </w:rPr>
              <w:t>Gas Consumption (MMBtu)</w:t>
            </w:r>
          </w:p>
        </w:tc>
        <w:tc>
          <w:tcPr>
            <w:tcW w:w="1183" w:type="dxa"/>
            <w:tcBorders>
              <w:top w:val="single" w:sz="12" w:space="0" w:color="000000"/>
              <w:start w:val="single" w:sz="6" w:space="0" w:color="000000"/>
              <w:bottom w:val="single" w:sz="6" w:space="0" w:color="000000"/>
              <w:end w:val="single" w:sz="6" w:space="0" w:color="000000"/>
            </w:tcBorders>
          </w:tcPr>
          <w:p>
            <w:pPr>
              <w:pStyle w:val="Normal"/>
              <w:jc w:val="center"/>
              <w:rPr>
                <w:rFonts w:ascii="Arial" w:hAnsi="Arial" w:cs="Arial"/>
                <w:b/>
                <w:color w:val="000000"/>
                <w:sz w:val="16"/>
              </w:rPr>
            </w:pPr>
            <w:r>
              <w:rPr>
                <w:rFonts w:cs="Arial" w:ascii="Arial" w:hAnsi="Arial"/>
                <w:b/>
                <w:color w:val="000000"/>
                <w:sz w:val="16"/>
              </w:rPr>
              <w:t>FGT Pipeline Capacity</w:t>
            </w:r>
          </w:p>
        </w:tc>
        <w:tc>
          <w:tcPr>
            <w:tcW w:w="1356" w:type="dxa"/>
            <w:tcBorders>
              <w:top w:val="single" w:sz="12" w:space="0" w:color="000000"/>
              <w:start w:val="single" w:sz="6" w:space="0" w:color="000000"/>
              <w:bottom w:val="single" w:sz="6" w:space="0" w:color="000000"/>
              <w:end w:val="single" w:sz="6" w:space="0" w:color="000000"/>
            </w:tcBorders>
          </w:tcPr>
          <w:p>
            <w:pPr>
              <w:pStyle w:val="Normal"/>
              <w:jc w:val="center"/>
              <w:rPr>
                <w:rFonts w:ascii="Arial" w:hAnsi="Arial" w:cs="Arial"/>
                <w:b/>
                <w:color w:val="000000"/>
                <w:sz w:val="16"/>
              </w:rPr>
            </w:pPr>
            <w:r>
              <w:rPr>
                <w:rFonts w:cs="Arial" w:ascii="Arial" w:hAnsi="Arial"/>
                <w:b/>
                <w:color w:val="000000"/>
                <w:sz w:val="16"/>
              </w:rPr>
              <w:t>Other Consumption*</w:t>
            </w:r>
          </w:p>
        </w:tc>
        <w:tc>
          <w:tcPr>
            <w:tcW w:w="1215" w:type="dxa"/>
            <w:tcBorders>
              <w:top w:val="single" w:sz="12" w:space="0" w:color="000000"/>
              <w:start w:val="single" w:sz="6" w:space="0" w:color="000000"/>
              <w:bottom w:val="single" w:sz="6" w:space="0" w:color="000000"/>
              <w:end w:val="single" w:sz="6" w:space="0" w:color="000000"/>
            </w:tcBorders>
          </w:tcPr>
          <w:p>
            <w:pPr>
              <w:pStyle w:val="Normal"/>
              <w:jc w:val="center"/>
              <w:rPr>
                <w:rFonts w:ascii="Arial" w:hAnsi="Arial" w:cs="Arial"/>
                <w:b/>
                <w:color w:val="000000"/>
                <w:sz w:val="16"/>
              </w:rPr>
            </w:pPr>
            <w:r>
              <w:rPr>
                <w:rFonts w:cs="Arial" w:ascii="Arial" w:hAnsi="Arial"/>
                <w:b/>
                <w:color w:val="000000"/>
                <w:sz w:val="16"/>
              </w:rPr>
              <w:t>FGT Capacity MMBtu/D</w:t>
            </w:r>
          </w:p>
        </w:tc>
        <w:tc>
          <w:tcPr>
            <w:tcW w:w="1577" w:type="dxa"/>
            <w:tcBorders>
              <w:top w:val="single" w:sz="12" w:space="0" w:color="000000"/>
              <w:start w:val="single" w:sz="6" w:space="0" w:color="000000"/>
              <w:bottom w:val="single" w:sz="6" w:space="0" w:color="000000"/>
              <w:end w:val="single" w:sz="6" w:space="0" w:color="000000"/>
            </w:tcBorders>
          </w:tcPr>
          <w:p>
            <w:pPr>
              <w:pStyle w:val="Normal"/>
              <w:jc w:val="center"/>
              <w:rPr>
                <w:rFonts w:ascii="Arial" w:hAnsi="Arial" w:cs="Arial"/>
                <w:b/>
                <w:color w:val="000000"/>
                <w:sz w:val="16"/>
              </w:rPr>
            </w:pPr>
            <w:r>
              <w:rPr>
                <w:rFonts w:cs="Arial" w:ascii="Arial" w:hAnsi="Arial"/>
                <w:b/>
                <w:color w:val="000000"/>
                <w:sz w:val="16"/>
              </w:rPr>
              <w:t>Balance (MMcf/D)</w:t>
            </w:r>
          </w:p>
        </w:tc>
      </w:tr>
      <w:tr>
        <w:trPr>
          <w:trHeight w:val="230" w:hRule="atLeast"/>
        </w:trPr>
        <w:tc>
          <w:tcPr>
            <w:tcW w:w="99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Dec-00</w:t>
            </w:r>
          </w:p>
        </w:tc>
        <w:tc>
          <w:tcPr>
            <w:tcW w:w="1452"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 xml:space="preserve">4,843 </w:t>
            </w:r>
          </w:p>
        </w:tc>
        <w:tc>
          <w:tcPr>
            <w:tcW w:w="1293"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 xml:space="preserve">1,080,958 </w:t>
            </w:r>
          </w:p>
        </w:tc>
        <w:tc>
          <w:tcPr>
            <w:tcW w:w="1183"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 xml:space="preserve">1,450,000 </w:t>
            </w:r>
          </w:p>
        </w:tc>
        <w:tc>
          <w:tcPr>
            <w:tcW w:w="1356"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 xml:space="preserve">521,065 </w:t>
            </w:r>
          </w:p>
        </w:tc>
        <w:tc>
          <w:tcPr>
            <w:tcW w:w="121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928,935</w:t>
            </w:r>
          </w:p>
        </w:tc>
        <w:tc>
          <w:tcPr>
            <w:tcW w:w="1577"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(152,023)</w:t>
            </w:r>
          </w:p>
        </w:tc>
      </w:tr>
      <w:tr>
        <w:trPr>
          <w:trHeight w:val="230" w:hRule="atLeast"/>
        </w:trPr>
        <w:tc>
          <w:tcPr>
            <w:tcW w:w="99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Jan-01</w:t>
            </w:r>
          </w:p>
        </w:tc>
        <w:tc>
          <w:tcPr>
            <w:tcW w:w="1452"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6,426 </w:t>
            </w:r>
          </w:p>
        </w:tc>
        <w:tc>
          <w:tcPr>
            <w:tcW w:w="1293"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1,434,283 </w:t>
            </w:r>
          </w:p>
        </w:tc>
        <w:tc>
          <w:tcPr>
            <w:tcW w:w="1183"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1,450,000 </w:t>
            </w:r>
          </w:p>
        </w:tc>
        <w:tc>
          <w:tcPr>
            <w:tcW w:w="1356"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560,871 </w:t>
            </w:r>
          </w:p>
        </w:tc>
        <w:tc>
          <w:tcPr>
            <w:tcW w:w="121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889,129</w:t>
            </w:r>
          </w:p>
        </w:tc>
        <w:tc>
          <w:tcPr>
            <w:tcW w:w="1577"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(545,154)</w:t>
            </w:r>
          </w:p>
        </w:tc>
      </w:tr>
      <w:tr>
        <w:trPr>
          <w:trHeight w:val="230" w:hRule="atLeast"/>
        </w:trPr>
        <w:tc>
          <w:tcPr>
            <w:tcW w:w="99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Feb-01</w:t>
            </w:r>
          </w:p>
        </w:tc>
        <w:tc>
          <w:tcPr>
            <w:tcW w:w="1452"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6,426 </w:t>
            </w:r>
          </w:p>
        </w:tc>
        <w:tc>
          <w:tcPr>
            <w:tcW w:w="1293"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1,434,283 </w:t>
            </w:r>
          </w:p>
        </w:tc>
        <w:tc>
          <w:tcPr>
            <w:tcW w:w="1183"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1,450,000 </w:t>
            </w:r>
          </w:p>
        </w:tc>
        <w:tc>
          <w:tcPr>
            <w:tcW w:w="1356"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542,310 </w:t>
            </w:r>
          </w:p>
        </w:tc>
        <w:tc>
          <w:tcPr>
            <w:tcW w:w="121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907,690</w:t>
            </w:r>
          </w:p>
        </w:tc>
        <w:tc>
          <w:tcPr>
            <w:tcW w:w="1577"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(526,594)</w:t>
            </w:r>
          </w:p>
        </w:tc>
      </w:tr>
      <w:tr>
        <w:trPr>
          <w:trHeight w:val="230" w:hRule="atLeast"/>
        </w:trPr>
        <w:tc>
          <w:tcPr>
            <w:tcW w:w="99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Mar-01</w:t>
            </w:r>
          </w:p>
        </w:tc>
        <w:tc>
          <w:tcPr>
            <w:tcW w:w="1452"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6,426 </w:t>
            </w:r>
          </w:p>
        </w:tc>
        <w:tc>
          <w:tcPr>
            <w:tcW w:w="1293"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1,434,283 </w:t>
            </w:r>
          </w:p>
        </w:tc>
        <w:tc>
          <w:tcPr>
            <w:tcW w:w="1183"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1,450,000 </w:t>
            </w:r>
          </w:p>
        </w:tc>
        <w:tc>
          <w:tcPr>
            <w:tcW w:w="1356"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587,613 </w:t>
            </w:r>
          </w:p>
        </w:tc>
        <w:tc>
          <w:tcPr>
            <w:tcW w:w="121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862,387</w:t>
            </w:r>
          </w:p>
        </w:tc>
        <w:tc>
          <w:tcPr>
            <w:tcW w:w="1577"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(571,896)</w:t>
            </w:r>
          </w:p>
        </w:tc>
      </w:tr>
      <w:tr>
        <w:trPr>
          <w:trHeight w:val="230" w:hRule="atLeast"/>
        </w:trPr>
        <w:tc>
          <w:tcPr>
            <w:tcW w:w="99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Apr-01</w:t>
            </w:r>
          </w:p>
        </w:tc>
        <w:tc>
          <w:tcPr>
            <w:tcW w:w="1452"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6,603 </w:t>
            </w:r>
          </w:p>
        </w:tc>
        <w:tc>
          <w:tcPr>
            <w:tcW w:w="1293"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1,473,790 </w:t>
            </w:r>
          </w:p>
        </w:tc>
        <w:tc>
          <w:tcPr>
            <w:tcW w:w="1183"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1,450,000 </w:t>
            </w:r>
          </w:p>
        </w:tc>
        <w:tc>
          <w:tcPr>
            <w:tcW w:w="1356"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571,233 </w:t>
            </w:r>
          </w:p>
        </w:tc>
        <w:tc>
          <w:tcPr>
            <w:tcW w:w="121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878,767</w:t>
            </w:r>
          </w:p>
        </w:tc>
        <w:tc>
          <w:tcPr>
            <w:tcW w:w="1577"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(595,023)</w:t>
            </w:r>
          </w:p>
        </w:tc>
      </w:tr>
      <w:tr>
        <w:trPr>
          <w:trHeight w:val="230" w:hRule="atLeast"/>
        </w:trPr>
        <w:tc>
          <w:tcPr>
            <w:tcW w:w="99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May-01</w:t>
            </w:r>
          </w:p>
        </w:tc>
        <w:tc>
          <w:tcPr>
            <w:tcW w:w="1452"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6,603 </w:t>
            </w:r>
          </w:p>
        </w:tc>
        <w:tc>
          <w:tcPr>
            <w:tcW w:w="1293"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1,473,790 </w:t>
            </w:r>
          </w:p>
        </w:tc>
        <w:tc>
          <w:tcPr>
            <w:tcW w:w="1183"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1,575,000 </w:t>
            </w:r>
          </w:p>
        </w:tc>
        <w:tc>
          <w:tcPr>
            <w:tcW w:w="1356"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498,742 </w:t>
            </w:r>
          </w:p>
        </w:tc>
        <w:tc>
          <w:tcPr>
            <w:tcW w:w="121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1,076,258</w:t>
            </w:r>
          </w:p>
        </w:tc>
        <w:tc>
          <w:tcPr>
            <w:tcW w:w="1577"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(397,532)</w:t>
            </w:r>
          </w:p>
        </w:tc>
      </w:tr>
      <w:tr>
        <w:trPr>
          <w:trHeight w:val="230" w:hRule="atLeast"/>
        </w:trPr>
        <w:tc>
          <w:tcPr>
            <w:tcW w:w="99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Jun-01</w:t>
            </w:r>
          </w:p>
        </w:tc>
        <w:tc>
          <w:tcPr>
            <w:tcW w:w="1452"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7,537 </w:t>
            </w:r>
          </w:p>
        </w:tc>
        <w:tc>
          <w:tcPr>
            <w:tcW w:w="1293"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1,682,258 </w:t>
            </w:r>
          </w:p>
        </w:tc>
        <w:tc>
          <w:tcPr>
            <w:tcW w:w="1183"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1,575,000 </w:t>
            </w:r>
          </w:p>
        </w:tc>
        <w:tc>
          <w:tcPr>
            <w:tcW w:w="1356"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510,867 </w:t>
            </w:r>
          </w:p>
        </w:tc>
        <w:tc>
          <w:tcPr>
            <w:tcW w:w="121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1,064,133</w:t>
            </w:r>
          </w:p>
        </w:tc>
        <w:tc>
          <w:tcPr>
            <w:tcW w:w="1577"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(618,125)</w:t>
            </w:r>
          </w:p>
        </w:tc>
      </w:tr>
      <w:tr>
        <w:trPr>
          <w:trHeight w:val="230" w:hRule="atLeast"/>
        </w:trPr>
        <w:tc>
          <w:tcPr>
            <w:tcW w:w="99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Jul-01</w:t>
            </w:r>
          </w:p>
        </w:tc>
        <w:tc>
          <w:tcPr>
            <w:tcW w:w="1452"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7,537 </w:t>
            </w:r>
          </w:p>
        </w:tc>
        <w:tc>
          <w:tcPr>
            <w:tcW w:w="1293"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1,682,258 </w:t>
            </w:r>
          </w:p>
        </w:tc>
        <w:tc>
          <w:tcPr>
            <w:tcW w:w="1183"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1,775,000 </w:t>
            </w:r>
          </w:p>
        </w:tc>
        <w:tc>
          <w:tcPr>
            <w:tcW w:w="1356"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500,548 </w:t>
            </w:r>
          </w:p>
        </w:tc>
        <w:tc>
          <w:tcPr>
            <w:tcW w:w="121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1,274,452</w:t>
            </w:r>
          </w:p>
        </w:tc>
        <w:tc>
          <w:tcPr>
            <w:tcW w:w="1577"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(407,807)</w:t>
            </w:r>
          </w:p>
        </w:tc>
      </w:tr>
      <w:tr>
        <w:trPr>
          <w:trHeight w:val="230" w:hRule="atLeast"/>
        </w:trPr>
        <w:tc>
          <w:tcPr>
            <w:tcW w:w="99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Aug-01</w:t>
            </w:r>
          </w:p>
        </w:tc>
        <w:tc>
          <w:tcPr>
            <w:tcW w:w="1452"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7,554 </w:t>
            </w:r>
          </w:p>
        </w:tc>
        <w:tc>
          <w:tcPr>
            <w:tcW w:w="1293"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1,686,053 </w:t>
            </w:r>
          </w:p>
        </w:tc>
        <w:tc>
          <w:tcPr>
            <w:tcW w:w="1183"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1,775,000 </w:t>
            </w:r>
          </w:p>
        </w:tc>
        <w:tc>
          <w:tcPr>
            <w:tcW w:w="1356"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510,839 </w:t>
            </w:r>
          </w:p>
        </w:tc>
        <w:tc>
          <w:tcPr>
            <w:tcW w:w="121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1,264,161</w:t>
            </w:r>
          </w:p>
        </w:tc>
        <w:tc>
          <w:tcPr>
            <w:tcW w:w="1577"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(421,892)</w:t>
            </w:r>
          </w:p>
        </w:tc>
      </w:tr>
      <w:tr>
        <w:trPr>
          <w:trHeight w:val="230" w:hRule="atLeast"/>
        </w:trPr>
        <w:tc>
          <w:tcPr>
            <w:tcW w:w="99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Sep-01</w:t>
            </w:r>
          </w:p>
        </w:tc>
        <w:tc>
          <w:tcPr>
            <w:tcW w:w="1452"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7,554 </w:t>
            </w:r>
          </w:p>
        </w:tc>
        <w:tc>
          <w:tcPr>
            <w:tcW w:w="1293"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1,686,053 </w:t>
            </w:r>
          </w:p>
        </w:tc>
        <w:tc>
          <w:tcPr>
            <w:tcW w:w="1183"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1,775,000 </w:t>
            </w:r>
          </w:p>
        </w:tc>
        <w:tc>
          <w:tcPr>
            <w:tcW w:w="1356"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475,833 </w:t>
            </w:r>
          </w:p>
        </w:tc>
        <w:tc>
          <w:tcPr>
            <w:tcW w:w="121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1,299,167</w:t>
            </w:r>
          </w:p>
        </w:tc>
        <w:tc>
          <w:tcPr>
            <w:tcW w:w="1577"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(386,886)</w:t>
            </w:r>
          </w:p>
        </w:tc>
      </w:tr>
      <w:tr>
        <w:trPr>
          <w:trHeight w:val="230" w:hRule="atLeast"/>
        </w:trPr>
        <w:tc>
          <w:tcPr>
            <w:tcW w:w="99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Oct-01</w:t>
            </w:r>
          </w:p>
        </w:tc>
        <w:tc>
          <w:tcPr>
            <w:tcW w:w="1452"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7,554 </w:t>
            </w:r>
          </w:p>
        </w:tc>
        <w:tc>
          <w:tcPr>
            <w:tcW w:w="1293"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1,686,053 </w:t>
            </w:r>
          </w:p>
        </w:tc>
        <w:tc>
          <w:tcPr>
            <w:tcW w:w="1183"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1,775,000 </w:t>
            </w:r>
          </w:p>
        </w:tc>
        <w:tc>
          <w:tcPr>
            <w:tcW w:w="1356"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494,129 </w:t>
            </w:r>
          </w:p>
        </w:tc>
        <w:tc>
          <w:tcPr>
            <w:tcW w:w="121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1,280,871</w:t>
            </w:r>
          </w:p>
        </w:tc>
        <w:tc>
          <w:tcPr>
            <w:tcW w:w="1577"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(405,182)</w:t>
            </w:r>
          </w:p>
        </w:tc>
      </w:tr>
      <w:tr>
        <w:trPr>
          <w:trHeight w:val="230" w:hRule="atLeast"/>
        </w:trPr>
        <w:tc>
          <w:tcPr>
            <w:tcW w:w="99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Nov-01</w:t>
            </w:r>
          </w:p>
        </w:tc>
        <w:tc>
          <w:tcPr>
            <w:tcW w:w="1452"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7,554 </w:t>
            </w:r>
          </w:p>
        </w:tc>
        <w:tc>
          <w:tcPr>
            <w:tcW w:w="1293"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1,686,053 </w:t>
            </w:r>
          </w:p>
        </w:tc>
        <w:tc>
          <w:tcPr>
            <w:tcW w:w="1183"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1,775,000 </w:t>
            </w:r>
          </w:p>
        </w:tc>
        <w:tc>
          <w:tcPr>
            <w:tcW w:w="1356"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511,200 </w:t>
            </w:r>
          </w:p>
        </w:tc>
        <w:tc>
          <w:tcPr>
            <w:tcW w:w="121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1,263,800</w:t>
            </w:r>
          </w:p>
        </w:tc>
        <w:tc>
          <w:tcPr>
            <w:tcW w:w="1577"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(422,253)</w:t>
            </w:r>
          </w:p>
        </w:tc>
      </w:tr>
      <w:tr>
        <w:trPr>
          <w:trHeight w:val="230" w:hRule="atLeast"/>
        </w:trPr>
        <w:tc>
          <w:tcPr>
            <w:tcW w:w="99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Dec-01</w:t>
            </w:r>
          </w:p>
        </w:tc>
        <w:tc>
          <w:tcPr>
            <w:tcW w:w="1452"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8,395 </w:t>
            </w:r>
          </w:p>
        </w:tc>
        <w:tc>
          <w:tcPr>
            <w:tcW w:w="1293"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1,873,764 </w:t>
            </w:r>
          </w:p>
        </w:tc>
        <w:tc>
          <w:tcPr>
            <w:tcW w:w="1183"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1,650,000 </w:t>
            </w:r>
          </w:p>
        </w:tc>
        <w:tc>
          <w:tcPr>
            <w:tcW w:w="1356"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529,000 </w:t>
            </w:r>
          </w:p>
        </w:tc>
        <w:tc>
          <w:tcPr>
            <w:tcW w:w="121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1,121,000</w:t>
            </w:r>
          </w:p>
        </w:tc>
        <w:tc>
          <w:tcPr>
            <w:tcW w:w="1577"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(752,764)</w:t>
            </w:r>
          </w:p>
        </w:tc>
      </w:tr>
      <w:tr>
        <w:trPr>
          <w:trHeight w:val="230" w:hRule="atLeast"/>
        </w:trPr>
        <w:tc>
          <w:tcPr>
            <w:tcW w:w="99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Jan-02</w:t>
            </w:r>
          </w:p>
        </w:tc>
        <w:tc>
          <w:tcPr>
            <w:tcW w:w="1452"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10,937 </w:t>
            </w:r>
          </w:p>
        </w:tc>
        <w:tc>
          <w:tcPr>
            <w:tcW w:w="1293"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2,441,138 </w:t>
            </w:r>
          </w:p>
        </w:tc>
        <w:tc>
          <w:tcPr>
            <w:tcW w:w="1183"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1,650,000 </w:t>
            </w:r>
          </w:p>
        </w:tc>
        <w:tc>
          <w:tcPr>
            <w:tcW w:w="1356"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570,967 </w:t>
            </w:r>
          </w:p>
        </w:tc>
        <w:tc>
          <w:tcPr>
            <w:tcW w:w="121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1,079,033</w:t>
            </w:r>
          </w:p>
        </w:tc>
        <w:tc>
          <w:tcPr>
            <w:tcW w:w="1577"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(1,362,105)</w:t>
            </w:r>
          </w:p>
        </w:tc>
      </w:tr>
      <w:tr>
        <w:trPr>
          <w:trHeight w:val="230" w:hRule="atLeast"/>
        </w:trPr>
        <w:tc>
          <w:tcPr>
            <w:tcW w:w="99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Feb-02</w:t>
            </w:r>
          </w:p>
        </w:tc>
        <w:tc>
          <w:tcPr>
            <w:tcW w:w="1452"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10,937 </w:t>
            </w:r>
          </w:p>
        </w:tc>
        <w:tc>
          <w:tcPr>
            <w:tcW w:w="1293"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2,441,138 </w:t>
            </w:r>
          </w:p>
        </w:tc>
        <w:tc>
          <w:tcPr>
            <w:tcW w:w="1183"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1,650,000 </w:t>
            </w:r>
          </w:p>
        </w:tc>
        <w:tc>
          <w:tcPr>
            <w:tcW w:w="1356"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552,072 </w:t>
            </w:r>
          </w:p>
        </w:tc>
        <w:tc>
          <w:tcPr>
            <w:tcW w:w="121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1,097,928</w:t>
            </w:r>
          </w:p>
        </w:tc>
        <w:tc>
          <w:tcPr>
            <w:tcW w:w="1577"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(1,343,210)</w:t>
            </w:r>
          </w:p>
        </w:tc>
      </w:tr>
      <w:tr>
        <w:trPr>
          <w:trHeight w:val="230" w:hRule="atLeast"/>
        </w:trPr>
        <w:tc>
          <w:tcPr>
            <w:tcW w:w="99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Mar-02</w:t>
            </w:r>
          </w:p>
        </w:tc>
        <w:tc>
          <w:tcPr>
            <w:tcW w:w="1452"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10,937 </w:t>
            </w:r>
          </w:p>
        </w:tc>
        <w:tc>
          <w:tcPr>
            <w:tcW w:w="1293"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2,441,138 </w:t>
            </w:r>
          </w:p>
        </w:tc>
        <w:tc>
          <w:tcPr>
            <w:tcW w:w="1183"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1,650,000 </w:t>
            </w:r>
          </w:p>
        </w:tc>
        <w:tc>
          <w:tcPr>
            <w:tcW w:w="1356"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598,190 </w:t>
            </w:r>
          </w:p>
        </w:tc>
        <w:tc>
          <w:tcPr>
            <w:tcW w:w="121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1,051,810</w:t>
            </w:r>
          </w:p>
        </w:tc>
        <w:tc>
          <w:tcPr>
            <w:tcW w:w="1577"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(1,389,328)</w:t>
            </w:r>
          </w:p>
        </w:tc>
      </w:tr>
      <w:tr>
        <w:trPr>
          <w:trHeight w:val="230" w:hRule="atLeast"/>
        </w:trPr>
        <w:tc>
          <w:tcPr>
            <w:tcW w:w="99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Apr-02</w:t>
            </w:r>
          </w:p>
        </w:tc>
        <w:tc>
          <w:tcPr>
            <w:tcW w:w="1452"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11,787 </w:t>
            </w:r>
          </w:p>
        </w:tc>
        <w:tc>
          <w:tcPr>
            <w:tcW w:w="1293"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2,630,858 </w:t>
            </w:r>
          </w:p>
        </w:tc>
        <w:tc>
          <w:tcPr>
            <w:tcW w:w="1183"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1,650,000 </w:t>
            </w:r>
          </w:p>
        </w:tc>
        <w:tc>
          <w:tcPr>
            <w:tcW w:w="1356"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581,516 </w:t>
            </w:r>
          </w:p>
        </w:tc>
        <w:tc>
          <w:tcPr>
            <w:tcW w:w="121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1,068,484</w:t>
            </w:r>
          </w:p>
        </w:tc>
        <w:tc>
          <w:tcPr>
            <w:tcW w:w="1577"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(1,562,374)</w:t>
            </w:r>
          </w:p>
        </w:tc>
      </w:tr>
      <w:tr>
        <w:trPr>
          <w:trHeight w:val="230" w:hRule="atLeast"/>
        </w:trPr>
        <w:tc>
          <w:tcPr>
            <w:tcW w:w="99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May-02</w:t>
            </w:r>
          </w:p>
        </w:tc>
        <w:tc>
          <w:tcPr>
            <w:tcW w:w="1452"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11,787 </w:t>
            </w:r>
          </w:p>
        </w:tc>
        <w:tc>
          <w:tcPr>
            <w:tcW w:w="1293"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2,630,858 </w:t>
            </w:r>
          </w:p>
        </w:tc>
        <w:tc>
          <w:tcPr>
            <w:tcW w:w="1183"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2,200,000 </w:t>
            </w:r>
          </w:p>
        </w:tc>
        <w:tc>
          <w:tcPr>
            <w:tcW w:w="1356"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507,719 </w:t>
            </w:r>
          </w:p>
        </w:tc>
        <w:tc>
          <w:tcPr>
            <w:tcW w:w="121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1,692,281</w:t>
            </w:r>
          </w:p>
        </w:tc>
        <w:tc>
          <w:tcPr>
            <w:tcW w:w="1577"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(938,578)</w:t>
            </w:r>
          </w:p>
        </w:tc>
      </w:tr>
      <w:tr>
        <w:trPr>
          <w:trHeight w:val="230" w:hRule="atLeast"/>
        </w:trPr>
        <w:tc>
          <w:tcPr>
            <w:tcW w:w="99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Jun-02</w:t>
            </w:r>
          </w:p>
        </w:tc>
        <w:tc>
          <w:tcPr>
            <w:tcW w:w="1452"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15,911 </w:t>
            </w:r>
          </w:p>
        </w:tc>
        <w:tc>
          <w:tcPr>
            <w:tcW w:w="1293"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3,551,335 </w:t>
            </w:r>
          </w:p>
        </w:tc>
        <w:tc>
          <w:tcPr>
            <w:tcW w:w="1183"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2,200,000 </w:t>
            </w:r>
          </w:p>
        </w:tc>
        <w:tc>
          <w:tcPr>
            <w:tcW w:w="1356"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520,062 </w:t>
            </w:r>
          </w:p>
        </w:tc>
        <w:tc>
          <w:tcPr>
            <w:tcW w:w="121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1,679,938</w:t>
            </w:r>
          </w:p>
        </w:tc>
        <w:tc>
          <w:tcPr>
            <w:tcW w:w="1577"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(1,871,397)</w:t>
            </w:r>
          </w:p>
        </w:tc>
      </w:tr>
      <w:tr>
        <w:trPr>
          <w:trHeight w:val="230" w:hRule="atLeast"/>
        </w:trPr>
        <w:tc>
          <w:tcPr>
            <w:tcW w:w="99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Jul-02</w:t>
            </w:r>
          </w:p>
        </w:tc>
        <w:tc>
          <w:tcPr>
            <w:tcW w:w="1452"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15,911 </w:t>
            </w:r>
          </w:p>
        </w:tc>
        <w:tc>
          <w:tcPr>
            <w:tcW w:w="1293"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3,551,335 </w:t>
            </w:r>
          </w:p>
        </w:tc>
        <w:tc>
          <w:tcPr>
            <w:tcW w:w="1183"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3,300,000 </w:t>
            </w:r>
          </w:p>
        </w:tc>
        <w:tc>
          <w:tcPr>
            <w:tcW w:w="1356"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509,558 </w:t>
            </w:r>
          </w:p>
        </w:tc>
        <w:tc>
          <w:tcPr>
            <w:tcW w:w="121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2,790,442</w:t>
            </w:r>
          </w:p>
        </w:tc>
        <w:tc>
          <w:tcPr>
            <w:tcW w:w="1577"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(760,893)</w:t>
            </w:r>
          </w:p>
        </w:tc>
      </w:tr>
      <w:tr>
        <w:trPr>
          <w:trHeight w:val="230" w:hRule="atLeast"/>
        </w:trPr>
        <w:tc>
          <w:tcPr>
            <w:tcW w:w="99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Aug-02</w:t>
            </w:r>
          </w:p>
        </w:tc>
        <w:tc>
          <w:tcPr>
            <w:tcW w:w="1452"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15,911 </w:t>
            </w:r>
          </w:p>
        </w:tc>
        <w:tc>
          <w:tcPr>
            <w:tcW w:w="1293"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3,551,335 </w:t>
            </w:r>
          </w:p>
        </w:tc>
        <w:tc>
          <w:tcPr>
            <w:tcW w:w="1183"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3,300,000 </w:t>
            </w:r>
          </w:p>
        </w:tc>
        <w:tc>
          <w:tcPr>
            <w:tcW w:w="1356"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520,034 </w:t>
            </w:r>
          </w:p>
        </w:tc>
        <w:tc>
          <w:tcPr>
            <w:tcW w:w="121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2,779,966</w:t>
            </w:r>
          </w:p>
        </w:tc>
        <w:tc>
          <w:tcPr>
            <w:tcW w:w="1577"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(771,369)</w:t>
            </w:r>
          </w:p>
        </w:tc>
      </w:tr>
      <w:tr>
        <w:trPr>
          <w:trHeight w:val="230" w:hRule="atLeast"/>
        </w:trPr>
        <w:tc>
          <w:tcPr>
            <w:tcW w:w="99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Sep-02</w:t>
            </w:r>
          </w:p>
        </w:tc>
        <w:tc>
          <w:tcPr>
            <w:tcW w:w="1452"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15,911 </w:t>
            </w:r>
          </w:p>
        </w:tc>
        <w:tc>
          <w:tcPr>
            <w:tcW w:w="1293"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3,551,335 </w:t>
            </w:r>
          </w:p>
        </w:tc>
        <w:tc>
          <w:tcPr>
            <w:tcW w:w="1183"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3,300,000 </w:t>
            </w:r>
          </w:p>
        </w:tc>
        <w:tc>
          <w:tcPr>
            <w:tcW w:w="1356"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484,398 </w:t>
            </w:r>
          </w:p>
        </w:tc>
        <w:tc>
          <w:tcPr>
            <w:tcW w:w="121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2,815,602</w:t>
            </w:r>
          </w:p>
        </w:tc>
        <w:tc>
          <w:tcPr>
            <w:tcW w:w="1577"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(735,734)</w:t>
            </w:r>
          </w:p>
        </w:tc>
      </w:tr>
      <w:tr>
        <w:trPr>
          <w:trHeight w:val="230" w:hRule="atLeast"/>
        </w:trPr>
        <w:tc>
          <w:tcPr>
            <w:tcW w:w="99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Oct-02</w:t>
            </w:r>
          </w:p>
        </w:tc>
        <w:tc>
          <w:tcPr>
            <w:tcW w:w="1452"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15,911 </w:t>
            </w:r>
          </w:p>
        </w:tc>
        <w:tc>
          <w:tcPr>
            <w:tcW w:w="1293"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3,551,335 </w:t>
            </w:r>
          </w:p>
        </w:tc>
        <w:tc>
          <w:tcPr>
            <w:tcW w:w="1183"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3,300,000 </w:t>
            </w:r>
          </w:p>
        </w:tc>
        <w:tc>
          <w:tcPr>
            <w:tcW w:w="1356"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503,023 </w:t>
            </w:r>
          </w:p>
        </w:tc>
        <w:tc>
          <w:tcPr>
            <w:tcW w:w="121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2,796,977</w:t>
            </w:r>
          </w:p>
        </w:tc>
        <w:tc>
          <w:tcPr>
            <w:tcW w:w="1577"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(754,359)</w:t>
            </w:r>
          </w:p>
        </w:tc>
      </w:tr>
      <w:tr>
        <w:trPr>
          <w:trHeight w:val="230" w:hRule="atLeast"/>
        </w:trPr>
        <w:tc>
          <w:tcPr>
            <w:tcW w:w="99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Nov-02</w:t>
            </w:r>
          </w:p>
        </w:tc>
        <w:tc>
          <w:tcPr>
            <w:tcW w:w="1452"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15,911 </w:t>
            </w:r>
          </w:p>
        </w:tc>
        <w:tc>
          <w:tcPr>
            <w:tcW w:w="1293"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3,551,335 </w:t>
            </w:r>
          </w:p>
        </w:tc>
        <w:tc>
          <w:tcPr>
            <w:tcW w:w="1183"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3,300,000 </w:t>
            </w:r>
          </w:p>
        </w:tc>
        <w:tc>
          <w:tcPr>
            <w:tcW w:w="1356"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520,402 </w:t>
            </w:r>
          </w:p>
        </w:tc>
        <w:tc>
          <w:tcPr>
            <w:tcW w:w="121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2,779,598</w:t>
            </w:r>
          </w:p>
        </w:tc>
        <w:tc>
          <w:tcPr>
            <w:tcW w:w="1577"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(771,737)</w:t>
            </w:r>
          </w:p>
        </w:tc>
      </w:tr>
      <w:tr>
        <w:trPr>
          <w:trHeight w:val="230" w:hRule="atLeast"/>
        </w:trPr>
        <w:tc>
          <w:tcPr>
            <w:tcW w:w="994"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Dec-02</w:t>
            </w:r>
          </w:p>
        </w:tc>
        <w:tc>
          <w:tcPr>
            <w:tcW w:w="1452"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15,911 </w:t>
            </w:r>
          </w:p>
        </w:tc>
        <w:tc>
          <w:tcPr>
            <w:tcW w:w="1293"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3,551,335 </w:t>
            </w:r>
          </w:p>
        </w:tc>
        <w:tc>
          <w:tcPr>
            <w:tcW w:w="1183"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3,175,000 </w:t>
            </w:r>
          </w:p>
        </w:tc>
        <w:tc>
          <w:tcPr>
            <w:tcW w:w="1356"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 xml:space="preserve">538,522 </w:t>
            </w:r>
          </w:p>
        </w:tc>
        <w:tc>
          <w:tcPr>
            <w:tcW w:w="1215"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color w:val="000000"/>
                <w:sz w:val="16"/>
              </w:rPr>
            </w:pPr>
            <w:r>
              <w:rPr>
                <w:rFonts w:cs="Arial" w:ascii="Arial" w:hAnsi="Arial"/>
                <w:color w:val="000000"/>
                <w:sz w:val="16"/>
              </w:rPr>
              <w:t>2,636,478</w:t>
            </w:r>
          </w:p>
        </w:tc>
        <w:tc>
          <w:tcPr>
            <w:tcW w:w="1577" w:type="dxa"/>
            <w:tcBorders>
              <w:top w:val="single" w:sz="6" w:space="0" w:color="000000"/>
              <w:start w:val="single" w:sz="6" w:space="0" w:color="000000"/>
              <w:bottom w:val="single" w:sz="6" w:space="0" w:color="000000"/>
              <w:end w:val="single" w:sz="6" w:space="0" w:color="000000"/>
            </w:tcBorders>
          </w:tcPr>
          <w:p>
            <w:pPr>
              <w:pStyle w:val="Normal"/>
              <w:jc w:val="end"/>
              <w:rPr>
                <w:rFonts w:ascii="Arial" w:hAnsi="Arial" w:cs="Arial"/>
                <w:b/>
                <w:color w:val="000000"/>
                <w:sz w:val="16"/>
              </w:rPr>
            </w:pPr>
            <w:r>
              <w:rPr>
                <w:rFonts w:cs="Arial" w:ascii="Arial" w:hAnsi="Arial"/>
                <w:b/>
                <w:color w:val="000000"/>
                <w:sz w:val="16"/>
              </w:rPr>
              <w:t>(914,857)</w:t>
            </w:r>
          </w:p>
        </w:tc>
      </w:tr>
      <w:tr>
        <w:trPr>
          <w:trHeight w:val="230" w:hRule="atLeast"/>
        </w:trPr>
        <w:tc>
          <w:tcPr>
            <w:tcW w:w="994" w:type="dxa"/>
            <w:tcBorders>
              <w:top w:val="single" w:sz="6" w:space="0" w:color="000000"/>
              <w:start w:val="single" w:sz="6" w:space="0" w:color="000000"/>
              <w:bottom w:val="single" w:sz="6" w:space="0" w:color="000000"/>
              <w:end w:val="single" w:sz="6" w:space="0" w:color="000000"/>
            </w:tcBorders>
          </w:tcPr>
          <w:p>
            <w:pPr>
              <w:pStyle w:val="Normal"/>
              <w:snapToGrid w:val="false"/>
              <w:jc w:val="end"/>
              <w:rPr>
                <w:rFonts w:ascii="Arial" w:hAnsi="Arial" w:cs="Arial"/>
                <w:b/>
                <w:color w:val="000000"/>
                <w:sz w:val="16"/>
              </w:rPr>
            </w:pPr>
            <w:r>
              <w:rPr>
                <w:rFonts w:cs="Arial" w:ascii="Arial" w:hAnsi="Arial"/>
                <w:b/>
                <w:color w:val="000000"/>
                <w:sz w:val="16"/>
              </w:rPr>
            </w:r>
          </w:p>
        </w:tc>
        <w:tc>
          <w:tcPr>
            <w:tcW w:w="1452" w:type="dxa"/>
            <w:tcBorders>
              <w:top w:val="single" w:sz="6" w:space="0" w:color="000000"/>
              <w:start w:val="single" w:sz="6" w:space="0" w:color="000000"/>
              <w:bottom w:val="single" w:sz="6" w:space="0" w:color="000000"/>
              <w:end w:val="single" w:sz="6" w:space="0" w:color="000000"/>
            </w:tcBorders>
          </w:tcPr>
          <w:p>
            <w:pPr>
              <w:pStyle w:val="Normal"/>
              <w:snapToGrid w:val="false"/>
              <w:jc w:val="end"/>
              <w:rPr>
                <w:rFonts w:ascii="Arial" w:hAnsi="Arial" w:cs="Arial"/>
                <w:color w:val="000000"/>
                <w:sz w:val="16"/>
              </w:rPr>
            </w:pPr>
            <w:r>
              <w:rPr>
                <w:rFonts w:cs="Arial" w:ascii="Arial" w:hAnsi="Arial"/>
                <w:color w:val="000000"/>
                <w:sz w:val="16"/>
              </w:rPr>
            </w:r>
          </w:p>
        </w:tc>
        <w:tc>
          <w:tcPr>
            <w:tcW w:w="1293" w:type="dxa"/>
            <w:tcBorders>
              <w:top w:val="single" w:sz="6" w:space="0" w:color="000000"/>
              <w:start w:val="single" w:sz="6" w:space="0" w:color="000000"/>
              <w:bottom w:val="single" w:sz="6" w:space="0" w:color="000000"/>
              <w:end w:val="single" w:sz="6" w:space="0" w:color="000000"/>
            </w:tcBorders>
          </w:tcPr>
          <w:p>
            <w:pPr>
              <w:pStyle w:val="Normal"/>
              <w:snapToGrid w:val="false"/>
              <w:jc w:val="end"/>
              <w:rPr>
                <w:rFonts w:ascii="Arial" w:hAnsi="Arial" w:cs="Arial"/>
                <w:color w:val="000000"/>
                <w:sz w:val="16"/>
              </w:rPr>
            </w:pPr>
            <w:r>
              <w:rPr>
                <w:rFonts w:cs="Arial" w:ascii="Arial" w:hAnsi="Arial"/>
                <w:color w:val="000000"/>
                <w:sz w:val="16"/>
              </w:rPr>
            </w:r>
          </w:p>
        </w:tc>
        <w:tc>
          <w:tcPr>
            <w:tcW w:w="1183" w:type="dxa"/>
            <w:tcBorders>
              <w:top w:val="single" w:sz="6" w:space="0" w:color="000000"/>
              <w:start w:val="single" w:sz="6" w:space="0" w:color="000000"/>
              <w:bottom w:val="single" w:sz="6" w:space="0" w:color="000000"/>
              <w:end w:val="single" w:sz="6" w:space="0" w:color="000000"/>
            </w:tcBorders>
          </w:tcPr>
          <w:p>
            <w:pPr>
              <w:pStyle w:val="Normal"/>
              <w:snapToGrid w:val="false"/>
              <w:jc w:val="end"/>
              <w:rPr>
                <w:rFonts w:ascii="Arial" w:hAnsi="Arial" w:cs="Arial"/>
                <w:color w:val="000000"/>
                <w:sz w:val="16"/>
              </w:rPr>
            </w:pPr>
            <w:r>
              <w:rPr>
                <w:rFonts w:cs="Arial" w:ascii="Arial" w:hAnsi="Arial"/>
                <w:color w:val="000000"/>
                <w:sz w:val="16"/>
              </w:rPr>
            </w:r>
          </w:p>
        </w:tc>
        <w:tc>
          <w:tcPr>
            <w:tcW w:w="1356" w:type="dxa"/>
            <w:tcBorders>
              <w:top w:val="single" w:sz="6" w:space="0" w:color="000000"/>
              <w:start w:val="single" w:sz="6" w:space="0" w:color="000000"/>
              <w:bottom w:val="single" w:sz="6" w:space="0" w:color="000000"/>
              <w:end w:val="single" w:sz="6" w:space="0" w:color="000000"/>
            </w:tcBorders>
          </w:tcPr>
          <w:p>
            <w:pPr>
              <w:pStyle w:val="Normal"/>
              <w:snapToGrid w:val="false"/>
              <w:jc w:val="end"/>
              <w:rPr>
                <w:rFonts w:ascii="Arial" w:hAnsi="Arial" w:cs="Arial"/>
                <w:color w:val="000000"/>
                <w:sz w:val="16"/>
              </w:rPr>
            </w:pPr>
            <w:r>
              <w:rPr>
                <w:rFonts w:cs="Arial" w:ascii="Arial" w:hAnsi="Arial"/>
                <w:color w:val="000000"/>
                <w:sz w:val="16"/>
              </w:rPr>
            </w:r>
          </w:p>
        </w:tc>
        <w:tc>
          <w:tcPr>
            <w:tcW w:w="1215" w:type="dxa"/>
            <w:tcBorders>
              <w:top w:val="single" w:sz="6" w:space="0" w:color="000000"/>
              <w:start w:val="single" w:sz="6" w:space="0" w:color="000000"/>
              <w:bottom w:val="single" w:sz="6" w:space="0" w:color="000000"/>
              <w:end w:val="single" w:sz="6" w:space="0" w:color="000000"/>
            </w:tcBorders>
          </w:tcPr>
          <w:p>
            <w:pPr>
              <w:pStyle w:val="Normal"/>
              <w:snapToGrid w:val="false"/>
              <w:jc w:val="end"/>
              <w:rPr>
                <w:rFonts w:ascii="Arial" w:hAnsi="Arial" w:cs="Arial"/>
                <w:color w:val="000000"/>
                <w:sz w:val="16"/>
              </w:rPr>
            </w:pPr>
            <w:r>
              <w:rPr>
                <w:rFonts w:cs="Arial" w:ascii="Arial" w:hAnsi="Arial"/>
                <w:color w:val="000000"/>
                <w:sz w:val="16"/>
              </w:rPr>
            </w:r>
          </w:p>
        </w:tc>
        <w:tc>
          <w:tcPr>
            <w:tcW w:w="1577" w:type="dxa"/>
            <w:tcBorders>
              <w:top w:val="single" w:sz="6" w:space="0" w:color="000000"/>
              <w:start w:val="single" w:sz="6" w:space="0" w:color="000000"/>
              <w:bottom w:val="single" w:sz="6" w:space="0" w:color="000000"/>
              <w:end w:val="single" w:sz="6" w:space="0" w:color="000000"/>
            </w:tcBorders>
          </w:tcPr>
          <w:p>
            <w:pPr>
              <w:pStyle w:val="Normal"/>
              <w:snapToGrid w:val="false"/>
              <w:jc w:val="end"/>
              <w:rPr>
                <w:rFonts w:ascii="Arial" w:hAnsi="Arial" w:cs="Arial"/>
                <w:color w:val="000000"/>
                <w:sz w:val="16"/>
              </w:rPr>
            </w:pPr>
            <w:r>
              <w:rPr>
                <w:rFonts w:cs="Arial" w:ascii="Arial" w:hAnsi="Arial"/>
                <w:color w:val="000000"/>
                <w:sz w:val="16"/>
              </w:rPr>
            </w:r>
          </w:p>
        </w:tc>
      </w:tr>
      <w:tr>
        <w:trPr>
          <w:trHeight w:val="230" w:hRule="atLeast"/>
        </w:trPr>
        <w:tc>
          <w:tcPr>
            <w:tcW w:w="9070" w:type="dxa"/>
            <w:gridSpan w:val="7"/>
            <w:tcBorders>
              <w:top w:val="single" w:sz="6" w:space="0" w:color="000000"/>
              <w:start w:val="single" w:sz="6" w:space="0" w:color="000000"/>
              <w:bottom w:val="single" w:sz="6" w:space="0" w:color="000000"/>
              <w:end w:val="single" w:sz="6" w:space="0" w:color="000000"/>
            </w:tcBorders>
          </w:tcPr>
          <w:p>
            <w:pPr>
              <w:pStyle w:val="Normal"/>
              <w:rPr>
                <w:rFonts w:ascii="Arial" w:hAnsi="Arial" w:cs="Arial"/>
                <w:color w:val="000000"/>
                <w:sz w:val="16"/>
              </w:rPr>
            </w:pPr>
            <w:r>
              <w:rPr>
                <w:rFonts w:cs="Arial" w:ascii="Arial" w:hAnsi="Arial"/>
                <w:color w:val="000000"/>
                <w:sz w:val="16"/>
              </w:rPr>
              <w:t xml:space="preserve">*Includes baseload industrial, residential, and commercial consumption </w:t>
            </w:r>
          </w:p>
        </w:tc>
      </w:tr>
    </w:tbl>
    <w:p>
      <w:pPr>
        <w:pStyle w:val="BodyText"/>
        <w:rPr/>
      </w:pPr>
      <w:r>
        <w:rPr/>
        <w:t xml:space="preserve"> </w:t>
      </w:r>
    </w:p>
    <w:p>
      <w:pPr>
        <w:pStyle w:val="BodyText"/>
        <w:ind w:firstLine="720" w:end="0"/>
        <w:rPr/>
      </w:pPr>
      <w:r>
        <w:rPr/>
        <w:t xml:space="preserve">In this situation, gas shortages still exist at peak generation.  In order to meet peak demand, power imports would need to increase or No. 2 would be substituted in the place of gas.  This situation appears likely during peak times from July 2001 through September 2001.  This should lead to strong demand for delivered gas and a strong basis market in Florida during the summer of 2001.  </w:t>
      </w:r>
    </w:p>
    <w:p>
      <w:pPr>
        <w:pStyle w:val="BodyText"/>
        <w:ind w:firstLine="720" w:end="0"/>
        <w:rPr/>
      </w:pPr>
      <w:r>
        <w:rPr/>
      </w:r>
    </w:p>
    <w:p>
      <w:pPr>
        <w:pStyle w:val="BodyText"/>
        <w:ind w:firstLine="720" w:end="0"/>
        <w:rPr/>
      </w:pPr>
      <w:r>
        <w:rPr/>
        <w:t xml:space="preserve">Since we are currently unable to identify the exact hourly generation mix in the Florida market, we need to further analyze the variables that influence fuel switching and the curtailment of generation from lower priced baseload units, mainly No. 6 oil.  An example of this phenomenon is currently taking place.  Under current market conditions, with natural gas as the most expensive fuel, gas-fired generation should only occur when power loads extend beyond 38,097 MW, which is greater than the peak load during summer.  However, based on FGT pipeline flow data, it is clear that at least .5 BCF/d is being consumed for power generation.  </w:t>
      </w:r>
    </w:p>
    <w:p>
      <w:pPr>
        <w:pStyle w:val="BodyText"/>
        <w:rPr/>
      </w:pPr>
      <w:r>
        <w:rPr/>
        <w:tab/>
      </w:r>
    </w:p>
    <w:p>
      <w:pPr>
        <w:pStyle w:val="BodyText"/>
        <w:rPr/>
      </w:pPr>
      <w:r>
        <w:rPr/>
      </w:r>
    </w:p>
    <w:p>
      <w:pPr>
        <w:pStyle w:val="BodyText"/>
        <w:rPr>
          <w:u w:val="single"/>
        </w:rPr>
      </w:pPr>
      <w:r>
        <w:rPr>
          <w:u w:val="single"/>
        </w:rPr>
        <w:t>Next Steps</w:t>
      </w:r>
    </w:p>
    <w:p>
      <w:pPr>
        <w:pStyle w:val="BodyTextIndent"/>
        <w:rPr/>
      </w:pPr>
      <w:r>
        <w:rPr/>
        <w:t>As part of the research of Florida’s energy market, the fundamentals group is developing a model to forecast power load and gas burn in Florida (based on heating and cooling degree-days and fuel switching economics).  In order to complete this analysis, we are currently compiling emissions credit data, as well as FGT daily gas flow data.</w:t>
      </w:r>
    </w:p>
    <w:p>
      <w:pPr>
        <w:pStyle w:val="BodyTextIndent"/>
        <w:rPr/>
      </w:pPr>
      <w:r>
        <w:rPr/>
      </w:r>
    </w:p>
    <w:p>
      <w:pPr>
        <w:pStyle w:val="BodyText"/>
        <w:ind w:firstLine="720" w:end="0"/>
        <w:rPr/>
      </w:pPr>
      <w:r>
        <w:rPr/>
        <w:t>Once this data is centralized, the model will be complete and back testing will begin.   One output of this model will be an accurate hourly load forecast and generation stack model.  From this data, it will be possible to forecast accurate gas burns and identify periods of gas shortages during baseload and peak times.</w:t>
      </w:r>
    </w:p>
    <w:p>
      <w:pPr>
        <w:pStyle w:val="BodyText"/>
        <w:ind w:firstLine="720" w:end="0"/>
        <w:rPr/>
      </w:pPr>
      <w:r>
        <w:rPr/>
      </w:r>
    </w:p>
    <w:p>
      <w:pPr>
        <w:pStyle w:val="BodyText"/>
        <w:ind w:firstLine="720" w:end="0"/>
        <w:rPr/>
      </w:pPr>
      <w:r>
        <w:rPr/>
      </w:r>
    </w:p>
    <w:p>
      <w:pPr>
        <w:pStyle w:val="BodyText"/>
        <w:rPr>
          <w:lang w:val="en-CA" w:eastAsia="en-CA"/>
        </w:rPr>
      </w:pPr>
      <w:r>
        <w:rPr>
          <w:lang w:val="en-CA" w:eastAsia="en-CA"/>
        </w:rPr>
        <w:object w:dxaOrig="6401" w:dyaOrig="5121">
          <v:shapetype id="_x0000_tole_rId14" coordsize="21600,21600" o:spt="ole_rId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 type="_x0000_tole_rId14" style="position:absolute;margin-left:32.4pt;margin-top:259.2pt;width:360pt;height:226.8pt;mso-wrap-distance-left:9.05pt;mso-wrap-distance-right:9.05pt;mso-position-horizontal-relative:text;mso-position-vertical-relative:text" filled="f" o:ole="">
            <v:imagedata r:id="rId15" o:title=""/>
            <w10:wrap type="topAndBottom"/>
          </v:shape>
          <o:OLEObject Type="Embed" ProgID="Excel.Sheet.12" ShapeID="ole_rId14" DrawAspect="Content" ObjectID="_1624950452" r:id="rId14"/>
        </w:object>
        <w:object w:dxaOrig="6401" w:dyaOrig="4353">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position:absolute;margin-left:32.4pt;margin-top:0pt;width:352.8pt;height:222.5pt;mso-wrap-distance-left:9.05pt;mso-wrap-distance-right:9.05pt;mso-position-horizontal-relative:text;mso-position-vertical-relative:text" filled="f" o:ole="">
            <v:imagedata r:id="rId17" o:title=""/>
            <w10:wrap type="topAndBottom"/>
          </v:shape>
          <o:OLEObject Type="Embed" ProgID="Excel.Sheet.12" ShapeID="ole_rId16" DrawAspect="Content" ObjectID="_1411033878" r:id="rId16"/>
        </w:object>
      </w:r>
    </w:p>
    <w:sectPr>
      <w:type w:val="nextPage"/>
      <w:pgSz w:w="12240" w:h="15840"/>
      <w:pgMar w:left="1800" w:right="1800" w:gutter="0" w:header="0" w:top="1440" w:footer="0" w:bottom="144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ahoma">
    <w:charset w:val="00" w:characterSet="windows-1252"/>
    <w:family w:val="swiss"/>
    <w:pitch w:val="variable"/>
  </w:font>
  <w:font w:name="Courier New">
    <w:charset w:val="00" w:characterSet="windows-1252"/>
    <w:family w:val="modern"/>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start"/>
      <w:pPr>
        <w:tabs>
          <w:tab w:val="num" w:pos="0"/>
        </w:tabs>
        <w:ind w:start="0" w:hanging="0"/>
      </w:pPr>
    </w:lvl>
    <w:lvl w:ilvl="1">
      <w:start w:val="1"/>
      <w:pStyle w:val="Heading2"/>
      <w:numFmt w:val="none"/>
      <w:suff w:val="nothing"/>
      <w:lvlText w:val=""/>
      <w:lvlJc w:val="start"/>
      <w:pPr>
        <w:tabs>
          <w:tab w:val="num" w:pos="0"/>
        </w:tabs>
        <w:ind w:start="0" w:hanging="0"/>
      </w:pPr>
    </w:lvl>
    <w:lvl w:ilvl="2">
      <w:start w:val="1"/>
      <w:pStyle w:val="Heading3"/>
      <w:numFmt w:val="none"/>
      <w:suff w:val="nothing"/>
      <w:lvlText w:val=""/>
      <w:lvlJc w:val="start"/>
      <w:pPr>
        <w:tabs>
          <w:tab w:val="num" w:pos="0"/>
        </w:tabs>
        <w:ind w:start="0" w:hanging="0"/>
      </w:pPr>
    </w:lvl>
    <w:lvl w:ilvl="3">
      <w:start w:val="1"/>
      <w:pStyle w:val="Heading4"/>
      <w:numFmt w:val="none"/>
      <w:suff w:val="nothing"/>
      <w:lvlText w:val=""/>
      <w:lvlJc w:val="start"/>
      <w:pPr>
        <w:tabs>
          <w:tab w:val="num" w:pos="0"/>
        </w:tabs>
        <w:ind w:start="0" w:hanging="0"/>
      </w:pPr>
    </w:lvl>
    <w:lvl w:ilvl="4">
      <w:start w:val="1"/>
      <w:pStyle w:val="Heading5"/>
      <w:numFmt w:val="none"/>
      <w:suff w:val="nothing"/>
      <w:lvlText w:val=""/>
      <w:lvlJc w:val="start"/>
      <w:pPr>
        <w:tabs>
          <w:tab w:val="num" w:pos="0"/>
        </w:tabs>
        <w:ind w:start="0" w:hanging="0"/>
      </w:pPr>
    </w:lvl>
    <w:lvl w:ilvl="5">
      <w:start w:val="1"/>
      <w:pStyle w:val="Heading6"/>
      <w:numFmt w:val="none"/>
      <w:suff w:val="nothing"/>
      <w:lvlText w:val=""/>
      <w:lvlJc w:val="start"/>
      <w:pPr>
        <w:tabs>
          <w:tab w:val="num" w:pos="0"/>
        </w:tabs>
        <w:ind w:start="0" w:hanging="0"/>
      </w:pPr>
    </w:lvl>
    <w:lvl w:ilvl="6">
      <w:start w:val="1"/>
      <w:pStyle w:val="Heading7"/>
      <w:numFmt w:val="none"/>
      <w:suff w:val="nothing"/>
      <w:lvlText w:val=""/>
      <w:lvlJc w:val="start"/>
      <w:pPr>
        <w:tabs>
          <w:tab w:val="num" w:pos="0"/>
        </w:tabs>
        <w:ind w:start="0" w:hanging="0"/>
      </w:pPr>
    </w:lvl>
    <w:lvl w:ilvl="7">
      <w:start w:val="1"/>
      <w:pStyle w:val="Heading8"/>
      <w:numFmt w:val="none"/>
      <w:suff w:val="nothing"/>
      <w:lvlText w:val=""/>
      <w:lvlJc w:val="start"/>
      <w:pPr>
        <w:tabs>
          <w:tab w:val="num" w:pos="0"/>
        </w:tabs>
        <w:ind w:start="0" w:hanging="0"/>
      </w:pPr>
    </w:lvl>
    <w:lvl w:ilvl="8">
      <w:start w:val="1"/>
      <w:pStyle w:val="Heading9"/>
      <w:numFmt w:val="none"/>
      <w:suff w:val="nothing"/>
      <w:lvlText w:val=""/>
      <w:lvlJc w:val="start"/>
      <w:pPr>
        <w:tabs>
          <w:tab w:val="num" w:pos="0"/>
        </w:tabs>
        <w:ind w:start="0" w:hanging="0"/>
      </w:pPr>
    </w:lvl>
  </w:abstractNum>
  <w:abstractNum w:abstractNumId="2">
    <w:lvl w:ilvl="0">
      <w:start w:val="1"/>
      <w:numFmt w:val="decimal"/>
      <w:lvlText w:val="%1."/>
      <w:lvlJc w:val="start"/>
      <w:pPr>
        <w:tabs>
          <w:tab w:val="num" w:pos="1800"/>
        </w:tabs>
        <w:ind w:start="1800" w:hanging="360"/>
      </w:pPr>
    </w:lvl>
  </w:abstractNum>
  <w:abstractNum w:abstractNumId="3">
    <w:lvl w:ilvl="0">
      <w:start w:val="1"/>
      <w:numFmt w:val="decimal"/>
      <w:lvlText w:val="%1."/>
      <w:lvlJc w:val="start"/>
      <w:pPr>
        <w:tabs>
          <w:tab w:val="num" w:pos="1440"/>
        </w:tabs>
        <w:ind w:start="1440" w:hanging="360"/>
      </w:pPr>
    </w:lvl>
  </w:abstractNum>
  <w:abstractNum w:abstractNumId="4">
    <w:lvl w:ilvl="0">
      <w:start w:val="1"/>
      <w:numFmt w:val="decimal"/>
      <w:lvlText w:val="%1."/>
      <w:lvlJc w:val="start"/>
      <w:pPr>
        <w:tabs>
          <w:tab w:val="num" w:pos="1080"/>
        </w:tabs>
        <w:ind w:start="1080" w:hanging="360"/>
      </w:pPr>
    </w:lvl>
  </w:abstractNum>
  <w:abstractNum w:abstractNumId="5">
    <w:lvl w:ilvl="0">
      <w:start w:val="1"/>
      <w:numFmt w:val="decimal"/>
      <w:lvlText w:val="%1."/>
      <w:lvlJc w:val="start"/>
      <w:pPr>
        <w:tabs>
          <w:tab w:val="num" w:pos="720"/>
        </w:tabs>
        <w:ind w:start="720" w:hanging="360"/>
      </w:pPr>
    </w:lvl>
  </w:abstractNum>
  <w:abstractNum w:abstractNumId="6">
    <w:lvl w:ilvl="0">
      <w:start w:val="1"/>
      <w:numFmt w:val="bullet"/>
      <w:lvlText w:val=""/>
      <w:lvlJc w:val="start"/>
      <w:pPr>
        <w:tabs>
          <w:tab w:val="num" w:pos="1800"/>
        </w:tabs>
        <w:ind w:start="1800" w:hanging="360"/>
      </w:pPr>
      <w:rPr>
        <w:rFonts w:ascii="Symbol" w:hAnsi="Symbol" w:cs="Symbol" w:hint="default"/>
      </w:rPr>
    </w:lvl>
  </w:abstractNum>
  <w:abstractNum w:abstractNumId="7">
    <w:lvl w:ilvl="0">
      <w:start w:val="1"/>
      <w:numFmt w:val="bullet"/>
      <w:lvlText w:val=""/>
      <w:lvlJc w:val="start"/>
      <w:pPr>
        <w:tabs>
          <w:tab w:val="num" w:pos="1440"/>
        </w:tabs>
        <w:ind w:start="1440" w:hanging="360"/>
      </w:pPr>
      <w:rPr>
        <w:rFonts w:ascii="Symbol" w:hAnsi="Symbol" w:cs="Symbol" w:hint="default"/>
      </w:rPr>
    </w:lvl>
  </w:abstractNum>
  <w:abstractNum w:abstractNumId="8">
    <w:lvl w:ilvl="0">
      <w:start w:val="1"/>
      <w:numFmt w:val="bullet"/>
      <w:lvlText w:val=""/>
      <w:lvlJc w:val="start"/>
      <w:pPr>
        <w:tabs>
          <w:tab w:val="num" w:pos="1080"/>
        </w:tabs>
        <w:ind w:start="1080" w:hanging="360"/>
      </w:pPr>
      <w:rPr>
        <w:rFonts w:ascii="Symbol" w:hAnsi="Symbol" w:cs="Symbol" w:hint="default"/>
      </w:rPr>
    </w:lvl>
  </w:abstractNum>
  <w:abstractNum w:abstractNumId="9">
    <w:lvl w:ilvl="0">
      <w:start w:val="1"/>
      <w:numFmt w:val="bullet"/>
      <w:lvlText w:val=""/>
      <w:lvlJc w:val="start"/>
      <w:pPr>
        <w:tabs>
          <w:tab w:val="num" w:pos="720"/>
        </w:tabs>
        <w:ind w:start="720" w:hanging="360"/>
      </w:pPr>
      <w:rPr>
        <w:rFonts w:ascii="Symbol" w:hAnsi="Symbol" w:cs="Symbol" w:hint="default"/>
      </w:rPr>
    </w:lvl>
  </w:abstractNum>
  <w:abstractNum w:abstractNumId="10">
    <w:lvl w:ilvl="0">
      <w:start w:val="1"/>
      <w:numFmt w:val="decimal"/>
      <w:lvlText w:val="%1."/>
      <w:lvlJc w:val="start"/>
      <w:pPr>
        <w:tabs>
          <w:tab w:val="num" w:pos="360"/>
        </w:tabs>
        <w:ind w:start="360" w:hanging="360"/>
      </w:pPr>
    </w:lvl>
  </w:abstractNum>
  <w:abstractNum w:abstractNumId="11">
    <w:lvl w:ilvl="0">
      <w:start w:val="1"/>
      <w:numFmt w:val="bullet"/>
      <w:lvlText w:val=""/>
      <w:lvlJc w:val="start"/>
      <w:pPr>
        <w:tabs>
          <w:tab w:val="num" w:pos="360"/>
        </w:tabs>
        <w:ind w:start="360" w:hanging="360"/>
      </w:pPr>
      <w:rPr>
        <w:rFonts w:ascii="Symbol" w:hAnsi="Symbol" w:cs="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ans" w:cs="NotoSans NF"/>
        <w:sz w:val="24"/>
        <w:szCs w:val="24"/>
        <w:lang w:val="en-CA"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0"/>
      <w:szCs w:val="20"/>
      <w:lang w:val="en-US" w:bidi="ar-SA" w:eastAsia="zh-CN"/>
    </w:rPr>
  </w:style>
  <w:style w:type="paragraph" w:styleId="Heading1">
    <w:name w:val="heading 1"/>
    <w:basedOn w:val="Normal"/>
    <w:next w:val="Normal"/>
    <w:qFormat/>
    <w:pPr>
      <w:keepNext w:val="true"/>
      <w:numPr>
        <w:ilvl w:val="0"/>
        <w:numId w:val="1"/>
      </w:numPr>
      <w:jc w:val="center"/>
      <w:outlineLvl w:val="0"/>
    </w:pPr>
    <w:rPr>
      <w:b/>
    </w:rPr>
  </w:style>
  <w:style w:type="paragraph" w:styleId="Heading2">
    <w:name w:val="heading 2"/>
    <w:basedOn w:val="Normal"/>
    <w:next w:val="Normal"/>
    <w:qFormat/>
    <w:pPr>
      <w:keepNext w:val="true"/>
      <w:numPr>
        <w:ilvl w:val="1"/>
        <w:numId w:val="1"/>
      </w:numPr>
      <w:ind w:firstLine="720" w:start="0" w:end="0"/>
      <w:outlineLvl w:val="1"/>
    </w:pPr>
    <w:rPr>
      <w:sz w:val="24"/>
      <w:u w:val="single"/>
    </w:rPr>
  </w:style>
  <w:style w:type="paragraph" w:styleId="Heading3">
    <w:name w:val="heading 3"/>
    <w:basedOn w:val="Normal"/>
    <w:next w:val="Normal"/>
    <w:qFormat/>
    <w:pPr>
      <w:keepNext w:val="true"/>
      <w:numPr>
        <w:ilvl w:val="2"/>
        <w:numId w:val="1"/>
      </w:numPr>
      <w:outlineLvl w:val="2"/>
    </w:pPr>
    <w:rPr>
      <w:sz w:val="24"/>
    </w:rPr>
  </w:style>
  <w:style w:type="paragraph" w:styleId="Heading4">
    <w:name w:val="heading 4"/>
    <w:basedOn w:val="Normal"/>
    <w:next w:val="Normal"/>
    <w:qFormat/>
    <w:pPr>
      <w:keepNext w:val="true"/>
      <w:numPr>
        <w:ilvl w:val="3"/>
        <w:numId w:val="1"/>
      </w:numPr>
      <w:outlineLvl w:val="3"/>
    </w:pPr>
    <w:rPr>
      <w:rFonts w:ascii="Arial" w:hAnsi="Arial" w:cs="Arial"/>
      <w:b/>
      <w:color w:val="000000"/>
      <w:sz w:val="16"/>
    </w:rPr>
  </w:style>
  <w:style w:type="paragraph" w:styleId="Heading5">
    <w:name w:val="heading 5"/>
    <w:basedOn w:val="Normal"/>
    <w:next w:val="Normal"/>
    <w:qFormat/>
    <w:pPr>
      <w:keepNext w:val="true"/>
      <w:numPr>
        <w:ilvl w:val="4"/>
        <w:numId w:val="1"/>
      </w:numPr>
      <w:jc w:val="center"/>
      <w:outlineLvl w:val="4"/>
    </w:pPr>
    <w:rPr>
      <w:rFonts w:ascii="Arial" w:hAnsi="Arial" w:cs="Arial"/>
      <w:b/>
      <w:color w:val="000000"/>
      <w:sz w:val="24"/>
    </w:rPr>
  </w:style>
  <w:style w:type="paragraph" w:styleId="Heading6">
    <w:name w:val="heading 6"/>
    <w:basedOn w:val="Normal"/>
    <w:next w:val="Normal"/>
    <w:qFormat/>
    <w:pPr>
      <w:keepNext w:val="true"/>
      <w:numPr>
        <w:ilvl w:val="5"/>
        <w:numId w:val="1"/>
      </w:numPr>
      <w:tabs>
        <w:tab w:val="left" w:pos="720" w:leader="none"/>
      </w:tabs>
      <w:ind w:firstLine="750" w:start="-750" w:end="0"/>
      <w:outlineLvl w:val="5"/>
    </w:pPr>
    <w:rPr>
      <w:rFonts w:ascii="Arial" w:hAnsi="Arial" w:cs="Arial"/>
      <w:b/>
      <w:color w:val="000000"/>
      <w:sz w:val="24"/>
    </w:rPr>
  </w:style>
  <w:style w:type="paragraph" w:styleId="Heading7">
    <w:name w:val="heading 7"/>
    <w:basedOn w:val="Normal"/>
    <w:next w:val="Normal"/>
    <w:qFormat/>
    <w:pPr>
      <w:keepNext w:val="true"/>
      <w:numPr>
        <w:ilvl w:val="6"/>
        <w:numId w:val="1"/>
      </w:numPr>
      <w:jc w:val="center"/>
      <w:outlineLvl w:val="6"/>
    </w:pPr>
    <w:rPr>
      <w:sz w:val="24"/>
    </w:rPr>
  </w:style>
  <w:style w:type="paragraph" w:styleId="Heading8">
    <w:name w:val="heading 8"/>
    <w:basedOn w:val="Normal"/>
    <w:next w:val="Normal"/>
    <w:qFormat/>
    <w:pPr>
      <w:keepNext w:val="true"/>
      <w:numPr>
        <w:ilvl w:val="7"/>
        <w:numId w:val="1"/>
      </w:numPr>
      <w:ind w:firstLine="720" w:start="0" w:end="0"/>
      <w:outlineLvl w:val="7"/>
    </w:pPr>
    <w:rPr>
      <w:sz w:val="24"/>
    </w:rPr>
  </w:style>
  <w:style w:type="paragraph" w:styleId="Heading9">
    <w:name w:val="heading 9"/>
    <w:basedOn w:val="Normal"/>
    <w:next w:val="Normal"/>
    <w:qFormat/>
    <w:pPr>
      <w:keepNext w:val="true"/>
      <w:numPr>
        <w:ilvl w:val="8"/>
        <w:numId w:val="1"/>
      </w:numPr>
      <w:jc w:val="center"/>
      <w:outlineLvl w:val="8"/>
    </w:pPr>
    <w:rPr>
      <w:b/>
      <w:sz w:val="24"/>
    </w:rPr>
  </w:style>
  <w:style w:type="character" w:styleId="WW8Num5z0">
    <w:name w:val="WW8Num5z0"/>
    <w:qFormat/>
    <w:rPr>
      <w:rFonts w:ascii="Symbol" w:hAnsi="Symbol" w:cs="Symbol"/>
    </w:rPr>
  </w:style>
  <w:style w:type="character" w:styleId="WW8Num6z0">
    <w:name w:val="WW8Num6z0"/>
    <w:qFormat/>
    <w:rPr>
      <w:rFonts w:ascii="Symbol" w:hAnsi="Symbol" w:cs="Symbol"/>
    </w:rPr>
  </w:style>
  <w:style w:type="character" w:styleId="WW8Num7z0">
    <w:name w:val="WW8Num7z0"/>
    <w:qFormat/>
    <w:rPr>
      <w:rFonts w:ascii="Symbol" w:hAnsi="Symbol" w:cs="Symbol"/>
    </w:rPr>
  </w:style>
  <w:style w:type="character" w:styleId="WW8Num8z0">
    <w:name w:val="WW8Num8z0"/>
    <w:qFormat/>
    <w:rPr>
      <w:rFonts w:ascii="Symbol" w:hAnsi="Symbol" w:cs="Symbol"/>
    </w:rPr>
  </w:style>
  <w:style w:type="character" w:styleId="WW8Num10z0">
    <w:name w:val="WW8Num10z0"/>
    <w:qFormat/>
    <w:rPr>
      <w:rFonts w:ascii="Symbol" w:hAnsi="Symbol" w:cs="Symbol"/>
    </w:rPr>
  </w:style>
  <w:style w:type="character" w:styleId="DefaultParagraphFont">
    <w:name w:val="Default Paragraph Font"/>
    <w:qFormat/>
    <w:rPr/>
  </w:style>
  <w:style w:type="paragraph" w:styleId="Heading">
    <w:name w:val="Heading"/>
    <w:basedOn w:val="Normal"/>
    <w:next w:val="BodyText"/>
    <w:qFormat/>
    <w:pPr>
      <w:jc w:val="center"/>
    </w:pPr>
    <w:rPr>
      <w:b/>
    </w:rPr>
  </w:style>
  <w:style w:type="paragraph" w:styleId="BodyText">
    <w:name w:val="Body Text"/>
    <w:basedOn w:val="Normal"/>
    <w:pPr/>
    <w:rPr>
      <w:sz w:val="24"/>
    </w:rPr>
  </w:style>
  <w:style w:type="paragraph" w:styleId="List">
    <w:name w:val="List"/>
    <w:basedOn w:val="Normal"/>
    <w:pPr>
      <w:ind w:hanging="360" w:start="360" w:end="0"/>
    </w:pPr>
    <w:rPr/>
  </w:style>
  <w:style w:type="paragraph" w:styleId="Caption">
    <w:name w:val="caption"/>
    <w:basedOn w:val="Normal"/>
    <w:next w:val="Normal"/>
    <w:qFormat/>
    <w:pPr>
      <w:spacing w:before="120" w:after="120"/>
    </w:pPr>
    <w:rPr>
      <w:b/>
      <w:bCs/>
    </w:rPr>
  </w:style>
  <w:style w:type="paragraph" w:styleId="Index">
    <w:name w:val="Index"/>
    <w:basedOn w:val="Normal"/>
    <w:qFormat/>
    <w:pPr>
      <w:suppressLineNumbers/>
    </w:pPr>
    <w:rPr>
      <w:rFonts w:cs="NotoSans NF"/>
    </w:rPr>
  </w:style>
  <w:style w:type="paragraph" w:styleId="DocumentMap">
    <w:name w:val="Document Map"/>
    <w:basedOn w:val="Normal"/>
    <w:qFormat/>
    <w:pPr>
      <w:shd w:fill="000080" w:val="clear"/>
    </w:pPr>
    <w:rPr>
      <w:rFonts w:ascii="Tahoma" w:hAnsi="Tahoma" w:cs="Tahoma"/>
    </w:rPr>
  </w:style>
  <w:style w:type="paragraph" w:styleId="BodyTextIndent">
    <w:name w:val="Body Text Indent"/>
    <w:basedOn w:val="Normal"/>
    <w:pPr>
      <w:ind w:firstLine="720" w:start="0" w:end="0"/>
    </w:pPr>
    <w:rPr>
      <w:sz w:val="24"/>
    </w:rPr>
  </w:style>
  <w:style w:type="paragraph" w:styleId="BlockText">
    <w:name w:val="Block Text"/>
    <w:basedOn w:val="Normal"/>
    <w:qFormat/>
    <w:pPr>
      <w:spacing w:before="0" w:after="120"/>
      <w:ind w:hanging="0" w:start="1440" w:end="1440"/>
    </w:pPr>
    <w:rPr/>
  </w:style>
  <w:style w:type="paragraph" w:styleId="BodyText2">
    <w:name w:val="Body Text 2"/>
    <w:basedOn w:val="Normal"/>
    <w:qFormat/>
    <w:pPr>
      <w:spacing w:lineRule="auto" w:line="480" w:before="0" w:after="120"/>
    </w:pPr>
    <w:rPr/>
  </w:style>
  <w:style w:type="paragraph" w:styleId="BodyText3">
    <w:name w:val="Body Text 3"/>
    <w:basedOn w:val="Normal"/>
    <w:qFormat/>
    <w:pPr>
      <w:spacing w:before="0" w:after="120"/>
    </w:pPr>
    <w:rPr>
      <w:sz w:val="16"/>
      <w:szCs w:val="16"/>
    </w:rPr>
  </w:style>
  <w:style w:type="paragraph" w:styleId="BodyTextFirstIndent">
    <w:name w:val="Body Text First Indent"/>
    <w:basedOn w:val="BodyText"/>
    <w:qFormat/>
    <w:pPr>
      <w:spacing w:before="0" w:after="120"/>
      <w:ind w:firstLine="210" w:start="0" w:end="0"/>
    </w:pPr>
    <w:rPr>
      <w:sz w:val="20"/>
    </w:rPr>
  </w:style>
  <w:style w:type="paragraph" w:styleId="BodyTextFirstIndent2">
    <w:name w:val="Body Text First Indent 2"/>
    <w:basedOn w:val="BodyTextIndent"/>
    <w:qFormat/>
    <w:pPr>
      <w:spacing w:before="0" w:after="120"/>
      <w:ind w:firstLine="210" w:start="360" w:end="0"/>
    </w:pPr>
    <w:rPr>
      <w:sz w:val="20"/>
    </w:rPr>
  </w:style>
  <w:style w:type="paragraph" w:styleId="BodyTextIndent2">
    <w:name w:val="Body Text Indent 2"/>
    <w:basedOn w:val="Normal"/>
    <w:qFormat/>
    <w:pPr>
      <w:spacing w:lineRule="auto" w:line="480" w:before="0" w:after="120"/>
      <w:ind w:hanging="0" w:start="360" w:end="0"/>
    </w:pPr>
    <w:rPr/>
  </w:style>
  <w:style w:type="paragraph" w:styleId="BodyTextIndent3">
    <w:name w:val="Body Text Indent 3"/>
    <w:basedOn w:val="Normal"/>
    <w:qFormat/>
    <w:pPr>
      <w:spacing w:before="0" w:after="120"/>
      <w:ind w:hanging="0" w:start="360" w:end="0"/>
    </w:pPr>
    <w:rPr>
      <w:sz w:val="16"/>
      <w:szCs w:val="16"/>
    </w:rPr>
  </w:style>
  <w:style w:type="paragraph" w:styleId="Closing">
    <w:name w:val="Closing"/>
    <w:basedOn w:val="Normal"/>
    <w:qFormat/>
    <w:pPr>
      <w:ind w:hanging="0" w:start="4320" w:end="0"/>
    </w:pPr>
    <w:rPr/>
  </w:style>
  <w:style w:type="paragraph" w:styleId="CommentText">
    <w:name w:val="Comment Text"/>
    <w:basedOn w:val="Normal"/>
    <w:qFormat/>
    <w:pPr/>
    <w:rPr/>
  </w:style>
  <w:style w:type="paragraph" w:styleId="Date">
    <w:name w:val="Date"/>
    <w:basedOn w:val="Normal"/>
    <w:next w:val="Normal"/>
    <w:qFormat/>
    <w:pPr/>
    <w:rPr/>
  </w:style>
  <w:style w:type="paragraph" w:styleId="E-mailSignature">
    <w:name w:val="E-mail Signature"/>
    <w:basedOn w:val="Normal"/>
    <w:qFormat/>
    <w:pPr/>
    <w:rPr/>
  </w:style>
  <w:style w:type="paragraph" w:styleId="EndnoteText">
    <w:name w:val="endnote text"/>
    <w:basedOn w:val="Normal"/>
    <w:pPr/>
    <w:rPr/>
  </w:style>
  <w:style w:type="paragraph" w:styleId="EnvelopeAddress">
    <w:name w:val="envelope address"/>
    <w:basedOn w:val="Normal"/>
    <w:pPr>
      <w:ind w:hanging="0" w:start="2880" w:end="0"/>
    </w:pPr>
    <w:rPr>
      <w:rFonts w:ascii="Arial" w:hAnsi="Arial" w:cs="Arial"/>
      <w:sz w:val="24"/>
      <w:szCs w:val="24"/>
    </w:rPr>
  </w:style>
  <w:style w:type="paragraph" w:styleId="EnvelopeReturn">
    <w:name w:val="envelope return"/>
    <w:basedOn w:val="Normal"/>
    <w:pPr/>
    <w:rPr>
      <w:rFonts w:ascii="Arial" w:hAnsi="Arial" w:cs="Arial"/>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Footer">
    <w:name w:val="footer"/>
    <w:basedOn w:val="Normal"/>
    <w:pPr>
      <w:tabs>
        <w:tab w:val="clear" w:pos="720"/>
        <w:tab w:val="center" w:pos="4320" w:leader="none"/>
        <w:tab w:val="right" w:pos="8640" w:leader="none"/>
      </w:tabs>
    </w:pPr>
    <w:rPr/>
  </w:style>
  <w:style w:type="paragraph" w:styleId="FootnoteText">
    <w:name w:val="footnote text"/>
    <w:basedOn w:val="Normal"/>
    <w:pPr/>
    <w:rPr/>
  </w:style>
  <w:style w:type="paragraph" w:styleId="Header">
    <w:name w:val="header"/>
    <w:basedOn w:val="Normal"/>
    <w:pPr>
      <w:tabs>
        <w:tab w:val="clear" w:pos="720"/>
        <w:tab w:val="center" w:pos="4320" w:leader="none"/>
        <w:tab w:val="right" w:pos="8640" w:leader="none"/>
      </w:tabs>
    </w:pPr>
    <w:rPr/>
  </w:style>
  <w:style w:type="paragraph" w:styleId="HTMLAddress">
    <w:name w:val="HTML Address"/>
    <w:basedOn w:val="Normal"/>
    <w:qFormat/>
    <w:pPr/>
    <w:rPr>
      <w:i/>
      <w:iCs/>
    </w:rPr>
  </w:style>
  <w:style w:type="paragraph" w:styleId="HTMLPreformatted">
    <w:name w:val="HTML Preformatted"/>
    <w:basedOn w:val="Normal"/>
    <w:qFormat/>
    <w:pPr/>
    <w:rPr>
      <w:rFonts w:ascii="Courier New" w:hAnsi="Courier New" w:cs="Courier New"/>
    </w:rPr>
  </w:style>
  <w:style w:type="paragraph" w:styleId="Index1">
    <w:name w:val="index 1"/>
    <w:basedOn w:val="Normal"/>
    <w:next w:val="Normal"/>
    <w:pPr>
      <w:ind w:hanging="200" w:start="200" w:end="0"/>
    </w:pPr>
    <w:rPr/>
  </w:style>
  <w:style w:type="paragraph" w:styleId="Index2">
    <w:name w:val="index 2"/>
    <w:basedOn w:val="Normal"/>
    <w:next w:val="Normal"/>
    <w:pPr>
      <w:ind w:hanging="200" w:start="400" w:end="0"/>
    </w:pPr>
    <w:rPr/>
  </w:style>
  <w:style w:type="paragraph" w:styleId="Index3">
    <w:name w:val="index 3"/>
    <w:basedOn w:val="Normal"/>
    <w:next w:val="Normal"/>
    <w:pPr>
      <w:ind w:hanging="200" w:start="600" w:end="0"/>
    </w:pPr>
    <w:rPr/>
  </w:style>
  <w:style w:type="paragraph" w:styleId="Index4">
    <w:name w:val="Index 4"/>
    <w:basedOn w:val="Normal"/>
    <w:next w:val="Normal"/>
    <w:qFormat/>
    <w:pPr>
      <w:ind w:hanging="200" w:start="800" w:end="0"/>
    </w:pPr>
    <w:rPr/>
  </w:style>
  <w:style w:type="paragraph" w:styleId="Index5">
    <w:name w:val="Index 5"/>
    <w:basedOn w:val="Normal"/>
    <w:next w:val="Normal"/>
    <w:qFormat/>
    <w:pPr>
      <w:ind w:hanging="200" w:start="1000" w:end="0"/>
    </w:pPr>
    <w:rPr/>
  </w:style>
  <w:style w:type="paragraph" w:styleId="Index6">
    <w:name w:val="Index 6"/>
    <w:basedOn w:val="Normal"/>
    <w:next w:val="Normal"/>
    <w:qFormat/>
    <w:pPr>
      <w:ind w:hanging="200" w:start="1200" w:end="0"/>
    </w:pPr>
    <w:rPr/>
  </w:style>
  <w:style w:type="paragraph" w:styleId="Index7">
    <w:name w:val="Index 7"/>
    <w:basedOn w:val="Normal"/>
    <w:next w:val="Normal"/>
    <w:qFormat/>
    <w:pPr>
      <w:ind w:hanging="200" w:start="1400" w:end="0"/>
    </w:pPr>
    <w:rPr/>
  </w:style>
  <w:style w:type="paragraph" w:styleId="Index8">
    <w:name w:val="Index 8"/>
    <w:basedOn w:val="Normal"/>
    <w:next w:val="Normal"/>
    <w:qFormat/>
    <w:pPr>
      <w:ind w:hanging="200" w:start="1600" w:end="0"/>
    </w:pPr>
    <w:rPr/>
  </w:style>
  <w:style w:type="paragraph" w:styleId="Index9">
    <w:name w:val="Index 9"/>
    <w:basedOn w:val="Normal"/>
    <w:next w:val="Normal"/>
    <w:qFormat/>
    <w:pPr>
      <w:ind w:hanging="200" w:start="1800" w:end="0"/>
    </w:pPr>
    <w:rPr/>
  </w:style>
  <w:style w:type="paragraph" w:styleId="IndexHeading">
    <w:name w:val="index heading"/>
    <w:basedOn w:val="Normal"/>
    <w:next w:val="Index1"/>
    <w:pPr/>
    <w:rPr>
      <w:rFonts w:ascii="Arial" w:hAnsi="Arial" w:cs="Arial"/>
      <w:b/>
      <w:bCs/>
    </w:rPr>
  </w:style>
  <w:style w:type="paragraph" w:styleId="ListBullet2">
    <w:name w:val="List Bullet 2"/>
    <w:basedOn w:val="Normal"/>
    <w:pPr>
      <w:ind w:hanging="360" w:start="720" w:end="0"/>
    </w:pPr>
    <w:rPr/>
  </w:style>
  <w:style w:type="paragraph" w:styleId="ListBullet3">
    <w:name w:val="List Bullet 3"/>
    <w:basedOn w:val="Normal"/>
    <w:pPr>
      <w:ind w:hanging="360" w:start="1080" w:end="0"/>
    </w:pPr>
    <w:rPr/>
  </w:style>
  <w:style w:type="paragraph" w:styleId="ListBullet4">
    <w:name w:val="List Bullet 4"/>
    <w:basedOn w:val="Normal"/>
    <w:pPr>
      <w:ind w:hanging="360" w:start="1440" w:end="0"/>
    </w:pPr>
    <w:rPr/>
  </w:style>
  <w:style w:type="paragraph" w:styleId="ListBullet5">
    <w:name w:val="List Bullet 5"/>
    <w:basedOn w:val="Normal"/>
    <w:pPr>
      <w:ind w:hanging="360" w:start="1800" w:end="0"/>
    </w:pPr>
    <w:rPr/>
  </w:style>
  <w:style w:type="paragraph" w:styleId="ListBullet">
    <w:name w:val="List Bullet"/>
    <w:basedOn w:val="Normal"/>
    <w:qFormat/>
    <w:pPr>
      <w:numPr>
        <w:ilvl w:val="0"/>
        <w:numId w:val="11"/>
      </w:numPr>
    </w:pPr>
    <w:rPr/>
  </w:style>
  <w:style w:type="paragraph" w:styleId="ListBullet21">
    <w:name w:val="List Bullet 21"/>
    <w:basedOn w:val="Normal"/>
    <w:qFormat/>
    <w:pPr>
      <w:numPr>
        <w:ilvl w:val="0"/>
        <w:numId w:val="9"/>
      </w:numPr>
    </w:pPr>
    <w:rPr/>
  </w:style>
  <w:style w:type="paragraph" w:styleId="ListBullet31">
    <w:name w:val="List Bullet 31"/>
    <w:basedOn w:val="Normal"/>
    <w:qFormat/>
    <w:pPr>
      <w:numPr>
        <w:ilvl w:val="0"/>
        <w:numId w:val="8"/>
      </w:numPr>
    </w:pPr>
    <w:rPr/>
  </w:style>
  <w:style w:type="paragraph" w:styleId="ListBullet41">
    <w:name w:val="List Bullet 41"/>
    <w:basedOn w:val="Normal"/>
    <w:qFormat/>
    <w:pPr>
      <w:numPr>
        <w:ilvl w:val="0"/>
        <w:numId w:val="7"/>
      </w:numPr>
    </w:pPr>
    <w:rPr/>
  </w:style>
  <w:style w:type="paragraph" w:styleId="ListBullet51">
    <w:name w:val="List Bullet 51"/>
    <w:basedOn w:val="Normal"/>
    <w:qFormat/>
    <w:pPr>
      <w:numPr>
        <w:ilvl w:val="0"/>
        <w:numId w:val="6"/>
      </w:numPr>
    </w:pPr>
    <w:rPr/>
  </w:style>
  <w:style w:type="paragraph" w:styleId="ListContinue">
    <w:name w:val="List Continue"/>
    <w:basedOn w:val="Normal"/>
    <w:qFormat/>
    <w:pPr>
      <w:spacing w:before="0" w:after="120"/>
      <w:ind w:hanging="0" w:start="360" w:end="0"/>
    </w:pPr>
    <w:rPr/>
  </w:style>
  <w:style w:type="paragraph" w:styleId="ListContinue2">
    <w:name w:val="List Continue 2"/>
    <w:basedOn w:val="Normal"/>
    <w:qFormat/>
    <w:pPr>
      <w:spacing w:before="0" w:after="120"/>
      <w:ind w:hanging="0" w:start="720" w:end="0"/>
    </w:pPr>
    <w:rPr/>
  </w:style>
  <w:style w:type="paragraph" w:styleId="ListContinue3">
    <w:name w:val="List Continue 3"/>
    <w:basedOn w:val="Normal"/>
    <w:qFormat/>
    <w:pPr>
      <w:spacing w:before="0" w:after="120"/>
      <w:ind w:hanging="0" w:start="1080" w:end="0"/>
    </w:pPr>
    <w:rPr/>
  </w:style>
  <w:style w:type="paragraph" w:styleId="ListContinue4">
    <w:name w:val="List Continue 4"/>
    <w:basedOn w:val="Normal"/>
    <w:qFormat/>
    <w:pPr>
      <w:spacing w:before="0" w:after="120"/>
      <w:ind w:hanging="0" w:start="1440" w:end="0"/>
    </w:pPr>
    <w:rPr/>
  </w:style>
  <w:style w:type="paragraph" w:styleId="ListContinue5">
    <w:name w:val="List Continue 5"/>
    <w:basedOn w:val="Normal"/>
    <w:qFormat/>
    <w:pPr>
      <w:spacing w:before="0" w:after="120"/>
      <w:ind w:hanging="0" w:start="1800" w:end="0"/>
    </w:pPr>
    <w:rPr/>
  </w:style>
  <w:style w:type="paragraph" w:styleId="ListNumber">
    <w:name w:val="List Number"/>
    <w:basedOn w:val="Normal"/>
    <w:qFormat/>
    <w:pPr>
      <w:numPr>
        <w:ilvl w:val="0"/>
        <w:numId w:val="10"/>
      </w:numPr>
    </w:pPr>
    <w:rPr/>
  </w:style>
  <w:style w:type="paragraph" w:styleId="ListNumber2">
    <w:name w:val="List Number 2"/>
    <w:basedOn w:val="Normal"/>
    <w:qFormat/>
    <w:pPr>
      <w:numPr>
        <w:ilvl w:val="0"/>
        <w:numId w:val="5"/>
      </w:numPr>
    </w:pPr>
    <w:rPr/>
  </w:style>
  <w:style w:type="paragraph" w:styleId="ListNumber3">
    <w:name w:val="List Number 3"/>
    <w:basedOn w:val="Normal"/>
    <w:qFormat/>
    <w:pPr>
      <w:numPr>
        <w:ilvl w:val="0"/>
        <w:numId w:val="4"/>
      </w:numPr>
    </w:pPr>
    <w:rPr/>
  </w:style>
  <w:style w:type="paragraph" w:styleId="ListNumber4">
    <w:name w:val="List Number 4"/>
    <w:basedOn w:val="Normal"/>
    <w:qFormat/>
    <w:pPr>
      <w:numPr>
        <w:ilvl w:val="0"/>
        <w:numId w:val="3"/>
      </w:numPr>
    </w:pPr>
    <w:rPr/>
  </w:style>
  <w:style w:type="paragraph" w:styleId="ListNumber5">
    <w:name w:val="List Number 5"/>
    <w:basedOn w:val="Normal"/>
    <w:qFormat/>
    <w:pPr>
      <w:numPr>
        <w:ilvl w:val="0"/>
        <w:numId w:val="2"/>
      </w:numPr>
    </w:pPr>
    <w:rPr/>
  </w:style>
  <w:style w:type="paragraph" w:styleId="MacroText">
    <w:name w:val="Macro Text"/>
    <w:qFormat/>
    <w:pPr>
      <w:widowControl/>
      <w:tabs>
        <w:tab w:val="clear" w:pos="720"/>
        <w:tab w:val="left" w:pos="480" w:leader="none"/>
        <w:tab w:val="left" w:pos="960" w:leader="none"/>
        <w:tab w:val="left" w:pos="1440" w:leader="none"/>
        <w:tab w:val="left" w:pos="1920" w:leader="none"/>
        <w:tab w:val="left" w:pos="2400" w:leader="none"/>
        <w:tab w:val="left" w:pos="2880" w:leader="none"/>
        <w:tab w:val="left" w:pos="3360" w:leader="none"/>
        <w:tab w:val="left" w:pos="3840" w:leader="none"/>
        <w:tab w:val="left" w:pos="4320" w:leader="none"/>
      </w:tabs>
      <w:bidi w:val="0"/>
    </w:pPr>
    <w:rPr>
      <w:rFonts w:ascii="Courier New" w:hAnsi="Courier New" w:eastAsia="Times New Roman" w:cs="Courier New"/>
      <w:color w:val="auto"/>
      <w:sz w:val="20"/>
      <w:szCs w:val="20"/>
      <w:lang w:val="en-US" w:bidi="ar-SA" w:eastAsia="zh-CN"/>
    </w:rPr>
  </w:style>
  <w:style w:type="paragraph" w:styleId="MessageHeader">
    <w:name w:val="Message Header"/>
    <w:basedOn w:val="Normal"/>
    <w:qFormat/>
    <w:pPr>
      <w:pBdr>
        <w:top w:val="single" w:sz="6" w:space="1" w:color="000000"/>
        <w:left w:val="single" w:sz="6" w:space="1" w:color="000000"/>
        <w:bottom w:val="single" w:sz="6" w:space="1" w:color="000000"/>
        <w:right w:val="single" w:sz="6" w:space="1" w:color="000000"/>
      </w:pBdr>
      <w:shd w:fill="CCCCCC" w:val="clear"/>
      <w:ind w:hanging="1080" w:start="1080" w:end="0"/>
    </w:pPr>
    <w:rPr>
      <w:rFonts w:ascii="Arial" w:hAnsi="Arial" w:cs="Arial"/>
      <w:sz w:val="24"/>
      <w:szCs w:val="24"/>
    </w:rPr>
  </w:style>
  <w:style w:type="paragraph" w:styleId="NormalWeb">
    <w:name w:val="Normal (Web)"/>
    <w:basedOn w:val="Normal"/>
    <w:qFormat/>
    <w:pPr/>
    <w:rPr>
      <w:sz w:val="24"/>
      <w:szCs w:val="24"/>
    </w:rPr>
  </w:style>
  <w:style w:type="paragraph" w:styleId="NormalIndent">
    <w:name w:val="Normal Indent"/>
    <w:basedOn w:val="Normal"/>
    <w:qFormat/>
    <w:pPr>
      <w:ind w:hanging="0" w:start="720" w:end="0"/>
    </w:pPr>
    <w:rPr/>
  </w:style>
  <w:style w:type="paragraph" w:styleId="NoteHeading">
    <w:name w:val="Note Heading"/>
    <w:basedOn w:val="Normal"/>
    <w:next w:val="Normal"/>
    <w:qFormat/>
    <w:pPr/>
    <w:rPr/>
  </w:style>
  <w:style w:type="paragraph" w:styleId="PlainText">
    <w:name w:val="Plain Text"/>
    <w:basedOn w:val="Normal"/>
    <w:qFormat/>
    <w:pPr/>
    <w:rPr>
      <w:rFonts w:ascii="Courier New" w:hAnsi="Courier New" w:cs="Courier New"/>
    </w:rPr>
  </w:style>
  <w:style w:type="paragraph" w:styleId="Salutation">
    <w:name w:val="Salutation"/>
    <w:basedOn w:val="Normal"/>
    <w:next w:val="Normal"/>
    <w:qFormat/>
    <w:pPr/>
    <w:rPr/>
  </w:style>
  <w:style w:type="paragraph" w:styleId="Signature">
    <w:name w:val="Signature"/>
    <w:basedOn w:val="Normal"/>
    <w:pPr>
      <w:ind w:hanging="0" w:start="4320" w:end="0"/>
    </w:pPr>
    <w:rPr/>
  </w:style>
  <w:style w:type="paragraph" w:styleId="Subtitle">
    <w:name w:val="Subtitle"/>
    <w:basedOn w:val="Normal"/>
    <w:next w:val="BodyText"/>
    <w:qFormat/>
    <w:pPr>
      <w:spacing w:before="0" w:after="60"/>
      <w:jc w:val="center"/>
      <w:outlineLvl w:val="1"/>
    </w:pPr>
    <w:rPr>
      <w:rFonts w:ascii="Arial" w:hAnsi="Arial" w:cs="Arial"/>
      <w:sz w:val="24"/>
      <w:szCs w:val="24"/>
    </w:rPr>
  </w:style>
  <w:style w:type="paragraph" w:styleId="TableofAuthorities">
    <w:name w:val="Table of Authorities"/>
    <w:basedOn w:val="Normal"/>
    <w:next w:val="Normal"/>
    <w:qFormat/>
    <w:pPr>
      <w:ind w:hanging="200" w:start="200" w:end="0"/>
    </w:pPr>
    <w:rPr/>
  </w:style>
  <w:style w:type="paragraph" w:styleId="TableofFigures">
    <w:name w:val="Table of Figures"/>
    <w:basedOn w:val="Normal"/>
    <w:next w:val="Normal"/>
    <w:qFormat/>
    <w:pPr>
      <w:ind w:hanging="400" w:start="400" w:end="0"/>
    </w:pPr>
    <w:rPr/>
  </w:style>
  <w:style w:type="paragraph" w:styleId="TOAHeading">
    <w:name w:val="TOA Heading"/>
    <w:basedOn w:val="Normal"/>
    <w:next w:val="Normal"/>
    <w:qFormat/>
    <w:pPr>
      <w:spacing w:before="120" w:after="0"/>
    </w:pPr>
    <w:rPr>
      <w:rFonts w:ascii="Arial" w:hAnsi="Arial" w:cs="Arial"/>
      <w:b/>
      <w:bCs/>
      <w:sz w:val="24"/>
      <w:szCs w:val="24"/>
    </w:rPr>
  </w:style>
  <w:style w:type="paragraph" w:styleId="TOC1">
    <w:name w:val="toc 1"/>
    <w:basedOn w:val="Normal"/>
    <w:next w:val="Normal"/>
    <w:pPr/>
    <w:rPr/>
  </w:style>
  <w:style w:type="paragraph" w:styleId="TOC2">
    <w:name w:val="toc 2"/>
    <w:basedOn w:val="Normal"/>
    <w:next w:val="Normal"/>
    <w:pPr>
      <w:ind w:hanging="0" w:start="200" w:end="0"/>
    </w:pPr>
    <w:rPr/>
  </w:style>
  <w:style w:type="paragraph" w:styleId="TOC3">
    <w:name w:val="toc 3"/>
    <w:basedOn w:val="Normal"/>
    <w:next w:val="Normal"/>
    <w:pPr>
      <w:ind w:hanging="0" w:start="400" w:end="0"/>
    </w:pPr>
    <w:rPr/>
  </w:style>
  <w:style w:type="paragraph" w:styleId="TOC4">
    <w:name w:val="toc 4"/>
    <w:basedOn w:val="Normal"/>
    <w:next w:val="Normal"/>
    <w:pPr>
      <w:ind w:hanging="0" w:start="600" w:end="0"/>
    </w:pPr>
    <w:rPr/>
  </w:style>
  <w:style w:type="paragraph" w:styleId="TOC5">
    <w:name w:val="toc 5"/>
    <w:basedOn w:val="Normal"/>
    <w:next w:val="Normal"/>
    <w:pPr>
      <w:ind w:hanging="0" w:start="800" w:end="0"/>
    </w:pPr>
    <w:rPr/>
  </w:style>
  <w:style w:type="paragraph" w:styleId="TOC6">
    <w:name w:val="toc 6"/>
    <w:basedOn w:val="Normal"/>
    <w:next w:val="Normal"/>
    <w:pPr>
      <w:ind w:hanging="0" w:start="1000" w:end="0"/>
    </w:pPr>
    <w:rPr/>
  </w:style>
  <w:style w:type="paragraph" w:styleId="TOC7">
    <w:name w:val="toc 7"/>
    <w:basedOn w:val="Normal"/>
    <w:next w:val="Normal"/>
    <w:pPr>
      <w:ind w:hanging="0" w:start="1200" w:end="0"/>
    </w:pPr>
    <w:rPr/>
  </w:style>
  <w:style w:type="paragraph" w:styleId="TOC8">
    <w:name w:val="toc 8"/>
    <w:basedOn w:val="Normal"/>
    <w:next w:val="Normal"/>
    <w:pPr>
      <w:ind w:hanging="0" w:start="1400" w:end="0"/>
    </w:pPr>
    <w:rPr/>
  </w:style>
  <w:style w:type="paragraph" w:styleId="TOC9">
    <w:name w:val="toc 9"/>
    <w:basedOn w:val="Normal"/>
    <w:next w:val="Normal"/>
    <w:pPr>
      <w:ind w:hanging="0" w:start="1600" w:end="0"/>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package" Target="embeddings/oleObject1.xlsx"/><Relationship Id="rId3" Type="http://schemas.openxmlformats.org/officeDocument/2006/relationships/image" Target="media/image1.wmf"/><Relationship Id="rId4" Type="http://schemas.openxmlformats.org/officeDocument/2006/relationships/package" Target="embeddings/oleObject2.xlsx"/><Relationship Id="rId5" Type="http://schemas.openxmlformats.org/officeDocument/2006/relationships/image" Target="media/image2.wmf"/><Relationship Id="rId6" Type="http://schemas.openxmlformats.org/officeDocument/2006/relationships/package" Target="embeddings/oleObject3.xlsx"/><Relationship Id="rId7" Type="http://schemas.openxmlformats.org/officeDocument/2006/relationships/image" Target="media/image3.wmf"/><Relationship Id="rId8" Type="http://schemas.openxmlformats.org/officeDocument/2006/relationships/package" Target="embeddings/oleObject4.xlsx"/><Relationship Id="rId9" Type="http://schemas.openxmlformats.org/officeDocument/2006/relationships/image" Target="media/image4.wmf"/><Relationship Id="rId10" Type="http://schemas.openxmlformats.org/officeDocument/2006/relationships/image" Target="media/image5.png"/><Relationship Id="rId11" Type="http://schemas.openxmlformats.org/officeDocument/2006/relationships/package" Target="embeddings/oleObject5.xlsx"/><Relationship Id="rId12" Type="http://schemas.openxmlformats.org/officeDocument/2006/relationships/image" Target="media/image6.wmf"/><Relationship Id="rId13" Type="http://schemas.openxmlformats.org/officeDocument/2006/relationships/image" Target="media/image7.png"/><Relationship Id="rId14" Type="http://schemas.openxmlformats.org/officeDocument/2006/relationships/package" Target="embeddings/oleObject6.xlsx"/><Relationship Id="rId15" Type="http://schemas.openxmlformats.org/officeDocument/2006/relationships/image" Target="media/image8.wmf"/><Relationship Id="rId16" Type="http://schemas.openxmlformats.org/officeDocument/2006/relationships/package" Target="embeddings/oleObject7.xlsx"/><Relationship Id="rId17" Type="http://schemas.openxmlformats.org/officeDocument/2006/relationships/image" Target="media/image9.wmf"/><Relationship Id="rId18" Type="http://schemas.openxmlformats.org/officeDocument/2006/relationships/numbering" Target="numbering.xml"/><Relationship Id="rId19" Type="http://schemas.openxmlformats.org/officeDocument/2006/relationships/fontTable" Target="fontTable.xml"/><Relationship Id="rId20" Type="http://schemas.openxmlformats.org/officeDocument/2006/relationships/settings" Target="settings.xml"/><Relationship Id="rId21"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Template>
  <TotalTime>24</TotalTime>
  <Application>LibreOffice/25.2.7.0.0$Linux_X86_64 LibreOffice_project/2cc84caafd2707671cae2773f8085721f003b89f</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2000-12-20T12:35:00Z</dcterms:created>
  <dc:creator>Vladi Pimenov</dc:creator>
  <dc:description/>
  <dc:language>en-CA</dc:language>
  <cp:lastModifiedBy>rmata</cp:lastModifiedBy>
  <cp:lastPrinted>2000-12-20T09:45:00Z</cp:lastPrinted>
  <dcterms:modified xsi:type="dcterms:W3CDTF">2000-12-20T13:26:00Z</dcterms:modified>
  <cp:revision>4</cp:revision>
  <dc:subject/>
  <dc:title>FLORIDA ENERGY MARKET OVERVIEW</dc:title>
</cp:coreProperties>
</file>