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exact" w:line="19"/>
        <w:jc w:val="center"/>
        <w:rPr>
          <w:sz w:val="16"/>
          <w:lang w:val="en-CA"/>
        </w:rPr>
      </w:pPr>
      <w:r>
        <w:rPr>
          <w:sz w:val="16"/>
          <w:lang w:val="en-CA"/>
        </w:rPr>
        <mc:AlternateContent>
          <mc:Choice Requires="wps">
            <w:drawing>
              <wp:anchor behindDoc="1" distT="0" distB="0" distL="114935" distR="114935" simplePos="0" locked="0" layoutInCell="0" allowOverlap="1" relativeHeight="6">
                <wp:simplePos x="0" y="0"/>
                <wp:positionH relativeFrom="page">
                  <wp:posOffset>914400</wp:posOffset>
                </wp:positionH>
                <wp:positionV relativeFrom="paragraph">
                  <wp:posOffset>635</wp:posOffset>
                </wp:positionV>
                <wp:extent cx="5943600" cy="12065"/>
                <wp:effectExtent l="0" t="635" r="0" b="0"/>
                <wp:wrapNone/>
                <wp:docPr id="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tabs>
          <w:tab w:val="clear" w:pos="720"/>
          <w:tab w:val="center" w:pos="4680" w:leader="none"/>
        </w:tabs>
        <w:jc w:val="center"/>
        <w:rPr>
          <w:sz w:val="16"/>
          <w:lang w:val="en-CA"/>
        </w:rPr>
      </w:pPr>
      <w:r>
        <w:rPr>
          <w:sz w:val="16"/>
          <w:lang w:val="en-CA"/>
        </w:rPr>
        <w:drawing>
          <wp:anchor behindDoc="0" distT="0" distB="0" distL="114935" distR="114935" simplePos="0" locked="0" layoutInCell="0" allowOverlap="1" relativeHeight="7">
            <wp:simplePos x="0" y="0"/>
            <wp:positionH relativeFrom="column">
              <wp:posOffset>0</wp:posOffset>
            </wp:positionH>
            <wp:positionV relativeFrom="paragraph">
              <wp:posOffset>125095</wp:posOffset>
            </wp:positionV>
            <wp:extent cx="2651760" cy="64643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4" t="-15" r="-4" b="-15"/>
                    <a:stretch>
                      <a:fillRect/>
                    </a:stretch>
                  </pic:blipFill>
                  <pic:spPr bwMode="auto">
                    <a:xfrm>
                      <a:off x="0" y="0"/>
                      <a:ext cx="2651760" cy="646430"/>
                    </a:xfrm>
                    <a:prstGeom prst="rect">
                      <a:avLst/>
                    </a:prstGeom>
                    <a:noFill/>
                  </pic:spPr>
                </pic:pic>
              </a:graphicData>
            </a:graphic>
          </wp:anchor>
        </w:drawing>
      </w:r>
    </w:p>
    <w:p>
      <w:pPr>
        <w:pStyle w:val="Normal"/>
        <w:widowControl w:val="false"/>
        <w:rPr>
          <w:rFonts w:ascii="Calisto MT;Times New Roman" w:hAnsi="Calisto MT;Times New Roman" w:cs="Calisto MT;Times New Roman"/>
          <w:sz w:val="16"/>
        </w:rPr>
      </w:pPr>
      <w:r>
        <w:rPr>
          <w:rFonts w:eastAsia="Calisto MT;Times New Roman" w:cs="Calisto MT;Times New Roman" w:ascii="Calisto MT;Times New Roman" w:hAnsi="Calisto MT;Times New Roman"/>
          <w:sz w:val="16"/>
        </w:rPr>
        <w:t xml:space="preserve">  </w:t>
      </w:r>
      <w:r>
        <w:rPr>
          <w:rFonts w:cs="Calisto MT;Times New Roman" w:ascii="Calisto MT;Times New Roman" w:hAnsi="Calisto MT;Times New Roman"/>
          <w:sz w:val="16"/>
        </w:rPr>
        <w:t>303 Peachtree Street, N.E.</w:t>
      </w:r>
    </w:p>
    <w:p>
      <w:pPr>
        <w:pStyle w:val="Normal"/>
        <w:widowControl w:val="false"/>
        <w:rPr/>
      </w:pPr>
      <w:r>
        <w:rPr>
          <w:rFonts w:eastAsia="Calisto MT;Times New Roman" w:cs="Calisto MT;Times New Roman" w:ascii="Calisto MT;Times New Roman" w:hAnsi="Calisto MT;Times New Roman"/>
          <w:sz w:val="16"/>
        </w:rPr>
        <w:t xml:space="preserve">  </w:t>
      </w:r>
      <w:r>
        <w:rPr>
          <w:rFonts w:cs="Calisto MT;Times New Roman" w:ascii="Calisto MT;Times New Roman" w:hAnsi="Calisto MT;Times New Roman"/>
          <w:sz w:val="16"/>
        </w:rPr>
        <w:t>23</w:t>
      </w:r>
      <w:r>
        <w:rPr>
          <w:rFonts w:cs="Calisto MT;Times New Roman" w:ascii="Calisto MT;Times New Roman" w:hAnsi="Calisto MT;Times New Roman"/>
          <w:sz w:val="16"/>
          <w:vertAlign w:val="superscript"/>
        </w:rPr>
        <w:t>rd</w:t>
      </w:r>
      <w:r>
        <w:rPr>
          <w:rFonts w:cs="Calisto MT;Times New Roman" w:ascii="Calisto MT;Times New Roman" w:hAnsi="Calisto MT;Times New Roman"/>
          <w:sz w:val="16"/>
        </w:rPr>
        <w:t xml:space="preserve"> Floor, Center Code 3913</w:t>
      </w:r>
    </w:p>
    <w:p>
      <w:pPr>
        <w:pStyle w:val="Normal"/>
        <w:widowControl w:val="false"/>
        <w:rPr>
          <w:rFonts w:ascii="Calisto MT;Times New Roman" w:hAnsi="Calisto MT;Times New Roman" w:cs="Calisto MT;Times New Roman"/>
          <w:sz w:val="16"/>
        </w:rPr>
      </w:pPr>
      <w:r>
        <w:rPr>
          <w:rFonts w:eastAsia="Calisto MT;Times New Roman" w:cs="Calisto MT;Times New Roman" w:ascii="Calisto MT;Times New Roman" w:hAnsi="Calisto MT;Times New Roman"/>
          <w:sz w:val="16"/>
        </w:rPr>
        <w:t xml:space="preserve">  </w:t>
      </w:r>
      <w:r>
        <w:rPr>
          <w:rFonts w:cs="Calisto MT;Times New Roman" w:ascii="Calisto MT;Times New Roman" w:hAnsi="Calisto MT;Times New Roman"/>
          <w:sz w:val="16"/>
        </w:rPr>
        <w:t>Atlanta, Georgia  30308</w:t>
      </w:r>
    </w:p>
    <w:p>
      <w:pPr>
        <w:pStyle w:val="Normal"/>
        <w:widowControl w:val="false"/>
        <w:rPr>
          <w:rFonts w:ascii="Calisto MT;Times New Roman" w:hAnsi="Calisto MT;Times New Roman" w:cs="Calisto MT;Times New Roman"/>
          <w:sz w:val="16"/>
        </w:rPr>
      </w:pPr>
      <w:r>
        <w:rPr>
          <w:rFonts w:eastAsia="Calisto MT;Times New Roman" w:cs="Calisto MT;Times New Roman" w:ascii="Calisto MT;Times New Roman" w:hAnsi="Calisto MT;Times New Roman"/>
          <w:sz w:val="16"/>
        </w:rPr>
        <w:t xml:space="preserve">  </w:t>
      </w:r>
      <w:r>
        <w:rPr>
          <w:rFonts w:cs="Calisto MT;Times New Roman" w:ascii="Calisto MT;Times New Roman" w:hAnsi="Calisto MT;Times New Roman"/>
          <w:sz w:val="16"/>
        </w:rPr>
        <w:t>Member NASD and SIPC</w:t>
      </w:r>
    </w:p>
    <w:p>
      <w:pPr>
        <w:pStyle w:val="Normal"/>
        <w:widowControl w:val="false"/>
        <w:jc w:val="center"/>
        <w:rPr>
          <w:rFonts w:ascii="Calisto MT;Times New Roman" w:hAnsi="Calisto MT;Times New Roman" w:cs="Calisto MT;Times New Roman"/>
          <w:sz w:val="16"/>
        </w:rPr>
      </w:pPr>
      <w:r>
        <w:rPr>
          <w:rFonts w:cs="Calisto MT;Times New Roman" w:ascii="Calisto MT;Times New Roman" w:hAnsi="Calisto MT;Times New Roman"/>
          <w:sz w:val="16"/>
        </w:rPr>
      </w:r>
    </w:p>
    <w:p>
      <w:pPr>
        <w:pStyle w:val="Normal"/>
        <w:widowControl w:val="false"/>
        <w:ind w:firstLine="7200" w:end="0"/>
        <w:jc w:val="end"/>
        <w:rPr>
          <w:sz w:val="22"/>
        </w:rPr>
      </w:pPr>
      <w:r>
        <w:rPr>
          <w:sz w:val="22"/>
        </w:rPr>
        <w:t>October 9, 2001</w:t>
      </w:r>
    </w:p>
    <w:p>
      <w:pPr>
        <w:pStyle w:val="Normal"/>
        <w:widowControl w:val="false"/>
        <w:rPr>
          <w:sz w:val="22"/>
        </w:rPr>
      </w:pPr>
      <w:r>
        <w:rPr>
          <w:sz w:val="22"/>
        </w:rPr>
      </w:r>
    </w:p>
    <w:p>
      <w:pPr>
        <w:pStyle w:val="Normal"/>
        <w:widowControl w:val="false"/>
        <w:tabs>
          <w:tab w:val="clear" w:pos="720"/>
          <w:tab w:val="center" w:pos="4680" w:leader="none"/>
        </w:tabs>
        <w:jc w:val="center"/>
        <w:rPr>
          <w:b/>
          <w:sz w:val="22"/>
          <w:u w:val="single"/>
        </w:rPr>
      </w:pPr>
      <w:r>
        <w:rPr>
          <w:b/>
          <w:sz w:val="22"/>
          <w:u w:val="single"/>
        </w:rPr>
        <w:t>AMENDED</w:t>
      </w:r>
    </w:p>
    <w:p>
      <w:pPr>
        <w:pStyle w:val="Normal"/>
        <w:widowControl w:val="false"/>
        <w:tabs>
          <w:tab w:val="clear" w:pos="720"/>
          <w:tab w:val="center" w:pos="4680" w:leader="none"/>
        </w:tabs>
        <w:jc w:val="center"/>
        <w:rPr>
          <w:b/>
          <w:sz w:val="22"/>
        </w:rPr>
      </w:pPr>
      <w:r>
        <w:rPr>
          <w:b/>
          <w:sz w:val="22"/>
        </w:rPr>
        <w:t>THIS AMENDED CONFIRMATION REPLACES AND SUPERSEDES</w:t>
      </w:r>
    </w:p>
    <w:p>
      <w:pPr>
        <w:pStyle w:val="Heading2"/>
        <w:ind w:hanging="0" w:start="0"/>
        <w:rPr/>
      </w:pPr>
      <w:r>
        <w:rPr/>
        <w:t>ANY AND ALL PRIOR CONFIRMATIONS OF THE SAME TRADE DATE</w:t>
      </w:r>
    </w:p>
    <w:p>
      <w:pPr>
        <w:pStyle w:val="Normal"/>
        <w:widowControl w:val="false"/>
        <w:rPr>
          <w:sz w:val="22"/>
        </w:rPr>
      </w:pPr>
      <w:r>
        <w:rPr>
          <w:sz w:val="22"/>
        </w:rPr>
      </w:r>
    </w:p>
    <w:p>
      <w:pPr>
        <w:pStyle w:val="Heading2"/>
        <w:ind w:hanging="0" w:start="0"/>
        <w:rPr/>
      </w:pPr>
      <w:r>
        <w:rPr/>
        <w:t>Confirmation of Interest Rate Transaction</w:t>
      </w:r>
    </w:p>
    <w:p>
      <w:pPr>
        <w:pStyle w:val="Normal"/>
        <w:widowControl w:val="false"/>
        <w:rPr>
          <w:sz w:val="22"/>
          <w:u w:val="single"/>
        </w:rPr>
      </w:pPr>
      <w:r>
        <w:rPr>
          <w:sz w:val="22"/>
          <w:u w:val="single"/>
        </w:rPr>
      </w:r>
    </w:p>
    <w:p>
      <w:pPr>
        <w:pStyle w:val="Normal"/>
        <w:widowControl w:val="false"/>
        <w:jc w:val="center"/>
        <w:rPr>
          <w:b/>
          <w:sz w:val="22"/>
        </w:rPr>
      </w:pPr>
      <w:r>
        <w:rPr>
          <w:b/>
          <w:sz w:val="22"/>
        </w:rPr>
        <w:t>THIS LETTER AGREEMENT SHOULD BE REVIEWED, EXECUTED BY AN AUTHORIZED PERSON(S), AND RETURNED IMMEDIATELY VIA FAX TO 404-532-0514.</w:t>
      </w:r>
    </w:p>
    <w:p>
      <w:pPr>
        <w:pStyle w:val="Normal"/>
        <w:widowControl w:val="false"/>
        <w:jc w:val="center"/>
        <w:rPr>
          <w:i/>
          <w:i/>
          <w:sz w:val="18"/>
          <w:u w:val="single"/>
        </w:rPr>
      </w:pPr>
      <w:r>
        <w:rPr>
          <w:b/>
          <w:i/>
          <w:sz w:val="18"/>
        </w:rPr>
        <w:t>(Please direct any questions to Ken Kuykendall at 404-532-0303.)</w:t>
      </w:r>
    </w:p>
    <w:p>
      <w:pPr>
        <w:pStyle w:val="Normal"/>
        <w:widowControl w:val="false"/>
        <w:rPr>
          <w:i/>
          <w:i/>
          <w:sz w:val="22"/>
          <w:u w:val="single"/>
        </w:rPr>
      </w:pPr>
      <w:r>
        <w:rPr>
          <w:i/>
          <w:sz w:val="22"/>
          <w:u w:val="single"/>
        </w:rPr>
      </w:r>
    </w:p>
    <w:p>
      <w:pPr>
        <w:pStyle w:val="Normal"/>
        <w:widowControl w:val="false"/>
        <w:rPr>
          <w:sz w:val="22"/>
        </w:rPr>
      </w:pPr>
      <w:r>
        <w:rPr>
          <w:sz w:val="22"/>
        </w:rPr>
        <w:t>A. M. Schroeder</w:t>
      </w:r>
    </w:p>
    <w:p>
      <w:pPr>
        <w:pStyle w:val="Normal"/>
        <w:widowControl w:val="false"/>
        <w:rPr>
          <w:sz w:val="22"/>
        </w:rPr>
      </w:pPr>
      <w:r>
        <w:rPr>
          <w:sz w:val="22"/>
        </w:rPr>
        <w:t>Project Finance Specialist</w:t>
      </w:r>
    </w:p>
    <w:p>
      <w:pPr>
        <w:pStyle w:val="Normal"/>
        <w:widowControl w:val="false"/>
        <w:rPr>
          <w:sz w:val="22"/>
        </w:rPr>
      </w:pPr>
      <w:r>
        <w:rPr>
          <w:sz w:val="22"/>
        </w:rPr>
        <w:t>Florida Gas Transmission Company</w:t>
      </w:r>
    </w:p>
    <w:p>
      <w:pPr>
        <w:pStyle w:val="Normal"/>
        <w:widowControl w:val="false"/>
        <w:rPr>
          <w:sz w:val="22"/>
        </w:rPr>
      </w:pPr>
      <w:r>
        <w:rPr>
          <w:sz w:val="22"/>
        </w:rPr>
        <w:t>1400 Smith St.</w:t>
      </w:r>
    </w:p>
    <w:p>
      <w:pPr>
        <w:pStyle w:val="Normal"/>
        <w:widowControl w:val="false"/>
        <w:rPr>
          <w:sz w:val="22"/>
        </w:rPr>
      </w:pPr>
      <w:r>
        <w:rPr>
          <w:sz w:val="22"/>
        </w:rPr>
        <w:t>Houston, Texas  77002</w:t>
      </w:r>
    </w:p>
    <w:p>
      <w:pPr>
        <w:pStyle w:val="Normal"/>
        <w:widowControl w:val="false"/>
        <w:rPr>
          <w:sz w:val="22"/>
        </w:rPr>
      </w:pPr>
      <w:r>
        <w:rPr>
          <w:sz w:val="22"/>
        </w:rPr>
        <w:t xml:space="preserve">Ph#:  </w:t>
        <w:tab/>
        <w:t>713-853-6186</w:t>
      </w:r>
    </w:p>
    <w:p>
      <w:pPr>
        <w:pStyle w:val="Normal"/>
        <w:widowControl w:val="false"/>
        <w:rPr>
          <w:sz w:val="22"/>
        </w:rPr>
      </w:pPr>
      <w:r>
        <w:rPr>
          <w:sz w:val="22"/>
        </w:rPr>
        <w:t xml:space="preserve">Fax#: </w:t>
        <w:tab/>
        <w:t>713-646-3201</w:t>
      </w:r>
    </w:p>
    <w:p>
      <w:pPr>
        <w:pStyle w:val="Normal"/>
        <w:widowControl w:val="false"/>
        <w:rPr>
          <w:sz w:val="22"/>
        </w:rPr>
      </w:pPr>
      <w:r>
        <w:rPr>
          <w:sz w:val="22"/>
        </w:rPr>
      </w:r>
    </w:p>
    <w:p>
      <w:pPr>
        <w:pStyle w:val="Normal"/>
        <w:widowControl w:val="false"/>
        <w:rPr>
          <w:sz w:val="22"/>
        </w:rPr>
      </w:pPr>
      <w:r>
        <w:rPr>
          <w:sz w:val="22"/>
        </w:rPr>
        <w:t xml:space="preserve">REF:  </w:t>
        <w:tab/>
        <w:t>13659</w:t>
      </w:r>
    </w:p>
    <w:p>
      <w:pPr>
        <w:pStyle w:val="Normal"/>
        <w:widowControl w:val="false"/>
        <w:rPr>
          <w:sz w:val="22"/>
        </w:rPr>
      </w:pPr>
      <w:r>
        <w:rPr>
          <w:sz w:val="22"/>
        </w:rPr>
      </w:r>
    </w:p>
    <w:p>
      <w:pPr>
        <w:pStyle w:val="Normal"/>
        <w:widowControl w:val="false"/>
        <w:rPr>
          <w:sz w:val="22"/>
        </w:rPr>
      </w:pPr>
      <w:r>
        <w:rPr>
          <w:sz w:val="22"/>
        </w:rPr>
        <w:t>Dear Ms. Schroeder:</w:t>
      </w:r>
    </w:p>
    <w:p>
      <w:pPr>
        <w:pStyle w:val="Normal"/>
        <w:widowControl w:val="false"/>
        <w:rPr>
          <w:sz w:val="22"/>
        </w:rPr>
      </w:pPr>
      <w:r>
        <w:rPr>
          <w:sz w:val="22"/>
        </w:rPr>
      </w:r>
    </w:p>
    <w:p>
      <w:pPr>
        <w:pStyle w:val="Normal"/>
        <w:widowControl w:val="false"/>
        <w:ind w:firstLine="720" w:end="0"/>
        <w:rPr>
          <w:sz w:val="22"/>
        </w:rPr>
      </w:pPr>
      <w:r>
        <w:rPr>
          <w:sz w:val="22"/>
        </w:rPr>
        <w:t>The purpose of this letter agreement is to set forth the terms and conditions of the Rate Transaction entered into between Florida Gas Transmission Company (“Counterparty” or “you”) and SunTrust Bank (“SunTrust” or “us”) on the Trade Date specified below (the “Transaction”).  SunTrust Capital Markets, Inc. acts as agent on behalf of SunTrust with respect to this Transaction.  This letter agreement constitutes a “Confirmation” as referred to in the ISDA Master Agreement entered into by the parties hereto and dated June 17, 1999.</w:t>
      </w:r>
    </w:p>
    <w:p>
      <w:pPr>
        <w:pStyle w:val="Normal"/>
        <w:widowControl w:val="false"/>
        <w:rPr>
          <w:sz w:val="22"/>
        </w:rPr>
      </w:pPr>
      <w:r>
        <w:rPr>
          <w:sz w:val="22"/>
        </w:rPr>
      </w:r>
    </w:p>
    <w:p>
      <w:pPr>
        <w:pStyle w:val="Normal"/>
        <w:widowControl w:val="false"/>
        <w:ind w:firstLine="720" w:end="0"/>
        <w:rPr>
          <w:sz w:val="22"/>
        </w:rPr>
      </w:pPr>
      <w:r>
        <w:rPr>
          <w:sz w:val="22"/>
        </w:rPr>
        <w:t>The definitions and provisions contained in the 1991 ISDA Definitions published by the International Swap and Derivatives Association, Inc. (“ISDA”), as amended and supplemented by the 1998 Supplement to the 1991 ISDA Definitions (the “Definitions”), are incorporated by reference into this Confirmation.  In the event of any inconsistency between the Definitions and this Confirmation, this Confirmation shall govern.</w:t>
      </w:r>
    </w:p>
    <w:p>
      <w:pPr>
        <w:pStyle w:val="Normal"/>
        <w:widowControl w:val="false"/>
        <w:rPr>
          <w:sz w:val="22"/>
        </w:rPr>
      </w:pPr>
      <w:r>
        <w:rPr>
          <w:sz w:val="22"/>
        </w:rPr>
      </w:r>
    </w:p>
    <w:p>
      <w:pPr>
        <w:pStyle w:val="Normal"/>
        <w:widowControl w:val="false"/>
        <w:ind w:firstLine="720" w:end="0"/>
        <w:rPr>
          <w:sz w:val="22"/>
        </w:rPr>
      </w:pPr>
      <w:r>
        <w:rPr>
          <w:sz w:val="22"/>
        </w:rPr>
        <w:t>This Confirmation supplements, forms a part of, and is subject to the ISDA Master Agreement, as amended and supplemented from time to time (the “Swap Agreement”), between you and us.  All provisions contained or incorporated by reference in the Swap Agreement shall govern this Confirmation except as expressly modified below.</w:t>
      </w:r>
      <w:r>
        <w:br w:type="page"/>
      </w:r>
    </w:p>
    <w:p>
      <w:pPr>
        <w:pStyle w:val="Normal"/>
        <w:widowControl w:val="false"/>
        <w:rPr>
          <w:sz w:val="22"/>
        </w:rPr>
      </w:pPr>
      <w:r>
        <w:rPr>
          <w:sz w:val="22"/>
        </w:rPr>
      </w:r>
    </w:p>
    <w:p>
      <w:pPr>
        <w:pStyle w:val="Normal"/>
        <w:widowControl w:val="false"/>
        <w:ind w:firstLine="720" w:end="0"/>
        <w:rPr>
          <w:sz w:val="22"/>
        </w:rPr>
      </w:pPr>
      <w:r>
        <w:rPr>
          <w:sz w:val="22"/>
        </w:rPr>
        <w:t>Each party is hereby advised, and each such party acknowledges, that the other party has engaged in (or refrained from engaging in) substantial financial transactions and has taken other material actions in reliance upon the parties’ entry in the Transaction to which this Confirmation relates on the terms and conditions set forth below.</w:t>
      </w:r>
    </w:p>
    <w:p>
      <w:pPr>
        <w:pStyle w:val="Normal"/>
        <w:widowControl w:val="false"/>
        <w:rPr>
          <w:sz w:val="22"/>
        </w:rPr>
      </w:pPr>
      <w:r>
        <w:rPr>
          <w:sz w:val="22"/>
        </w:rPr>
      </w:r>
    </w:p>
    <w:p>
      <w:pPr>
        <w:pStyle w:val="Normal"/>
        <w:widowControl w:val="false"/>
        <w:ind w:firstLine="720" w:end="0"/>
        <w:rPr>
          <w:sz w:val="22"/>
        </w:rPr>
      </w:pPr>
      <w:r>
        <w:rPr>
          <w:sz w:val="22"/>
        </w:rPr>
        <w:t>This Confirmation shall be governed by and construed in accordance with the laws of the State of New York without reference to choice of law doctrine.</w:t>
      </w:r>
    </w:p>
    <w:p>
      <w:pPr>
        <w:pStyle w:val="Normal"/>
        <w:widowControl w:val="false"/>
        <w:ind w:firstLine="720" w:end="0"/>
        <w:rPr>
          <w:sz w:val="22"/>
        </w:rPr>
      </w:pPr>
      <w:r>
        <w:rPr>
          <w:sz w:val="22"/>
        </w:rPr>
      </w:r>
    </w:p>
    <w:p>
      <w:pPr>
        <w:pStyle w:val="Normal"/>
        <w:widowControl w:val="false"/>
        <w:rPr>
          <w:sz w:val="22"/>
        </w:rPr>
      </w:pPr>
      <w:r>
        <w:rPr>
          <w:sz w:val="22"/>
        </w:rPr>
        <w:t>1.</w:t>
        <w:tab/>
        <w:t>The terms of the particular Transaction to which this Confirmation relates are as follows:</w:t>
      </w:r>
    </w:p>
    <w:p>
      <w:pPr>
        <w:pStyle w:val="Normal"/>
        <w:widowControl w:val="false"/>
        <w:rPr>
          <w:sz w:val="22"/>
        </w:rPr>
      </w:pPr>
      <w:r>
        <w:rPr>
          <w:sz w:val="22"/>
        </w:rPr>
      </w:r>
    </w:p>
    <w:p>
      <w:pPr>
        <w:pStyle w:val="Normal"/>
        <w:widowControl w:val="false"/>
        <w:tabs>
          <w:tab w:val="clear" w:pos="720"/>
          <w:tab w:val="left" w:pos="748" w:leader="none"/>
          <w:tab w:val="left" w:pos="998" w:leader="none"/>
          <w:tab w:val="left" w:pos="5616" w:leader="none"/>
        </w:tabs>
        <w:ind w:firstLine="748" w:end="0"/>
        <w:rPr>
          <w:sz w:val="22"/>
        </w:rPr>
      </w:pPr>
      <w:r>
        <w:rPr>
          <w:sz w:val="22"/>
        </w:rPr>
        <w:t>Type of Transaction:</w:t>
        <w:tab/>
        <w:t>Swap Transaction</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ind w:hanging="4868" w:start="5616" w:end="0"/>
        <w:rPr>
          <w:sz w:val="22"/>
        </w:rPr>
      </w:pPr>
      <w:r>
        <w:rPr>
          <w:sz w:val="22"/>
        </w:rPr>
        <w:t>Notional Amount:</w:t>
        <w:tab/>
        <w:t>$135,000,000.00</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ind w:firstLine="748" w:end="0"/>
        <w:rPr>
          <w:sz w:val="22"/>
        </w:rPr>
      </w:pPr>
      <w:r>
        <w:rPr>
          <w:sz w:val="22"/>
        </w:rPr>
        <w:t>Trade Date:</w:t>
        <w:tab/>
        <w:t>September 19, 2001</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ind w:firstLine="748" w:end="0"/>
        <w:rPr>
          <w:sz w:val="22"/>
        </w:rPr>
      </w:pPr>
      <w:r>
        <w:rPr>
          <w:sz w:val="22"/>
        </w:rPr>
        <w:t>Effective Date:</w:t>
        <w:tab/>
        <w:t>September 21, 2001</w:t>
      </w:r>
    </w:p>
    <w:p>
      <w:pPr>
        <w:pStyle w:val="Normal"/>
        <w:widowControl w:val="false"/>
        <w:tabs>
          <w:tab w:val="clear" w:pos="720"/>
          <w:tab w:val="left" w:pos="748" w:leader="none"/>
          <w:tab w:val="left" w:pos="998" w:leader="none"/>
          <w:tab w:val="left" w:pos="5616" w:leader="none"/>
        </w:tabs>
        <w:ind w:hanging="4868" w:start="5616" w:end="0"/>
        <w:rPr>
          <w:sz w:val="22"/>
        </w:rPr>
      </w:pPr>
      <w:r>
        <w:rPr>
          <w:sz w:val="22"/>
        </w:rPr>
      </w:r>
    </w:p>
    <w:p>
      <w:pPr>
        <w:pStyle w:val="Normal"/>
        <w:widowControl w:val="false"/>
        <w:tabs>
          <w:tab w:val="clear" w:pos="720"/>
          <w:tab w:val="left" w:pos="748" w:leader="none"/>
          <w:tab w:val="left" w:pos="998" w:leader="none"/>
          <w:tab w:val="left" w:pos="5616" w:leader="none"/>
        </w:tabs>
        <w:ind w:hanging="4868" w:start="5616" w:end="0"/>
        <w:rPr>
          <w:sz w:val="22"/>
        </w:rPr>
      </w:pPr>
      <w:r>
        <w:rPr>
          <w:sz w:val="22"/>
        </w:rPr>
        <w:t>Termination Date:</w:t>
        <w:tab/>
        <w:t>December 1, 2010, with adjustment in accordance with the Modified Following Business Day Convention (subject to Sections 2(b) and 2(d) below)</w:t>
      </w:r>
    </w:p>
    <w:p>
      <w:pPr>
        <w:pStyle w:val="Normal"/>
        <w:widowControl w:val="false"/>
        <w:tabs>
          <w:tab w:val="clear" w:pos="720"/>
          <w:tab w:val="left" w:pos="748" w:leader="none"/>
          <w:tab w:val="left" w:pos="998" w:leader="none"/>
          <w:tab w:val="left" w:pos="5616" w:leader="none"/>
        </w:tabs>
        <w:ind w:firstLine="748" w:end="0"/>
        <w:rPr>
          <w:sz w:val="22"/>
        </w:rPr>
      </w:pPr>
      <w:r>
        <w:rPr>
          <w:b/>
          <w:sz w:val="22"/>
          <w:u w:val="single"/>
        </w:rPr>
        <w:t>Fixed Amounts:</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rPr>
          <w:sz w:val="22"/>
        </w:rPr>
      </w:pPr>
      <w:r>
        <w:rPr>
          <w:sz w:val="22"/>
        </w:rPr>
        <w:tab/>
        <w:tab/>
        <w:t>Fixed Rate Payer:</w:t>
        <w:tab/>
        <w:t>SunTrust</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ind w:hanging="5616" w:start="5616" w:end="0"/>
        <w:rPr/>
      </w:pPr>
      <w:r>
        <w:rPr>
          <w:sz w:val="22"/>
        </w:rPr>
        <w:tab/>
        <w:tab/>
        <w:t>Fixed Rate Payer Payment Dates:</w:t>
        <w:tab/>
        <w:t>The 1</w:t>
      </w:r>
      <w:r>
        <w:rPr>
          <w:sz w:val="22"/>
          <w:vertAlign w:val="superscript"/>
        </w:rPr>
        <w:t>st</w:t>
      </w:r>
      <w:r>
        <w:rPr>
          <w:sz w:val="22"/>
        </w:rPr>
        <w:t xml:space="preserve"> day of each June and December, beginning December 1, 2001, through and including the Termination Date, subject to adjustment in accordance with the Modified Following Business Day Convention</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rPr>
          <w:sz w:val="22"/>
        </w:rPr>
      </w:pPr>
      <w:r>
        <w:rPr>
          <w:sz w:val="22"/>
        </w:rPr>
        <w:tab/>
        <w:tab/>
        <w:t>Fixed Rate:</w:t>
        <w:tab/>
        <w:t>7.625% per annum</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rPr>
          <w:sz w:val="22"/>
        </w:rPr>
      </w:pPr>
      <w:r>
        <w:rPr>
          <w:sz w:val="22"/>
        </w:rPr>
        <w:tab/>
        <w:tab/>
        <w:t>Fixed Rate Day Count Fraction:</w:t>
        <w:tab/>
        <w:t>30/360</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rPr>
          <w:sz w:val="22"/>
        </w:rPr>
      </w:pPr>
      <w:r>
        <w:rPr>
          <w:sz w:val="22"/>
        </w:rPr>
        <w:tab/>
        <w:tab/>
        <w:t>Adjustment to Period End Dates:</w:t>
        <w:tab/>
        <w:t>Inapplicable</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ind w:firstLine="748" w:end="0"/>
        <w:rPr>
          <w:b/>
          <w:sz w:val="22"/>
          <w:u w:val="single"/>
        </w:rPr>
      </w:pPr>
      <w:r>
        <w:rPr>
          <w:b/>
          <w:sz w:val="22"/>
          <w:u w:val="single"/>
        </w:rPr>
        <w:t>Floating Amounts:</w:t>
      </w:r>
    </w:p>
    <w:p>
      <w:pPr>
        <w:pStyle w:val="Normal"/>
        <w:widowControl w:val="false"/>
        <w:tabs>
          <w:tab w:val="clear" w:pos="720"/>
          <w:tab w:val="left" w:pos="748" w:leader="none"/>
          <w:tab w:val="left" w:pos="998" w:leader="none"/>
          <w:tab w:val="left" w:pos="5616" w:leader="none"/>
        </w:tabs>
        <w:rPr>
          <w:b/>
          <w:sz w:val="22"/>
          <w:u w:val="single"/>
        </w:rPr>
      </w:pPr>
      <w:r>
        <w:rPr>
          <w:b/>
          <w:sz w:val="22"/>
          <w:u w:val="single"/>
        </w:rPr>
      </w:r>
    </w:p>
    <w:p>
      <w:pPr>
        <w:pStyle w:val="Normal"/>
        <w:widowControl w:val="false"/>
        <w:tabs>
          <w:tab w:val="clear" w:pos="720"/>
          <w:tab w:val="left" w:pos="748" w:leader="none"/>
          <w:tab w:val="left" w:pos="998" w:leader="none"/>
          <w:tab w:val="left" w:pos="5616" w:leader="none"/>
        </w:tabs>
        <w:rPr>
          <w:sz w:val="22"/>
        </w:rPr>
      </w:pPr>
      <w:r>
        <w:rPr>
          <w:sz w:val="22"/>
        </w:rPr>
        <w:tab/>
        <w:tab/>
        <w:t>Floating Rate Payer:</w:t>
        <w:tab/>
        <w:t>Counterparty</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ind w:hanging="5616" w:start="5616" w:end="0"/>
        <w:rPr/>
      </w:pPr>
      <w:r>
        <w:rPr>
          <w:sz w:val="22"/>
        </w:rPr>
        <w:tab/>
        <w:tab/>
        <w:t>Floating Rate Payer Payment Dates:</w:t>
        <w:tab/>
        <w:t>The 1</w:t>
      </w:r>
      <w:r>
        <w:rPr>
          <w:sz w:val="22"/>
          <w:vertAlign w:val="superscript"/>
        </w:rPr>
        <w:t>st</w:t>
      </w:r>
      <w:r>
        <w:rPr>
          <w:sz w:val="22"/>
        </w:rPr>
        <w:t xml:space="preserve"> day of each June and December, beginning December 1, 2001, through and including the Termination Date, subject to adjustment in accordance with the Modified Following Business Day Convention</w:t>
      </w:r>
      <w:r>
        <w:br w:type="page"/>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ind w:hanging="5610" w:start="5610" w:end="0"/>
        <w:rPr>
          <w:sz w:val="22"/>
        </w:rPr>
      </w:pPr>
      <w:r>
        <w:rPr>
          <w:sz w:val="22"/>
        </w:rPr>
        <w:tab/>
        <w:tab/>
        <w:t>Floating Rate for initial Calculation Period:</w:t>
        <w:tab/>
        <w:t>2.78375% per annum (exclusive of Spread)</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rPr>
          <w:sz w:val="22"/>
        </w:rPr>
      </w:pPr>
      <w:r>
        <w:rPr>
          <w:sz w:val="22"/>
        </w:rPr>
        <w:tab/>
        <w:tab/>
        <w:t>Floating Rate Day Count Fraction:</w:t>
        <w:tab/>
        <w:t>Actual/360</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rPr>
          <w:sz w:val="22"/>
        </w:rPr>
      </w:pPr>
      <w:r>
        <w:rPr>
          <w:sz w:val="22"/>
        </w:rPr>
        <w:tab/>
        <w:tab/>
        <w:t>Designated Maturity:</w:t>
        <w:tab/>
        <w:t xml:space="preserve">6 month </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rPr>
          <w:sz w:val="22"/>
        </w:rPr>
      </w:pPr>
      <w:r>
        <w:rPr>
          <w:sz w:val="22"/>
        </w:rPr>
        <w:tab/>
        <w:tab/>
        <w:t>Floating Rate Option:</w:t>
        <w:tab/>
        <w:t>USD-LIBOR-BBA</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rPr>
          <w:sz w:val="22"/>
        </w:rPr>
      </w:pPr>
      <w:r>
        <w:rPr>
          <w:sz w:val="22"/>
        </w:rPr>
        <w:tab/>
        <w:tab/>
        <w:t>Spread:</w:t>
        <w:tab/>
        <w:t>2.29% per annum</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rPr>
          <w:sz w:val="22"/>
        </w:rPr>
      </w:pPr>
      <w:r>
        <w:rPr>
          <w:sz w:val="22"/>
        </w:rPr>
        <w:tab/>
        <w:tab/>
        <w:t>Adjustment to Period End Dates:</w:t>
        <w:tab/>
        <w:t>Applicable</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ind w:hanging="5616" w:start="5616" w:end="0"/>
        <w:rPr>
          <w:sz w:val="22"/>
        </w:rPr>
      </w:pPr>
      <w:r>
        <w:rPr>
          <w:sz w:val="22"/>
        </w:rPr>
        <w:tab/>
        <w:tab/>
        <w:t>Reset Dates:</w:t>
        <w:tab/>
        <w:t>The first day of each Floating Rate Payer Calculation Period</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rPr>
          <w:sz w:val="22"/>
        </w:rPr>
      </w:pPr>
      <w:r>
        <w:rPr>
          <w:sz w:val="22"/>
        </w:rPr>
        <w:tab/>
        <w:t>Calculation Agent:</w:t>
        <w:tab/>
        <w:t>SunTrust</w:t>
      </w:r>
    </w:p>
    <w:p>
      <w:pPr>
        <w:pStyle w:val="Normal"/>
        <w:widowControl w:val="false"/>
        <w:tabs>
          <w:tab w:val="clear" w:pos="720"/>
          <w:tab w:val="left" w:pos="748" w:leader="none"/>
          <w:tab w:val="left" w:pos="998" w:leader="none"/>
          <w:tab w:val="left" w:pos="5616" w:leader="none"/>
        </w:tabs>
        <w:ind w:firstLine="998" w:end="0"/>
        <w:rPr>
          <w:sz w:val="22"/>
        </w:rPr>
      </w:pPr>
      <w:r>
        <w:rPr>
          <w:sz w:val="22"/>
        </w:rPr>
      </w:r>
    </w:p>
    <w:p>
      <w:pPr>
        <w:pStyle w:val="Normal"/>
        <w:widowControl w:val="false"/>
        <w:tabs>
          <w:tab w:val="clear" w:pos="720"/>
          <w:tab w:val="left" w:pos="748" w:leader="none"/>
          <w:tab w:val="left" w:pos="998" w:leader="none"/>
          <w:tab w:val="left" w:pos="5616" w:leader="none"/>
        </w:tabs>
        <w:rPr>
          <w:sz w:val="22"/>
        </w:rPr>
      </w:pPr>
      <w:r>
        <w:rPr>
          <w:sz w:val="22"/>
        </w:rPr>
        <w:tab/>
        <w:t>Business Days:</w:t>
        <w:tab/>
        <w:t>New York</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rPr>
          <w:sz w:val="22"/>
        </w:rPr>
      </w:pPr>
      <w:r>
        <w:rPr>
          <w:sz w:val="22"/>
        </w:rPr>
        <w:t>2.</w:t>
        <w:tab/>
        <w:t>Other Provisions</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1440" w:leader="none"/>
          <w:tab w:val="left" w:pos="5616" w:leader="none"/>
        </w:tabs>
        <w:ind w:start="748" w:end="0"/>
        <w:rPr>
          <w:sz w:val="22"/>
        </w:rPr>
      </w:pPr>
      <w:r>
        <w:rPr>
          <w:sz w:val="22"/>
        </w:rPr>
        <w:t>(a)</w:t>
        <w:tab/>
        <w:t>You agree to provide us (i) corporate resolutions, and (ii) a certificate of incumbency with respect to the individual(s) executing this Confirmation, both documents evidencing your authority to enter into this Transaction.  This provision shall constitute an additional Agreement for the purpose of Section 4 of the Swap Agreement.</w:t>
      </w:r>
    </w:p>
    <w:p>
      <w:pPr>
        <w:pStyle w:val="BodyTextIndent"/>
        <w:rPr/>
      </w:pPr>
      <w:r>
        <w:rPr/>
        <w:tab/>
      </w:r>
    </w:p>
    <w:p>
      <w:pPr>
        <w:pStyle w:val="BodyTextIndent"/>
        <w:rPr/>
      </w:pPr>
      <w:r>
        <w:rPr/>
        <w:tab/>
        <w:t>(b)</w:t>
        <w:tab/>
        <w:t>Either party shall have the right to terminate this Transaction at the mid side value as determined in good faith by the Calculation Agent on December 1, 2005, subject to adjustment in accordance with the Modified Following Business Day Convention, with two New York Business Days notification to the other party.</w:t>
      </w:r>
    </w:p>
    <w:p>
      <w:pPr>
        <w:pStyle w:val="Normal"/>
        <w:widowControl w:val="false"/>
        <w:tabs>
          <w:tab w:val="clear" w:pos="720"/>
          <w:tab w:val="left" w:pos="748" w:leader="none"/>
          <w:tab w:val="left" w:pos="998" w:leader="none"/>
          <w:tab w:val="left" w:pos="5616" w:leader="none"/>
        </w:tabs>
        <w:rPr>
          <w:sz w:val="22"/>
        </w:rPr>
      </w:pPr>
      <w:r>
        <w:rPr>
          <w:sz w:val="22"/>
        </w:rPr>
      </w:r>
    </w:p>
    <w:p>
      <w:pPr>
        <w:pStyle w:val="BodyTextIndent"/>
        <w:tabs>
          <w:tab w:val="clear" w:pos="748"/>
          <w:tab w:val="clear" w:pos="998"/>
          <w:tab w:val="clear" w:pos="1440"/>
          <w:tab w:val="clear" w:pos="5616"/>
          <w:tab w:val="left" w:pos="720" w:leader="none"/>
          <w:tab w:val="left" w:pos="1404" w:leader="none"/>
          <w:tab w:val="left" w:pos="4834" w:leader="none"/>
          <w:tab w:val="left" w:pos="6428" w:leader="none"/>
        </w:tabs>
        <w:rPr/>
      </w:pPr>
      <w:r>
        <w:rPr/>
        <w:tab/>
        <w:t>(c)</w:t>
        <w:tab/>
        <w:t xml:space="preserve">“Loan Agreement” shall mean </w:t>
      </w:r>
      <w:r>
        <w:rPr>
          <w:b/>
          <w:u w:val="single"/>
        </w:rPr>
        <w:t>(i)</w:t>
      </w:r>
      <w:r>
        <w:rPr/>
        <w:t xml:space="preserve"> the Revolving Credit Agreement dated as of April 29, 1998, between the Counterparty, the lenders party thereto, and The Chase Manhattan Bank, as agent, </w:t>
      </w:r>
      <w:r>
        <w:rPr>
          <w:b/>
          <w:u w:val="single"/>
        </w:rPr>
        <w:t>as such Loan Agreement exists on the Trade Date, or (ii) the successor principal revolving credit agreement, if any; PROVIDED, HOWEVER, that the covenants, terms and provisions of, including all representations and warranties of the Counterparty contained in, the Loan Agreement dated as of April 29, 1998, are hereby incorporated by reference in, and made part of, this Confirmation to the same extent as if such covenants, terms, and provisions were set forth in full herein.  The Counterparty hereby agrees that, during the period commencing with the Trade Date through and including such date on which all of the Counterparty’s obligations under this Confirmation are fully performed, the Counterparty will observe, perform, and fulfill each and every such covenant, term, and provision applicable to the Counterparty.  In the event the Loan Agreement dated April 29, 1998, terminates or becomes no longer binding on the Counterparty prior to the termination of this Confirmation, such covenants, terms, and provisions (other than those requiring payments in respect of amounts owed under the Loan Agreement dated April 29, 1998) will remain in force and effect for purposes of this Confirmation as though set forth in full herein until the date on which all of the Counterparty’s obligations under this Confirmation are fully performed, and this Confirmation is terminated.</w:t>
      </w:r>
    </w:p>
    <w:p>
      <w:pPr>
        <w:pStyle w:val="BlockText"/>
        <w:ind w:hanging="0" w:start="0" w:end="360"/>
        <w:rPr>
          <w:b/>
          <w:u w:val="single"/>
        </w:rPr>
      </w:pPr>
      <w:r>
        <w:rPr>
          <w:b/>
          <w:u w:val="single"/>
        </w:rPr>
      </w:r>
    </w:p>
    <w:p>
      <w:pPr>
        <w:pStyle w:val="BlockText"/>
        <w:ind w:hanging="720" w:start="720" w:end="360"/>
        <w:rPr/>
      </w:pPr>
      <w:r>
        <w:rPr/>
        <w:tab/>
        <w:t>(d)</w:t>
        <w:tab/>
        <w:t xml:space="preserve">Additional Termination Event will not apply.  Notwithstanding the foregoing, SunTrust will have the right (but not the obligation) to terminate any Transaction related to the Loan Agreement </w:t>
      </w:r>
      <w:r>
        <w:rPr>
          <w:b/>
          <w:u w:val="single"/>
        </w:rPr>
        <w:t>(however defined in subparts (i) and (ii) in the immediately preceding paragraph 2(c))</w:t>
      </w:r>
      <w:r>
        <w:rPr/>
        <w:t xml:space="preserve"> and will be entitled to receive from, or will be required to pay to, the Counterparty the fair market value for such termination, as determined by SunTrust in good faith and in accordance with market practice and its own customary procedures, upon the occurrence of one or more of the following events:</w:t>
      </w:r>
    </w:p>
    <w:p>
      <w:pPr>
        <w:pStyle w:val="BlockText"/>
        <w:ind w:hanging="720" w:start="720" w:end="360"/>
        <w:rPr/>
      </w:pPr>
      <w:r>
        <w:rPr/>
      </w:r>
    </w:p>
    <w:p>
      <w:pPr>
        <w:pStyle w:val="BlockText"/>
        <w:numPr>
          <w:ilvl w:val="0"/>
          <w:numId w:val="2"/>
        </w:numPr>
        <w:rPr/>
      </w:pPr>
      <w:r>
        <w:rPr/>
        <w:t>If the lenders party to the Loan Agreement become secured or, if already secured, the lenders obtain additional security thereunder and SunTrust, in its capacity as a party to this Confirmation, is not entitled to the same rights, privileges, and interest in the collateral and/or guaranty agreements as the lenders are entitled to under the Loan Agreement; and</w:t>
      </w:r>
    </w:p>
    <w:p>
      <w:pPr>
        <w:pStyle w:val="BlockText"/>
        <w:numPr>
          <w:ilvl w:val="0"/>
          <w:numId w:val="2"/>
        </w:numPr>
        <w:rPr/>
      </w:pPr>
      <w:r>
        <w:rPr/>
        <w:t>If there is a default, an event of default, or other similar condition or event (however described) in relation to the Counterparty under the Loan Agreement (without regard to the existence of any waiver or forbearance agreement with respect thereto).</w:t>
      </w:r>
    </w:p>
    <w:p>
      <w:pPr>
        <w:pStyle w:val="Normal"/>
        <w:widowControl w:val="false"/>
        <w:tabs>
          <w:tab w:val="clear" w:pos="720"/>
          <w:tab w:val="left" w:pos="645" w:leader="none"/>
          <w:tab w:val="left" w:pos="1404" w:leader="none"/>
          <w:tab w:val="left" w:pos="4834" w:leader="none"/>
          <w:tab w:val="left" w:pos="6428" w:leader="none"/>
        </w:tabs>
        <w:rPr>
          <w:sz w:val="22"/>
        </w:rPr>
      </w:pPr>
      <w:r>
        <w:rPr>
          <w:sz w:val="22"/>
        </w:rPr>
      </w:r>
    </w:p>
    <w:p>
      <w:pPr>
        <w:pStyle w:val="BodyTextIndent3"/>
        <w:rPr/>
      </w:pPr>
      <w:r>
        <w:rPr/>
        <w:t>SunTrust may exercise such right to terminate, at any time in its sole discretion, following the occurrence of any one of such events through the Termination Date.  A failure or delay in exercising the foregoing right to terminate will not be presumed to operate as a waiver.</w:t>
      </w:r>
    </w:p>
    <w:p>
      <w:pPr>
        <w:pStyle w:val="Normal"/>
        <w:widowControl w:val="false"/>
        <w:tabs>
          <w:tab w:val="clear" w:pos="720"/>
          <w:tab w:val="left" w:pos="645" w:leader="none"/>
          <w:tab w:val="left" w:pos="1404" w:leader="none"/>
          <w:tab w:val="left" w:pos="4834" w:leader="none"/>
          <w:tab w:val="left" w:pos="6428" w:leader="none"/>
        </w:tabs>
        <w:rPr>
          <w:sz w:val="22"/>
        </w:rPr>
      </w:pPr>
      <w:r>
        <w:rPr>
          <w:sz w:val="22"/>
        </w:rPr>
      </w:r>
    </w:p>
    <w:p>
      <w:pPr>
        <w:pStyle w:val="Normal"/>
        <w:widowControl w:val="false"/>
        <w:tabs>
          <w:tab w:val="clear" w:pos="720"/>
          <w:tab w:val="left" w:pos="748" w:leader="none"/>
          <w:tab w:val="left" w:pos="1440"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rPr>
          <w:sz w:val="22"/>
        </w:rPr>
      </w:pPr>
      <w:r>
        <w:rPr>
          <w:sz w:val="22"/>
        </w:rPr>
        <w:t>3.</w:t>
        <w:tab/>
        <w:t>Account Details</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ind w:firstLine="748" w:end="0"/>
        <w:rPr>
          <w:sz w:val="22"/>
        </w:rPr>
      </w:pPr>
      <w:r>
        <w:rPr>
          <w:sz w:val="22"/>
        </w:rPr>
        <w:t>Payment to Counterparty:</w:t>
      </w:r>
    </w:p>
    <w:p>
      <w:pPr>
        <w:pStyle w:val="Normal"/>
        <w:widowControl w:val="false"/>
        <w:tabs>
          <w:tab w:val="clear" w:pos="720"/>
          <w:tab w:val="center" w:pos="4680" w:leader="none"/>
        </w:tabs>
        <w:rPr>
          <w:sz w:val="22"/>
        </w:rPr>
      </w:pPr>
      <w:r>
        <w:rPr>
          <w:sz w:val="22"/>
        </w:rPr>
      </w:r>
    </w:p>
    <w:p>
      <w:pPr>
        <w:pStyle w:val="Normal"/>
        <w:widowControl w:val="false"/>
        <w:tabs>
          <w:tab w:val="clear" w:pos="720"/>
          <w:tab w:val="left" w:pos="748" w:leader="none"/>
          <w:tab w:val="left" w:pos="998" w:leader="none"/>
          <w:tab w:val="left" w:pos="5616" w:leader="none"/>
        </w:tabs>
        <w:ind w:firstLine="998" w:end="0"/>
        <w:rPr>
          <w:sz w:val="22"/>
        </w:rPr>
      </w:pPr>
      <w:r>
        <w:rPr>
          <w:sz w:val="22"/>
        </w:rPr>
        <w:t xml:space="preserve">Depository:                               </w:t>
      </w:r>
      <w:r>
        <w:rPr>
          <w:b/>
          <w:sz w:val="22"/>
        </w:rPr>
        <w:t>[PLEASE ADVISE]</w:t>
      </w:r>
    </w:p>
    <w:p>
      <w:pPr>
        <w:pStyle w:val="Normal"/>
        <w:widowControl w:val="false"/>
        <w:tabs>
          <w:tab w:val="clear" w:pos="720"/>
          <w:tab w:val="left" w:pos="748" w:leader="none"/>
          <w:tab w:val="left" w:pos="998" w:leader="none"/>
          <w:tab w:val="left" w:pos="5616" w:leader="none"/>
        </w:tabs>
        <w:ind w:firstLine="998" w:end="0"/>
        <w:rPr>
          <w:sz w:val="22"/>
        </w:rPr>
      </w:pPr>
      <w:r>
        <w:rPr>
          <w:sz w:val="22"/>
        </w:rPr>
        <w:t xml:space="preserve">ABA # </w:t>
      </w:r>
    </w:p>
    <w:p>
      <w:pPr>
        <w:pStyle w:val="Normal"/>
        <w:widowControl w:val="false"/>
        <w:tabs>
          <w:tab w:val="clear" w:pos="720"/>
          <w:tab w:val="left" w:pos="748" w:leader="none"/>
          <w:tab w:val="left" w:pos="998" w:leader="none"/>
          <w:tab w:val="left" w:pos="5616" w:leader="none"/>
        </w:tabs>
        <w:ind w:firstLine="998" w:end="0"/>
        <w:rPr>
          <w:sz w:val="22"/>
        </w:rPr>
      </w:pPr>
      <w:r>
        <w:rPr>
          <w:sz w:val="22"/>
        </w:rPr>
        <w:t xml:space="preserve">Favor of: </w:t>
      </w:r>
    </w:p>
    <w:p>
      <w:pPr>
        <w:pStyle w:val="Normal"/>
        <w:widowControl w:val="false"/>
        <w:tabs>
          <w:tab w:val="clear" w:pos="720"/>
          <w:tab w:val="left" w:pos="748" w:leader="none"/>
          <w:tab w:val="left" w:pos="998" w:leader="none"/>
          <w:tab w:val="left" w:pos="5616" w:leader="none"/>
        </w:tabs>
        <w:ind w:firstLine="998" w:end="0"/>
        <w:rPr>
          <w:sz w:val="22"/>
        </w:rPr>
      </w:pPr>
      <w:r>
        <w:rPr>
          <w:sz w:val="22"/>
        </w:rPr>
        <w:t xml:space="preserve">Account # </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ind w:firstLine="748" w:end="0"/>
        <w:rPr>
          <w:sz w:val="22"/>
        </w:rPr>
      </w:pPr>
      <w:r>
        <w:rPr>
          <w:sz w:val="22"/>
        </w:rPr>
        <w:t>Payments to SunTrust:</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ind w:firstLine="998" w:end="0"/>
        <w:rPr>
          <w:sz w:val="22"/>
        </w:rPr>
      </w:pPr>
      <w:r>
        <w:rPr>
          <w:sz w:val="22"/>
        </w:rPr>
        <w:t>SunTrust Bank</w:t>
      </w:r>
    </w:p>
    <w:p>
      <w:pPr>
        <w:pStyle w:val="Normal"/>
        <w:widowControl w:val="false"/>
        <w:tabs>
          <w:tab w:val="clear" w:pos="720"/>
          <w:tab w:val="left" w:pos="748" w:leader="none"/>
          <w:tab w:val="left" w:pos="998" w:leader="none"/>
          <w:tab w:val="left" w:pos="5616" w:leader="none"/>
        </w:tabs>
        <w:ind w:firstLine="998" w:end="0"/>
        <w:rPr>
          <w:sz w:val="22"/>
        </w:rPr>
      </w:pPr>
      <w:r>
        <w:rPr>
          <w:sz w:val="22"/>
        </w:rPr>
        <w:t>ABA # 061000104</w:t>
      </w:r>
    </w:p>
    <w:p>
      <w:pPr>
        <w:pStyle w:val="Normal"/>
        <w:widowControl w:val="false"/>
        <w:tabs>
          <w:tab w:val="clear" w:pos="720"/>
          <w:tab w:val="left" w:pos="748" w:leader="none"/>
          <w:tab w:val="left" w:pos="998" w:leader="none"/>
          <w:tab w:val="left" w:pos="5616" w:leader="none"/>
        </w:tabs>
        <w:ind w:firstLine="998" w:end="0"/>
        <w:rPr>
          <w:sz w:val="22"/>
        </w:rPr>
      </w:pPr>
      <w:r>
        <w:rPr>
          <w:sz w:val="22"/>
        </w:rPr>
        <w:t>FBO:  Bond Wire Clearing</w:t>
      </w:r>
    </w:p>
    <w:p>
      <w:pPr>
        <w:pStyle w:val="Normal"/>
        <w:widowControl w:val="false"/>
        <w:tabs>
          <w:tab w:val="clear" w:pos="720"/>
          <w:tab w:val="left" w:pos="748" w:leader="none"/>
          <w:tab w:val="left" w:pos="998" w:leader="none"/>
          <w:tab w:val="left" w:pos="5616" w:leader="none"/>
        </w:tabs>
        <w:ind w:firstLine="998" w:end="0"/>
        <w:rPr>
          <w:sz w:val="22"/>
        </w:rPr>
      </w:pPr>
      <w:r>
        <w:rPr>
          <w:sz w:val="22"/>
        </w:rPr>
        <w:t>Account # 9088-0000-95</w:t>
      </w:r>
    </w:p>
    <w:p>
      <w:pPr>
        <w:pStyle w:val="Normal"/>
        <w:widowControl w:val="false"/>
        <w:tabs>
          <w:tab w:val="clear" w:pos="720"/>
          <w:tab w:val="left" w:pos="748" w:leader="none"/>
          <w:tab w:val="left" w:pos="998" w:leader="none"/>
          <w:tab w:val="left" w:pos="5616" w:leader="none"/>
        </w:tabs>
        <w:ind w:firstLine="998" w:end="0"/>
        <w:rPr>
          <w:sz w:val="22"/>
        </w:rPr>
      </w:pPr>
      <w:r>
        <w:rPr>
          <w:sz w:val="22"/>
        </w:rPr>
        <w:t>Attn: Financial Risk Management, Operations</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rPr>
          <w:sz w:val="22"/>
        </w:rPr>
      </w:pPr>
      <w:r>
        <w:rPr>
          <w:sz w:val="22"/>
        </w:rPr>
        <w:t>4.</w:t>
        <w:tab/>
        <w:t>Offices</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rPr>
          <w:sz w:val="22"/>
        </w:rPr>
      </w:pPr>
      <w:r>
        <w:rPr>
          <w:sz w:val="22"/>
        </w:rPr>
        <w:tab/>
        <w:t>(a)     The Office of Counterparty for the Transaction is its Houston office; and</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rPr>
          <w:sz w:val="22"/>
        </w:rPr>
      </w:pPr>
      <w:r>
        <w:rPr>
          <w:sz w:val="22"/>
        </w:rPr>
        <w:tab/>
        <w:t>(b)     The Office of SunTrust for the Transaction is its Atlanta office.</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tabs>
          <w:tab w:val="clear" w:pos="720"/>
          <w:tab w:val="left" w:pos="748" w:leader="none"/>
          <w:tab w:val="left" w:pos="998" w:leader="none"/>
          <w:tab w:val="left" w:pos="5616" w:leader="none"/>
        </w:tabs>
        <w:rPr>
          <w:sz w:val="22"/>
        </w:rPr>
      </w:pPr>
      <w:r>
        <w:rPr>
          <w:sz w:val="22"/>
        </w:rPr>
        <w:tab/>
        <w:t>By signing below, you also acknowledge and agree that we have explained to you the risks involved in this Transaction, which risks include but are not limited to the following:</w:t>
      </w:r>
      <w:r>
        <w:br w:type="page"/>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numPr>
          <w:ilvl w:val="0"/>
          <w:numId w:val="3"/>
        </w:numPr>
        <w:tabs>
          <w:tab w:val="clear" w:pos="720"/>
          <w:tab w:val="left" w:pos="748" w:leader="none"/>
          <w:tab w:val="left" w:pos="998" w:leader="none"/>
          <w:tab w:val="left" w:pos="5616" w:leader="none"/>
        </w:tabs>
        <w:rPr>
          <w:sz w:val="22"/>
        </w:rPr>
      </w:pPr>
      <w:r>
        <w:rPr>
          <w:sz w:val="22"/>
        </w:rPr>
        <w:t>Market Risk:  The risk that the Transaction may increase or decrease in value with a change in, among other things, interest rates or the yield curve; and</w:t>
      </w:r>
    </w:p>
    <w:p>
      <w:pPr>
        <w:pStyle w:val="Normal"/>
        <w:widowControl w:val="false"/>
        <w:tabs>
          <w:tab w:val="clear" w:pos="720"/>
          <w:tab w:val="left" w:pos="748" w:leader="none"/>
          <w:tab w:val="left" w:pos="998" w:leader="none"/>
          <w:tab w:val="left" w:pos="5616" w:leader="none"/>
        </w:tabs>
        <w:rPr>
          <w:sz w:val="22"/>
        </w:rPr>
      </w:pPr>
      <w:r>
        <w:rPr>
          <w:sz w:val="22"/>
        </w:rPr>
      </w:r>
    </w:p>
    <w:p>
      <w:pPr>
        <w:pStyle w:val="Normal"/>
        <w:widowControl w:val="false"/>
        <w:numPr>
          <w:ilvl w:val="0"/>
          <w:numId w:val="3"/>
        </w:numPr>
        <w:tabs>
          <w:tab w:val="clear" w:pos="720"/>
          <w:tab w:val="left" w:pos="748" w:leader="none"/>
          <w:tab w:val="left" w:pos="998" w:leader="none"/>
          <w:tab w:val="left" w:pos="5616" w:leader="none"/>
        </w:tabs>
        <w:rPr>
          <w:sz w:val="22"/>
        </w:rPr>
      </w:pPr>
      <w:r>
        <w:rPr>
          <w:sz w:val="22"/>
        </w:rPr>
        <w:t>Liquidity Risk:  The risk that the Transaction cannot be closed out or disposed of quickly at or near its value.</w:t>
      </w:r>
    </w:p>
    <w:p>
      <w:pPr>
        <w:pStyle w:val="Normal"/>
        <w:widowControl w:val="false"/>
        <w:tabs>
          <w:tab w:val="clear" w:pos="720"/>
          <w:tab w:val="left" w:pos="748" w:leader="none"/>
          <w:tab w:val="left" w:pos="998" w:leader="none"/>
          <w:tab w:val="left" w:pos="5616" w:leader="none"/>
        </w:tabs>
        <w:ind w:hanging="748" w:start="748" w:end="0"/>
        <w:rPr>
          <w:rFonts w:ascii="WP MathA" w:hAnsi="WP MathA" w:cs="WP MathA"/>
          <w:sz w:val="22"/>
        </w:rPr>
      </w:pPr>
      <w:r>
        <w:rPr>
          <w:rFonts w:cs="WP MathA" w:ascii="WP MathA" w:hAnsi="WP MathA"/>
          <w:sz w:val="22"/>
        </w:rPr>
      </w:r>
    </w:p>
    <w:p>
      <w:pPr>
        <w:pStyle w:val="Normal"/>
        <w:widowControl w:val="false"/>
        <w:tabs>
          <w:tab w:val="clear" w:pos="720"/>
          <w:tab w:val="left" w:pos="748" w:leader="none"/>
          <w:tab w:val="left" w:pos="998" w:leader="none"/>
          <w:tab w:val="left" w:pos="5616" w:leader="none"/>
        </w:tabs>
        <w:rPr>
          <w:sz w:val="22"/>
        </w:rPr>
      </w:pPr>
      <w:r>
        <w:rPr>
          <w:sz w:val="22"/>
        </w:rPr>
        <w:tab/>
        <w:t>You further acknowledge and agree that you understand these risks and the Transaction as a whole, that you are capable of managing the risks associated with this Transaction, that the risks involved in this Transaction are consistent with your financial goals, policies and procedures, and risk tolerance, and that you have determined that this Transaction is appropriate for you.</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ab/>
        <w:t>Please confirm that the foregoing correctly sets forth the terms of our agreement by signing this copy of this Confirmation and immediately returning it to SunTrust Capital Markets, Inc. via fax at the number indicated on Page 1.</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Very truly yours,</w:t>
        <w:tab/>
        <w:tab/>
        <w:tab/>
        <w:tab/>
        <w:t>Accepted and Confirmed as of the date first written:</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b/>
          <w:sz w:val="22"/>
        </w:rPr>
        <w:t>SUNTRUST BANK</w:t>
        <w:tab/>
        <w:tab/>
        <w:tab/>
        <w:tab/>
        <w:t>FLORIDA GAS TRANSMISSION COMPANY</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By:_________________________</w:t>
        <w:tab/>
        <w:tab/>
        <w:t>By:_________________________</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 xml:space="preserve">       </w:t>
      </w:r>
      <w:r>
        <w:rPr>
          <w:sz w:val="22"/>
        </w:rPr>
        <w:t>Fred D. Woolf</w:t>
        <w:tab/>
        <w:tab/>
        <w:tab/>
        <w:tab/>
        <w:t>Name:</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 xml:space="preserve">       </w:t>
      </w:r>
      <w:r>
        <w:rPr>
          <w:sz w:val="22"/>
        </w:rPr>
        <w:t>Vice President</w:t>
        <w:tab/>
        <w:tab/>
        <w:tab/>
        <w:tab/>
        <w:t>Title:</w:t>
      </w:r>
    </w:p>
    <w:sectPr>
      <w:headerReference w:type="default" r:id="rId3"/>
      <w:headerReference w:type="first" r:id="rId4"/>
      <w:type w:val="nextPage"/>
      <w:pgSz w:w="12240" w:h="15840"/>
      <w:pgMar w:left="1440" w:right="1440" w:gutter="0" w:header="1080" w:top="1136" w:footer="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alisto MT">
    <w:altName w:val="Times New Roman"/>
    <w:charset w:val="00" w:characterSet="windows-1252"/>
    <w:family w:val="roman"/>
    <w:pitch w:val="variable"/>
  </w:font>
  <w:font w:name="WP MathA">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b/>
      </w:rPr>
    </w:pPr>
    <w:r>
      <w:rPr>
        <w:b/>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0485" cy="161925"/>
              <wp:effectExtent l="0" t="0" r="0" b="0"/>
              <wp:wrapSquare wrapText="bothSides"/>
              <wp:docPr id="3"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Header"/>
                            <w:rPr>
                              <w:rStyle w:val="PageNumber"/>
                              <w:b/>
                              <w:sz w:val="22"/>
                            </w:rPr>
                          </w:pPr>
                          <w:r>
                            <w:rPr>
                              <w:rStyle w:val="PageNumber"/>
                              <w:b/>
                              <w:sz w:val="22"/>
                            </w:rPr>
                            <w:fldChar w:fldCharType="begin"/>
                          </w:r>
                          <w:r>
                            <w:rPr>
                              <w:rStyle w:val="PageNumber"/>
                              <w:sz w:val="22"/>
                              <w:b/>
                            </w:rPr>
                            <w:instrText xml:space="preserve"> PAGE </w:instrText>
                          </w:r>
                          <w:r>
                            <w:rPr>
                              <w:rStyle w:val="PageNumber"/>
                              <w:sz w:val="22"/>
                              <w:b/>
                            </w:rPr>
                            <w:fldChar w:fldCharType="separate"/>
                          </w:r>
                          <w:r>
                            <w:rPr>
                              <w:rStyle w:val="PageNumber"/>
                              <w:sz w:val="22"/>
                              <w:b/>
                            </w:rPr>
                            <w:t>5</w:t>
                          </w:r>
                          <w:r>
                            <w:rPr>
                              <w:rStyle w:val="PageNumber"/>
                              <w:sz w:val="22"/>
                              <w:b/>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462.45pt;mso-position-horizontal:right;mso-position-horizontal-relative:margin">
              <v:fill opacity="0f"/>
              <v:textbox inset="0in,0in,0in,0in">
                <w:txbxContent>
                  <w:p>
                    <w:pPr>
                      <w:pStyle w:val="Header"/>
                      <w:rPr>
                        <w:rStyle w:val="PageNumber"/>
                        <w:b/>
                        <w:sz w:val="22"/>
                      </w:rPr>
                    </w:pPr>
                    <w:r>
                      <w:rPr>
                        <w:rStyle w:val="PageNumber"/>
                        <w:b/>
                        <w:sz w:val="22"/>
                      </w:rPr>
                      <w:fldChar w:fldCharType="begin"/>
                    </w:r>
                    <w:r>
                      <w:rPr>
                        <w:rStyle w:val="PageNumber"/>
                        <w:sz w:val="22"/>
                        <w:b/>
                      </w:rPr>
                      <w:instrText xml:space="preserve"> PAGE </w:instrText>
                    </w:r>
                    <w:r>
                      <w:rPr>
                        <w:rStyle w:val="PageNumber"/>
                        <w:sz w:val="22"/>
                        <w:b/>
                      </w:rPr>
                      <w:fldChar w:fldCharType="separate"/>
                    </w:r>
                    <w:r>
                      <w:rPr>
                        <w:rStyle w:val="PageNumber"/>
                        <w:sz w:val="22"/>
                        <w:b/>
                      </w:rPr>
                      <w:t>5</w:t>
                    </w:r>
                    <w:r>
                      <w:rPr>
                        <w:rStyle w:val="PageNumber"/>
                        <w:sz w:val="22"/>
                        <w:b/>
                      </w:rPr>
                      <w:fldChar w:fldCharType="end"/>
                    </w:r>
                  </w:p>
                </w:txbxContent>
              </v:textbox>
              <w10:wrap type="square"/>
            </v:rect>
          </w:pict>
        </mc:Fallback>
      </mc:AlternateContent>
    </w:r>
  </w:p>
  <w:p>
    <w:pPr>
      <w:pStyle w:val="Header"/>
      <w:ind w:end="360"/>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numFmt w:val="bullet"/>
      <w:lvlText w:val=""/>
      <w:lvlJc w:val="start"/>
      <w:pPr>
        <w:tabs>
          <w:tab w:val="num" w:pos="748"/>
        </w:tabs>
        <w:ind w:start="748" w:hanging="748"/>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8"/>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outlineLvl w:val="0"/>
    </w:pPr>
    <w:rPr>
      <w:b/>
      <w:sz w:val="16"/>
    </w:rPr>
  </w:style>
  <w:style w:type="paragraph" w:styleId="Heading2">
    <w:name w:val="heading 2"/>
    <w:basedOn w:val="Normal"/>
    <w:next w:val="Normal"/>
    <w:qFormat/>
    <w:pPr>
      <w:keepNext w:val="true"/>
      <w:widowControl w:val="false"/>
      <w:numPr>
        <w:ilvl w:val="1"/>
        <w:numId w:val="1"/>
      </w:numPr>
      <w:tabs>
        <w:tab w:val="clear" w:pos="720"/>
        <w:tab w:val="center" w:pos="4680" w:leader="none"/>
      </w:tabs>
      <w:jc w:val="center"/>
      <w:outlineLvl w:val="1"/>
    </w:pPr>
    <w:rPr>
      <w:b/>
      <w:sz w:val="22"/>
      <w:u w:val="single"/>
    </w:rPr>
  </w:style>
  <w:style w:type="character" w:styleId="WW8Num2z0">
    <w:name w:val="WW8Num2z0"/>
    <w:qFormat/>
    <w:rPr/>
  </w:style>
  <w:style w:type="character" w:styleId="WW8Num3z0">
    <w:name w:val="WW8Num3z0"/>
    <w:qFormat/>
    <w:rPr>
      <w:b w:val="false"/>
      <w:i w:val="fals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3z0">
    <w:name w:val="WW8NumSt3z0"/>
    <w:qFormat/>
    <w:rPr>
      <w:rFonts w:ascii="Symbol" w:hAnsi="Symbol" w:cs="Symbol"/>
    </w:rPr>
  </w:style>
  <w:style w:type="character" w:styleId="WW8NumSt4z0">
    <w:name w:val="WW8NumSt4z0"/>
    <w:qFormat/>
    <w:rPr>
      <w:rFonts w:ascii="Symbol" w:hAnsi="Symbol" w:cs="Symbol"/>
    </w:rPr>
  </w:style>
  <w:style w:type="character" w:styleId="WW8NumSt5z0">
    <w:name w:val="WW8NumSt5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val="false"/>
      <w:tabs>
        <w:tab w:val="clear" w:pos="720"/>
        <w:tab w:val="left" w:pos="748" w:leader="none"/>
        <w:tab w:val="left" w:pos="998" w:leader="none"/>
        <w:tab w:val="left" w:pos="1440" w:leader="none"/>
        <w:tab w:val="left" w:pos="5616" w:leader="none"/>
      </w:tabs>
      <w:ind w:hanging="720" w:start="720" w:end="0"/>
    </w:pPr>
    <w:rPr>
      <w:sz w:val="22"/>
    </w:rPr>
  </w:style>
  <w:style w:type="paragraph" w:styleId="BlockText">
    <w:name w:val="Block Text"/>
    <w:basedOn w:val="Normal"/>
    <w:qFormat/>
    <w:pPr>
      <w:tabs>
        <w:tab w:val="left" w:pos="0" w:leader="none"/>
        <w:tab w:val="left" w:pos="720" w:leader="none"/>
        <w:tab w:val="left" w:pos="1440" w:leader="none"/>
        <w:tab w:val="right" w:pos="9360" w:leader="none"/>
      </w:tabs>
      <w:ind w:hanging="588" w:start="588" w:end="360"/>
    </w:pPr>
    <w:rPr>
      <w:sz w:val="22"/>
    </w:rPr>
  </w:style>
  <w:style w:type="paragraph" w:styleId="BodyTextIndent2">
    <w:name w:val="Body Text Indent 2"/>
    <w:basedOn w:val="Normal"/>
    <w:qFormat/>
    <w:pPr>
      <w:widowControl w:val="false"/>
      <w:tabs>
        <w:tab w:val="left" w:pos="720" w:leader="none"/>
        <w:tab w:val="left" w:pos="1440" w:leader="none"/>
        <w:tab w:val="left" w:pos="4834" w:leader="none"/>
        <w:tab w:val="left" w:pos="6428" w:leader="none"/>
      </w:tabs>
      <w:ind w:hanging="648" w:start="1278" w:end="0"/>
    </w:pPr>
    <w:rPr>
      <w:sz w:val="22"/>
    </w:rPr>
  </w:style>
  <w:style w:type="paragraph" w:styleId="BodyTextIndent3">
    <w:name w:val="Body Text Indent 3"/>
    <w:basedOn w:val="Normal"/>
    <w:qFormat/>
    <w:pPr>
      <w:widowControl w:val="false"/>
      <w:tabs>
        <w:tab w:val="left" w:pos="720" w:leader="none"/>
        <w:tab w:val="left" w:pos="1404" w:leader="none"/>
        <w:tab w:val="left" w:pos="6428" w:leader="none"/>
      </w:tabs>
      <w:ind w:hanging="0" w:start="720" w:end="0"/>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2001-10-09T11:57:00Z</dcterms:created>
  <dc:creator>SunTrust Capital Markets, Inc.</dc:creator>
  <dc:description/>
  <dc:language>en-CA</dc:language>
  <cp:lastModifiedBy>SunTrust Banks, Inc.</cp:lastModifiedBy>
  <cp:lastPrinted>2001-08-09T12:04:00Z</cp:lastPrinted>
  <dcterms:modified xsi:type="dcterms:W3CDTF">2001-10-09T11:57:00Z</dcterms:modified>
  <cp:revision>2</cp:revision>
  <dc:subject/>
  <dc:title>	SUNTRUST</dc:title>
</cp:coreProperties>
</file>