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56"/>
        </w:rPr>
      </w:pPr>
      <w:r>
        <w:rPr>
          <w:i/>
          <w:sz w:val="56"/>
        </w:rPr>
        <w:t>Gas Trading Vision II</w:t>
      </w:r>
    </w:p>
    <w:p>
      <w:pPr>
        <w:pStyle w:val="Normal"/>
        <w:jc w:val="center"/>
        <w:rPr>
          <w:iCs/>
          <w:sz w:val="40"/>
        </w:rPr>
      </w:pPr>
      <w:r>
        <w:rPr>
          <w:iCs/>
          <w:sz w:val="40"/>
        </w:rPr>
        <w:t>Inception – Flexible Deal Viewer</w:t>
      </w:r>
    </w:p>
    <w:p>
      <w:pPr>
        <w:pStyle w:val="Normal"/>
        <w:jc w:val="both"/>
        <w:rPr>
          <w:iCs/>
          <w:sz w:val="40"/>
        </w:rPr>
      </w:pPr>
      <w:r>
        <w:rPr>
          <w:iCs/>
          <w:sz w:val="40"/>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5211445</wp:posOffset>
                </wp:positionH>
                <wp:positionV relativeFrom="paragraph">
                  <wp:posOffset>-53340</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4"/>
                                <w:rFonts w:ascii="Arial" w:hAnsi="Arial" w:eastAsia="Times New Roman" w:cs="Arial"/>
                                <w:color w:val="808080"/>
                                <w:lang w:val="en-US" w:bidi="ar-SA"/>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4.15pt;height:506.8pt;mso-wrap-style:none;v-text-anchor:middle;rotation:180" type="_x0000_t202">
                <v:textbox>
                  <w:txbxContent>
                    <w:p>
                      <w:pPr>
                        <w:overflowPunct w:val="false"/>
                        <w:bidi w:val="0"/>
                        <w:rPr/>
                      </w:pPr>
                      <w:r>
                        <w:rPr>
                          <w:kern w:val="2"/>
                          <w:sz w:val="96"/>
                          <w:szCs w:val="24"/>
                          <w:rFonts w:ascii="Arial" w:hAnsi="Arial" w:eastAsia="Times New Roman" w:cs="Arial"/>
                          <w:color w:val="808080"/>
                          <w:lang w:val="en-US" w:bidi="ar-SA"/>
                        </w:rPr>
                        <w:t>Inception Document</w:t>
                      </w:r>
                    </w:p>
                  </w:txbxContent>
                </v:textbox>
                <v:fill o:detectmouseclick="t" on="false"/>
                <v:stroke color="#3465a4" joinstyle="round" endcap="flat"/>
                <w10:wrap type="none"/>
              </v:shape>
            </w:pict>
          </mc:Fallback>
        </mc:AlternateContent>
      </w:r>
    </w:p>
    <w:p>
      <w:pPr>
        <w:pStyle w:val="Normal"/>
        <w:jc w:val="both"/>
        <w:rPr/>
      </w:pPr>
      <w:r>
        <w:rPr/>
      </w:r>
    </w:p>
    <w:p>
      <w:pPr>
        <w:pStyle w:val="Normal"/>
        <w:rPr/>
      </w:pPr>
      <w:r>
        <w:rPr/>
        <w:drawing>
          <wp:inline distT="0" distB="0" distL="0" distR="0">
            <wp:extent cx="2197100" cy="21945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Cs/>
        </w:rPr>
      </w:pPr>
      <w:r>
        <w:rPr>
          <w:iCs/>
        </w:rPr>
        <w:t>On behalf of</w:t>
      </w:r>
    </w:p>
    <w:p>
      <w:pPr>
        <w:pStyle w:val="Normal"/>
        <w:jc w:val="both"/>
        <w:rPr>
          <w:sz w:val="48"/>
        </w:rPr>
      </w:pPr>
      <w:r>
        <w:rPr>
          <w:sz w:val="48"/>
        </w:rPr>
        <w:t>Enron Net Works, LLC</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tbl>
      <w:tblPr>
        <w:tblW w:w="7650" w:type="dxa"/>
        <w:jc w:val="start"/>
        <w:tblInd w:w="108" w:type="dxa"/>
        <w:tblLayout w:type="fixed"/>
        <w:tblCellMar>
          <w:top w:w="0" w:type="dxa"/>
          <w:start w:w="108" w:type="dxa"/>
          <w:bottom w:w="0" w:type="dxa"/>
          <w:end w:w="108" w:type="dxa"/>
        </w:tblCellMar>
      </w:tblPr>
      <w:tblGrid>
        <w:gridCol w:w="2880"/>
        <w:gridCol w:w="4770"/>
      </w:tblGrid>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Document Classification: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Draft</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Version: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1.0</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Point of contact:</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Zhiyong Wei</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Date:</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July 12, 2001</w:t>
            </w:r>
          </w:p>
        </w:tc>
      </w:tr>
    </w:tbl>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u w:val="single"/>
        </w:rPr>
      </w:pPr>
      <w:r>
        <w:rPr>
          <w:b/>
          <w:sz w:val="28"/>
          <w:u w:val="single"/>
        </w:rPr>
        <w:t>Sign off</w:t>
      </w:r>
    </w:p>
    <w:p>
      <w:pPr>
        <w:pStyle w:val="Normal"/>
        <w:rPr/>
      </w:pPr>
      <w:r>
        <w:rPr/>
      </w:r>
    </w:p>
    <w:p>
      <w:pPr>
        <w:pStyle w:val="BodyTextIndent"/>
        <w:ind w:start="0" w:end="0"/>
        <w:jc w:val="both"/>
        <w:rPr/>
      </w:pPr>
      <w:r>
        <w:rPr/>
        <w:t>The signatories agree with the definitions, processes and recommendations stated in this document and agree for the first</w:t>
      </w:r>
    </w:p>
    <w:p>
      <w:pPr>
        <w:pStyle w:val="BodyTextIndent"/>
        <w:ind w:start="0" w:end="0"/>
        <w:jc w:val="both"/>
        <w:rPr/>
      </w:pPr>
      <w:r>
        <w:rPr/>
        <w:t xml:space="preserve"> </w:t>
      </w:r>
      <w:r>
        <w:rPr/>
        <w:t>phase to begin based on this document.</w:t>
      </w:r>
    </w:p>
    <w:p>
      <w:pPr>
        <w:pStyle w:val="BodyTextIndent"/>
        <w:jc w:val="both"/>
        <w:rPr/>
      </w:pPr>
      <w:r>
        <w:rPr/>
      </w:r>
    </w:p>
    <w:p>
      <w:pPr>
        <w:pStyle w:val="BodyTextIndent"/>
        <w:jc w:val="both"/>
        <w:rPr>
          <w:lang w:val="en-CA" w:eastAsia="en-CA"/>
        </w:rPr>
      </w:pPr>
      <w:r>
        <w:rPr>
          <w:lang w:val="en-CA" w:eastAsia="en-CA"/>
        </w:rP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1905</wp:posOffset>
                </wp:positionV>
                <wp:extent cx="6429375" cy="7920355"/>
                <wp:effectExtent l="5715" t="5715" r="4445" b="4445"/>
                <wp:wrapNone/>
                <wp:docPr id="3" name=""/>
                <a:graphic xmlns:a="http://schemas.openxmlformats.org/drawingml/2006/main">
                  <a:graphicData uri="http://schemas.microsoft.com/office/word/2010/wordprocessingShape">
                    <wps:wsp>
                      <wps:cNvSpPr/>
                      <wps:spPr>
                        <a:xfrm>
                          <a:off x="0" y="0"/>
                          <a:ext cx="6429240" cy="79203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506.2pt;height:623.6pt;mso-wrap-style:none;v-text-anchor:middle">
                <v:fill o:detectmouseclick="t" on="false"/>
                <v:stroke color="black" weight="9360" joinstyle="miter" endcap="flat"/>
                <w10:wrap type="none"/>
              </v:rect>
            </w:pict>
          </mc:Fallback>
        </mc:AlternateContent>
      </w:r>
    </w:p>
    <w:p>
      <w:pPr>
        <w:pStyle w:val="BodyTextIndent"/>
        <w:ind w:start="0" w:end="0"/>
        <w:jc w:val="both"/>
        <w:rPr>
          <w:i/>
          <w:i/>
        </w:rPr>
      </w:pPr>
      <w:r>
        <w:rPr>
          <w:b/>
        </w:rPr>
        <w:t xml:space="preserve"> </w:t>
      </w:r>
      <w:r>
        <w:rPr>
          <w:b/>
        </w:rPr>
        <w:t>Business Sponsors</w:t>
      </w:r>
      <w:r>
        <w:rPr/>
        <w:tab/>
      </w:r>
      <w:r>
        <w:rPr>
          <w:iCs/>
        </w:rPr>
        <w:t>Name</w:t>
        <w:tab/>
        <w:t>Louise Kitchen</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start="1440" w:end="0"/>
        <w:jc w:val="both"/>
        <w:rPr>
          <w:iCs/>
        </w:rPr>
      </w:pPr>
      <w:r>
        <w:rPr>
          <w:iCs/>
        </w:rPr>
        <w:t>Name</w:t>
        <w:tab/>
        <w:t>Geof Storey</w:t>
      </w:r>
    </w:p>
    <w:p>
      <w:pPr>
        <w:pStyle w:val="BodyTextIndent"/>
        <w:ind w:firstLine="720" w:start="1440" w:end="0"/>
        <w:jc w:val="both"/>
        <w:rPr>
          <w:iCs/>
        </w:rPr>
      </w:pPr>
      <w:r>
        <w:rPr>
          <w:iCs/>
        </w:rPr>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ind w:start="0" w:end="0"/>
        <w:jc w:val="both"/>
        <w:rPr/>
      </w:pPr>
      <w:r>
        <w:rPr/>
      </w:r>
    </w:p>
    <w:p>
      <w:pPr>
        <w:pStyle w:val="BodyTextIndent"/>
        <w:ind w:firstLine="720" w:start="1440" w:end="0"/>
        <w:jc w:val="both"/>
        <w:rPr>
          <w:iCs/>
        </w:rPr>
      </w:pPr>
      <w:r>
        <w:rPr>
          <w:iCs/>
        </w:rPr>
        <w:t>Name</w:t>
        <w:tab/>
        <w:t>Jeff Gossett</w:t>
      </w:r>
    </w:p>
    <w:p>
      <w:pPr>
        <w:pStyle w:val="BodyTextIndent"/>
        <w:ind w:firstLine="720" w:start="1440" w:end="0"/>
        <w:jc w:val="both"/>
        <w:rPr>
          <w:iCs/>
        </w:rPr>
      </w:pPr>
      <w:r>
        <w:rPr>
          <w:iCs/>
        </w:rPr>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b/>
        </w:rPr>
        <w:t xml:space="preserve"> </w:t>
      </w:r>
      <w:r>
        <w:rPr>
          <w:b/>
        </w:rPr>
        <w:t>IT Sponsors</w:t>
      </w:r>
      <w:r>
        <w:rPr/>
        <w:tab/>
        <w:tab/>
      </w:r>
      <w:r>
        <w:rPr>
          <w:iCs/>
        </w:rPr>
        <w:t>Name</w:t>
        <w:tab/>
        <w:t>Mark Pickering</w:t>
      </w:r>
    </w:p>
    <w:p>
      <w:pPr>
        <w:pStyle w:val="BodyTextIndent"/>
        <w:ind w:start="0" w:end="0"/>
        <w:jc w:val="both"/>
        <w:rPr>
          <w:iCs/>
        </w:rPr>
      </w:pPr>
      <w:r>
        <w:rPr>
          <w:iCs/>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tab/>
        <w:tab/>
      </w:r>
      <w:r>
        <w:rPr>
          <w:iCs/>
        </w:rPr>
        <w:t>Name</w:t>
        <w:tab/>
        <w:t>Beth Perlman</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Steve Stock</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Zhiyong Wei</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 xml:space="preserve">Jim Ogg </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w:t>
      </w:r>
    </w:p>
    <w:p>
      <w:pPr>
        <w:pStyle w:val="BodyTextIndent"/>
        <w:jc w:val="both"/>
        <w:rPr/>
      </w:pPr>
      <w:r>
        <w:rPr/>
      </w:r>
    </w:p>
    <w:p>
      <w:pPr>
        <w:pStyle w:val="BodyTextIndent"/>
        <w:jc w:val="both"/>
        <w:rPr/>
      </w:pPr>
      <w:r>
        <w:rPr/>
        <w:tab/>
        <w:tab/>
        <w:tab/>
      </w:r>
      <w:r>
        <w:rPr>
          <w:iCs/>
        </w:rPr>
        <w:t>Name</w:t>
        <w:tab/>
        <w:t>Bob McAuliffe</w:t>
      </w:r>
    </w:p>
    <w:p>
      <w:pPr>
        <w:pStyle w:val="BodyTextIndent"/>
        <w:ind w:firstLine="720" w:end="0"/>
        <w:jc w:val="both"/>
        <w:rPr>
          <w:iCs/>
        </w:rPr>
      </w:pPr>
      <w:r>
        <w:rPr>
          <w:iCs/>
        </w:rPr>
      </w:r>
    </w:p>
    <w:p>
      <w:pPr>
        <w:pStyle w:val="BodyTextIndent"/>
        <w:ind w:firstLine="720" w:start="1440" w:end="0"/>
        <w:jc w:val="both"/>
        <w:rPr/>
      </w:pPr>
      <w:r>
        <w:rPr/>
      </w:r>
    </w:p>
    <w:p>
      <w:pPr>
        <w:pStyle w:val="Normal"/>
        <w:ind w:firstLine="720" w:start="1440" w:end="0"/>
        <w:rPr/>
      </w:pPr>
      <w:r>
        <w:rPr/>
        <w:t xml:space="preserve">___________________ </w:t>
        <w:tab/>
        <w:tab/>
      </w:r>
      <w:r>
        <w:rPr>
          <w:sz w:val="20"/>
          <w:szCs w:val="20"/>
        </w:rPr>
        <w:t>Date</w:t>
      </w:r>
      <w:r>
        <w:rPr/>
        <w:t xml:space="preserve"> ___________</w:t>
      </w:r>
      <w:r>
        <w:br w:type="page"/>
      </w:r>
    </w:p>
    <w:p>
      <w:pPr>
        <w:pStyle w:val="Normal"/>
        <w:ind w:start="1440" w:end="0"/>
        <w:rPr/>
      </w:pPr>
      <w:r>
        <w:rPr/>
      </w:r>
    </w:p>
    <w:p>
      <w:pPr>
        <w:pStyle w:val="Heading"/>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 xml:space="preserve">flexible DEAL VIEWER </w:t>
            <w:tab/>
            <w:t>4</w:t>
          </w:r>
        </w:p>
        <w:p>
          <w:pPr>
            <w:pStyle w:val="TOC1"/>
            <w:tabs>
              <w:tab w:val="left" w:pos="400" w:leader="none"/>
              <w:tab w:val="right" w:pos="9016" w:leader="dot"/>
            </w:tabs>
            <w:rPr/>
          </w:pPr>
          <w:r>
            <w:rPr/>
            <w:t>2     DEPENDENCIES AND RISK FACTORS…………………………………………………………………6</w:t>
          </w:r>
        </w:p>
        <w:p>
          <w:pPr>
            <w:pStyle w:val="TOC2"/>
            <w:rPr/>
          </w:pPr>
          <w:r>
            <w:rPr/>
            <w:t>2.1      dependencies</w:t>
            <w:tab/>
            <w:t>6</w:t>
          </w:r>
        </w:p>
        <w:p>
          <w:pPr>
            <w:pStyle w:val="TOC2"/>
            <w:rPr/>
          </w:pPr>
          <w:r>
            <w:rPr/>
            <w:t>2.2      risk factors</w:t>
            <w:tab/>
            <w:t>6</w:t>
          </w:r>
        </w:p>
        <w:p>
          <w:pPr>
            <w:pStyle w:val="TOC1"/>
            <w:tabs>
              <w:tab w:val="left" w:pos="400" w:leader="none"/>
              <w:tab w:val="right" w:pos="9016" w:leader="dot"/>
            </w:tabs>
            <w:rPr/>
          </w:pPr>
          <w:r>
            <w:rPr/>
            <w:t>3</w:t>
            <w:tab/>
            <w:t>Project timeline</w:t>
            <w:tab/>
            <w:t>7</w:t>
          </w:r>
          <w:r>
            <w:rPr/>
            <w:fldChar w:fldCharType="end"/>
          </w:r>
        </w:p>
      </w:sdtContent>
    </w:sdt>
    <w:p>
      <w:pPr>
        <w:pStyle w:val="TOC2"/>
        <w:tabs>
          <w:tab w:val="left" w:pos="800" w:leader="none"/>
          <w:tab w:val="right" w:pos="9016" w:leader="dot"/>
        </w:tabs>
        <w:rPr/>
      </w:pPr>
      <w:r>
        <w:rPr/>
      </w:r>
    </w:p>
    <w:p>
      <w:pPr>
        <w:pStyle w:val="Normal"/>
        <w:rPr/>
      </w:pPr>
      <w:r>
        <w:rPr/>
      </w:r>
    </w:p>
    <w:p>
      <w:pPr>
        <w:pStyle w:val="Normal"/>
        <w:rPr/>
      </w:pPr>
      <w:r>
        <w:rPr/>
      </w:r>
    </w:p>
    <w:p>
      <w:pPr>
        <w:pStyle w:val="Normal"/>
        <w:jc w:val="both"/>
        <w:rPr>
          <w:b/>
          <w:caps/>
        </w:rPr>
      </w:pPr>
      <w:r>
        <w:rPr>
          <w:b/>
          <w:caps/>
        </w:rPr>
      </w:r>
    </w:p>
    <w:p>
      <w:pPr>
        <w:pStyle w:val="Heading1"/>
        <w:ind w:hanging="0" w:start="0"/>
        <w:rPr/>
      </w:pPr>
      <w:r>
        <w:rPr/>
        <w:t>Flexible Deal Viewer</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purpose of this document is to present a high-level set of requirements and timeline for a new, flexible Deal Viewer, as part of the Gas Trading Vision-II project. The Deal Viewer will give traders a flexible means to track deal activity live and historical across the Gas Trading floor.</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following are the criteria that the traders from the Natural Gas group would like to see in the new Viewer:</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ab/>
        <w:t>1. Ability to query in a flexible pivot table format all deals (Tagg &amp; Sitara) by:</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Counterparty</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Counterparty Type</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Deal Date / Time (EOL)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Term (Start &amp; End Date, user-defined)</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Product (Pub_cd for financial and Location for physical)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Tagg Book</w:t>
      </w:r>
    </w:p>
    <w:p>
      <w:pPr>
        <w:pStyle w:val="Custom2"/>
        <w:ind w:start="1080" w:end="0"/>
        <w:rPr>
          <w:rFonts w:ascii="Times New Roman" w:hAnsi="Times New Roman" w:cs="Times New Roman"/>
          <w:i w:val="false"/>
          <w:i w:val="false"/>
          <w:iCs/>
          <w:sz w:val="24"/>
        </w:rPr>
      </w:pPr>
      <w:r>
        <w:rPr>
          <w:rFonts w:cs="Times New Roman" w:ascii="Times New Roman" w:hAnsi="Times New Roman"/>
          <w:i w:val="false"/>
          <w:iCs/>
          <w:sz w:val="24"/>
        </w:rPr>
      </w:r>
    </w:p>
    <w:p>
      <w:pPr>
        <w:pStyle w:val="Custom2"/>
        <w:ind w:start="720" w:end="0"/>
        <w:rPr>
          <w:rFonts w:ascii="Times New Roman" w:hAnsi="Times New Roman" w:cs="Times New Roman"/>
          <w:i w:val="false"/>
          <w:i w:val="false"/>
          <w:iCs/>
          <w:sz w:val="24"/>
        </w:rPr>
      </w:pPr>
      <w:r>
        <w:rPr>
          <w:rFonts w:cs="Times New Roman" w:ascii="Times New Roman" w:hAnsi="Times New Roman"/>
          <w:i w:val="false"/>
          <w:iCs/>
          <w:sz w:val="24"/>
        </w:rPr>
        <w:t>2. Aggregate volume positions which update real time</w:t>
      </w:r>
    </w:p>
    <w:p>
      <w:pPr>
        <w:pStyle w:val="Custom2"/>
        <w:ind w:start="720" w:end="0"/>
        <w:rPr>
          <w:rFonts w:ascii="Times New Roman" w:hAnsi="Times New Roman" w:cs="Times New Roman"/>
          <w:i w:val="false"/>
          <w:i w:val="false"/>
          <w:iCs/>
          <w:sz w:val="24"/>
        </w:rPr>
      </w:pPr>
      <w:r>
        <w:rPr>
          <w:rFonts w:cs="Times New Roman" w:ascii="Times New Roman" w:hAnsi="Times New Roman"/>
          <w:i w:val="false"/>
          <w:iCs/>
          <w:sz w:val="24"/>
        </w:rPr>
      </w:r>
    </w:p>
    <w:p>
      <w:pPr>
        <w:pStyle w:val="Custom2"/>
        <w:ind w:start="720" w:end="0"/>
        <w:rPr>
          <w:rFonts w:ascii="Times New Roman" w:hAnsi="Times New Roman" w:cs="Times New Roman"/>
          <w:i w:val="false"/>
          <w:i w:val="false"/>
          <w:iCs/>
          <w:sz w:val="24"/>
        </w:rPr>
      </w:pPr>
      <w:r>
        <w:rPr>
          <w:rFonts w:cs="Times New Roman" w:ascii="Times New Roman" w:hAnsi="Times New Roman"/>
          <w:i w:val="false"/>
          <w:iCs/>
          <w:sz w:val="24"/>
        </w:rPr>
        <w:t>3. Ability to drill into an aggregate volume and see deal details which include:</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Counterparty</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Counterparty Type</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Deal Date / Time (EOL)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Term (Start &amp; End Date, user-defined)</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Product (Pub_cd for financial and Location for physical)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Price / Strike</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Tagg Book</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Deal Type</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Volume (Sitara-expected, Tagg-Notional)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Buy / Sell</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External Trader ID</w:t>
      </w:r>
    </w:p>
    <w:p>
      <w:pPr>
        <w:pStyle w:val="Custom2"/>
        <w:numPr>
          <w:ilvl w:val="0"/>
          <w:numId w:val="2"/>
        </w:numPr>
        <w:rPr>
          <w:rFonts w:ascii="Times New Roman" w:hAnsi="Times New Roman" w:cs="Times New Roman"/>
          <w:i w:val="false"/>
          <w:i w:val="false"/>
          <w:iCs/>
          <w:sz w:val="24"/>
        </w:rPr>
      </w:pPr>
      <w:r>
        <w:rPr>
          <w:rFonts w:cs="Times New Roman" w:ascii="Times New Roman" w:hAnsi="Times New Roman"/>
          <w:i w:val="false"/>
          <w:iCs/>
          <w:sz w:val="24"/>
        </w:rPr>
        <w:t>EOL / non-EOL flag</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ind w:start="720" w:end="0"/>
        <w:rPr>
          <w:rFonts w:ascii="Times New Roman" w:hAnsi="Times New Roman" w:cs="Times New Roman"/>
          <w:i w:val="false"/>
          <w:i w:val="false"/>
          <w:iCs/>
          <w:sz w:val="24"/>
        </w:rPr>
      </w:pPr>
      <w:r>
        <w:rPr>
          <w:rFonts w:cs="Times New Roman" w:ascii="Times New Roman" w:hAnsi="Times New Roman"/>
          <w:i w:val="false"/>
          <w:iCs/>
          <w:sz w:val="24"/>
        </w:rPr>
        <w:t xml:space="preserve">4. Save and name different queries </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traders do not want to see daily physical positions beyond the next day.  They would also like to classify the counterparties according to industry type – I.T. is currently researching the best way to classify counterparties.</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In order to provide a flexible Deal Viewer that can pull Natural Gas deal information from Sitara (approximately 20, 000 natural gas deals) and TAGG/ERMS (around 143,000 Natural Gas deals), the I.T. development group would like to propose that a separate reporting database should be created that would provide the necessary, required information for the traders.</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following diagram depicts the information flow from the new reporting database:</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object w:dxaOrig="10494" w:dyaOrig="65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94.25pt;height:307.75pt" filled="f" o:ole="">
            <v:imagedata r:id="rId4" o:title=""/>
          </v:shape>
          <o:OLEObject Type="Embed" ProgID="" ShapeID="ole_rId3" DrawAspect="Content" ObjectID="_1130231731" r:id="rId3"/>
        </w:objec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pPr>
      <w:r>
        <w:rPr/>
      </w:r>
    </w:p>
    <w:p>
      <w:pPr>
        <w:pStyle w:val="Custom2"/>
        <w:rPr/>
      </w:pPr>
      <w:r>
        <w:rPr/>
      </w:r>
    </w:p>
    <w:p>
      <w:pPr>
        <w:pStyle w:val="Custom2"/>
        <w:rPr/>
      </w:pPr>
      <w:r>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color w:val="0000FF"/>
          <w:sz w:val="28"/>
        </w:rPr>
      </w:pPr>
      <w:r>
        <w:rPr>
          <w:rFonts w:cs="Times New Roman" w:ascii="Times New Roman" w:hAnsi="Times New Roman"/>
          <w:i w:val="false"/>
          <w:iCs/>
          <w:color w:val="0000FF"/>
          <w:sz w:val="28"/>
        </w:rPr>
      </w:r>
    </w:p>
    <w:p>
      <w:pPr>
        <w:pStyle w:val="Normal"/>
        <w:rPr>
          <w:rFonts w:ascii="Times New Roman" w:hAnsi="Times New Roman" w:cs="Times New Roman"/>
          <w:i/>
          <w:i/>
          <w:iCs/>
          <w:color w:val="0000FF"/>
          <w:sz w:val="28"/>
        </w:rPr>
      </w:pPr>
      <w:r>
        <w:rPr>
          <w:rFonts w:cs="Times New Roman"/>
          <w:i/>
          <w:iCs/>
          <w:color w:val="0000FF"/>
          <w:sz w:val="28"/>
        </w:rPr>
      </w:r>
    </w:p>
    <w:p>
      <w:pPr>
        <w:pStyle w:val="Normal"/>
        <w:rPr/>
      </w:pPr>
      <w:r>
        <w:rPr/>
      </w:r>
    </w:p>
    <w:p>
      <w:pPr>
        <w:pStyle w:val="Normal"/>
        <w:rPr/>
      </w:pPr>
      <w:r>
        <w:rPr/>
      </w:r>
    </w:p>
    <w:p>
      <w:pPr>
        <w:pStyle w:val="Normal"/>
        <w:rPr/>
      </w:pPr>
      <w:r>
        <w:rPr/>
      </w:r>
    </w:p>
    <w:p>
      <w:pPr>
        <w:pStyle w:val="BodyText"/>
        <w:rPr>
          <w:sz w:val="24"/>
        </w:rPr>
      </w:pPr>
      <w:r>
        <w:rPr>
          <w:sz w:val="24"/>
        </w:rPr>
      </w:r>
    </w:p>
    <w:p>
      <w:pPr>
        <w:pStyle w:val="BodyText"/>
        <w:rPr>
          <w:sz w:val="24"/>
        </w:rPr>
      </w:pPr>
      <w:r>
        <w:rPr>
          <w:sz w:val="24"/>
        </w:rPr>
      </w:r>
    </w:p>
    <w:p>
      <w:pPr>
        <w:pStyle w:val="Normal"/>
        <w:rPr>
          <w:sz w:val="24"/>
        </w:rPr>
      </w:pPr>
      <w:r>
        <w:rPr>
          <w:sz w:val="24"/>
        </w:rPr>
      </w:r>
    </w:p>
    <w:p>
      <w:pPr>
        <w:pStyle w:val="Heading1"/>
        <w:ind w:hanging="431" w:start="431" w:end="0"/>
        <w:jc w:val="both"/>
        <w:rPr/>
      </w:pPr>
      <w:r>
        <w:rPr/>
        <w:t>Dependencies And Risk Factors</w:t>
      </w:r>
    </w:p>
    <w:p>
      <w:pPr>
        <w:pStyle w:val="Heading2"/>
        <w:ind w:hanging="0" w:start="0"/>
        <w:rPr/>
      </w:pPr>
      <w:r>
        <w:rPr/>
        <w:t>Dependencies</w:t>
      </w:r>
    </w:p>
    <w:p>
      <w:pPr>
        <w:pStyle w:val="Normal"/>
        <w:rPr/>
      </w:pPr>
      <w:r>
        <w:rPr/>
      </w:r>
    </w:p>
    <w:p>
      <w:pPr>
        <w:pStyle w:val="Normal"/>
        <w:rPr/>
      </w:pPr>
      <w:r>
        <w:rPr/>
        <w:t xml:space="preserve">The timely deployment of the deliverables for this project is also dependent upon the Gas Trading and Risk groups.  In addition to assisting in the refining of requirements, the designated representatives from these two groups will also be required for the user acceptance testing, which is a also a very critical part of this project.  </w:t>
      </w:r>
    </w:p>
    <w:p>
      <w:pPr>
        <w:pStyle w:val="Normal"/>
        <w:rPr/>
      </w:pPr>
      <w:r>
        <w:rPr/>
      </w:r>
    </w:p>
    <w:p>
      <w:pPr>
        <w:pStyle w:val="Normal"/>
        <w:rPr/>
      </w:pPr>
      <w:r>
        <w:rPr/>
        <w:t>The appropriate signers from the above-mentioned groups have also been included in the project sign-off sheet of this document.</w:t>
      </w:r>
    </w:p>
    <w:p>
      <w:pPr>
        <w:pStyle w:val="Normal"/>
        <w:rPr/>
      </w:pPr>
      <w:r>
        <w:rPr/>
      </w:r>
    </w:p>
    <w:p>
      <w:pPr>
        <w:pStyle w:val="Heading2"/>
        <w:ind w:hanging="0" w:start="0"/>
        <w:rPr/>
      </w:pPr>
      <w:r>
        <w:rPr/>
        <w:t>Risk Factors</w:t>
      </w:r>
    </w:p>
    <w:p>
      <w:pPr>
        <w:pStyle w:val="Normal"/>
        <w:rPr/>
      </w:pPr>
      <w:r>
        <w:rPr/>
      </w:r>
    </w:p>
    <w:p>
      <w:pPr>
        <w:pStyle w:val="Normal"/>
        <w:rPr/>
      </w:pPr>
      <w:r>
        <w:rPr/>
        <w:t>There is a risk that the requirements gathering process is not sufficient to uncover all the user requirements prior to initial product delivery.  This risk, however, will be mitigated by the presence of domain experts (both IT and business) on the project team.</w:t>
      </w:r>
    </w:p>
    <w:p>
      <w:pPr>
        <w:pStyle w:val="Normal"/>
        <w:rPr/>
      </w:pPr>
      <w:r>
        <w:rPr/>
      </w:r>
    </w:p>
    <w:p>
      <w:pPr>
        <w:pStyle w:val="Normal"/>
        <w:rPr/>
      </w:pPr>
      <w:r>
        <w:rPr/>
        <w:t>A risk factor may also arise during the detail design phase.  Once the detail design process is commenced, the IT development team may uncover additional areas of development, which may require necessary adjustments to the project timeline.</w:t>
      </w:r>
    </w:p>
    <w:p>
      <w:pPr>
        <w:pStyle w:val="Normal"/>
        <w:rPr/>
      </w:pPr>
      <w:r>
        <w:rPr/>
      </w:r>
    </w:p>
    <w:p>
      <w:pPr>
        <w:pStyle w:val="Normal"/>
        <w:rPr/>
      </w:pPr>
      <w:r>
        <w:rPr/>
        <w:t>Another risk factor arises in the area of personnel.  The possibility arises that the project team may lose members to other projects or other companies.  This risk is difficult to mitigate and requires attention to personnel management.</w:t>
      </w:r>
    </w:p>
    <w:p>
      <w:pPr>
        <w:pStyle w:val="Normal"/>
        <w:rPr/>
      </w:pPr>
      <w:r>
        <w:rPr/>
      </w:r>
    </w:p>
    <w:p>
      <w:pPr>
        <w:pStyle w:val="Normal"/>
        <w:rPr/>
      </w:pPr>
      <w:r>
        <w:rPr/>
        <w:t>The list of risk factors listed above is complete as of date.  As other risk factors arise, the GTV project team will bring them to the attention of the project stakeholders.</w:t>
      </w:r>
    </w:p>
    <w:p>
      <w:pPr>
        <w:pStyle w:val="Normal"/>
        <w:rPr/>
      </w:pPr>
      <w:r>
        <w:rPr/>
      </w:r>
    </w:p>
    <w:p>
      <w:pPr>
        <w:pStyle w:val="Normal"/>
        <w:rPr/>
      </w:pPr>
      <w:r>
        <w:rPr/>
      </w:r>
    </w:p>
    <w:p>
      <w:pPr>
        <w:pStyle w:val="Normal"/>
        <w:rPr/>
      </w:pPr>
      <w:r>
        <w:rPr/>
      </w:r>
    </w:p>
    <w:p>
      <w:pPr>
        <w:pStyle w:val="Heading1"/>
        <w:ind w:hanging="0" w:start="0"/>
        <w:jc w:val="both"/>
        <w:rPr/>
      </w:pPr>
      <w:r>
        <w:rPr/>
        <w:t>Project Timeline</w:t>
      </w:r>
    </w:p>
    <w:p>
      <w:pPr>
        <w:pStyle w:val="BodyText3"/>
        <w:rPr>
          <w:iCs/>
        </w:rPr>
      </w:pPr>
      <w:r>
        <w:rPr>
          <w:iCs/>
        </w:rPr>
        <w:t xml:space="preserve">  </w:t>
      </w:r>
    </w:p>
    <w:p>
      <w:pPr>
        <w:pStyle w:val="Normal"/>
        <w:rPr/>
      </w:pPr>
      <w:r>
        <w:rPr/>
        <w:t>The following is an estimated I.T. development timeline for the Flexible Deal Viewer:</w:t>
      </w:r>
    </w:p>
    <w:p>
      <w:pPr>
        <w:pStyle w:val="Normal"/>
        <w:rPr/>
      </w:pPr>
      <w:r>
        <w:rPr/>
      </w:r>
    </w:p>
    <w:p>
      <w:pPr>
        <w:pStyle w:val="Normal"/>
        <w:rPr/>
      </w:pPr>
      <w:r>
        <w:rPr/>
      </w:r>
    </w:p>
    <w:p>
      <w:pPr>
        <w:pStyle w:val="Normal"/>
        <w:rPr/>
      </w:pPr>
      <w:r>
        <w:rPr/>
        <w:drawing>
          <wp:inline distT="0" distB="0" distL="0" distR="0">
            <wp:extent cx="6278880" cy="2468245"/>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5"/>
                    <a:srcRect l="-3" t="-9" r="-3" b="-9"/>
                    <a:stretch>
                      <a:fillRect/>
                    </a:stretch>
                  </pic:blipFill>
                  <pic:spPr bwMode="auto">
                    <a:xfrm>
                      <a:off x="0" y="0"/>
                      <a:ext cx="6278880" cy="2468245"/>
                    </a:xfrm>
                    <a:prstGeom prst="rect">
                      <a:avLst/>
                    </a:prstGeom>
                    <a:noFill/>
                  </pic:spPr>
                </pic:pic>
              </a:graphicData>
            </a:graphic>
          </wp:inline>
        </w:drawing>
      </w:r>
    </w:p>
    <w:sectPr>
      <w:headerReference w:type="default" r:id="rId6"/>
      <w:footerReference w:type="default" r:id="rId7"/>
      <w:type w:val="nextPage"/>
      <w:pgSz w:w="11906" w:h="16838"/>
      <w:pgMar w:left="1008" w:right="1008"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Net Works, LLC</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8</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Cs/>
        <w:color w:val="000080"/>
        <w:sz w:val="16"/>
      </w:rPr>
      <w:t>Project Phase: Inception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sz w:val="28"/>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pageBreakBefore/>
      <w:numPr>
        <w:ilvl w:val="0"/>
        <w:numId w:val="1"/>
      </w:numPr>
      <w:spacing w:before="240" w:after="240"/>
      <w:outlineLvl w:val="0"/>
    </w:pPr>
    <w:rPr>
      <w:b/>
      <w:color w:val="000080"/>
      <w:kern w:val="2"/>
      <w:sz w:val="28"/>
      <w:szCs w:val="20"/>
    </w:rPr>
  </w:style>
  <w:style w:type="paragraph" w:styleId="Heading2">
    <w:name w:val="heading 2"/>
    <w:basedOn w:val="Normal"/>
    <w:next w:val="Normal"/>
    <w:qFormat/>
    <w:pPr>
      <w:keepNext w:val="true"/>
      <w:numPr>
        <w:ilvl w:val="1"/>
        <w:numId w:val="1"/>
      </w:numPr>
      <w:spacing w:before="240" w:after="120"/>
      <w:outlineLvl w:val="1"/>
    </w:pPr>
    <w:rPr>
      <w:b/>
      <w:color w:val="000080"/>
      <w:szCs w:val="20"/>
    </w:rPr>
  </w:style>
  <w:style w:type="paragraph" w:styleId="Heading3">
    <w:name w:val="heading 3"/>
    <w:basedOn w:val="Normal"/>
    <w:next w:val="Normal"/>
    <w:qFormat/>
    <w:pPr>
      <w:keepNext w:val="true"/>
      <w:numPr>
        <w:ilvl w:val="2"/>
        <w:numId w:val="1"/>
      </w:numPr>
      <w:spacing w:before="240" w:after="60"/>
      <w:outlineLvl w:val="2"/>
    </w:pPr>
    <w:rPr>
      <w:b/>
      <w:color w:val="000080"/>
      <w:sz w:val="20"/>
      <w:szCs w:val="20"/>
    </w:rPr>
  </w:style>
  <w:style w:type="paragraph" w:styleId="Heading4">
    <w:name w:val="heading 4"/>
    <w:basedOn w:val="Normal"/>
    <w:next w:val="Normal"/>
    <w:qFormat/>
    <w:pPr>
      <w:keepNext w:val="true"/>
      <w:numPr>
        <w:ilvl w:val="3"/>
        <w:numId w:val="1"/>
      </w:numPr>
      <w:outlineLvl w:val="3"/>
    </w:pPr>
    <w:rPr>
      <w:i/>
      <w:color w:val="000080"/>
      <w:sz w:val="20"/>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color w:val="000080"/>
      <w:kern w:val="2"/>
      <w:sz w:val="32"/>
      <w:szCs w:val="20"/>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 w:end="0"/>
    </w:pPr>
    <w:rPr>
      <w:sz w:val="20"/>
      <w:szCs w:val="20"/>
    </w:rPr>
  </w:style>
  <w:style w:type="paragraph" w:styleId="TOC1">
    <w:name w:val="toc 1"/>
    <w:basedOn w:val="Normal"/>
    <w:next w:val="Normal"/>
    <w:pPr>
      <w:tabs>
        <w:tab w:val="clear" w:pos="720"/>
        <w:tab w:val="right" w:pos="9016" w:leader="dot"/>
      </w:tabs>
      <w:spacing w:before="120" w:after="120"/>
    </w:pPr>
    <w:rPr>
      <w:b/>
      <w:caps/>
      <w:sz w:val="20"/>
      <w:szCs w:val="20"/>
      <w:lang w:val="en-CA" w:eastAsia="en-CA"/>
    </w:rPr>
  </w:style>
  <w:style w:type="paragraph" w:styleId="TOC2">
    <w:name w:val="toc 2"/>
    <w:basedOn w:val="Normal"/>
    <w:next w:val="Normal"/>
    <w:pPr>
      <w:tabs>
        <w:tab w:val="clear" w:pos="720"/>
        <w:tab w:val="right" w:pos="9016" w:leader="dot"/>
      </w:tabs>
      <w:ind w:hanging="0" w:start="200" w:end="0"/>
    </w:pPr>
    <w:rPr>
      <w:smallCaps/>
      <w:sz w:val="20"/>
      <w:szCs w:val="20"/>
      <w:lang w:val="en-CA" w:eastAsia="en-CA"/>
    </w:rPr>
  </w:style>
  <w:style w:type="paragraph" w:styleId="Custom2">
    <w:name w:val="Custom 2"/>
    <w:basedOn w:val="Normal"/>
    <w:qFormat/>
    <w:pPr/>
    <w:rPr>
      <w:rFonts w:ascii="Arial" w:hAnsi="Arial" w:cs="Arial"/>
      <w:i/>
      <w:sz w:val="20"/>
      <w:szCs w:val="20"/>
    </w:rPr>
  </w:style>
  <w:style w:type="paragraph" w:styleId="xl26">
    <w:name w:val="xl26"/>
    <w:basedOn w:val="Normal"/>
    <w:qFormat/>
    <w:pPr>
      <w:spacing w:before="100" w:after="100"/>
    </w:pPr>
    <w:rPr>
      <w:rFonts w:ascii="Arial" w:hAnsi="Arial" w:eastAsia="Arial Unicode MS" w:cs="Arial"/>
      <w:b/>
      <w:bCs/>
    </w:rPr>
  </w:style>
  <w:style w:type="paragraph" w:styleId="xl28">
    <w:name w:val="xl28"/>
    <w:basedOn w:val="Normal"/>
    <w:qFormat/>
    <w:pPr>
      <w:spacing w:before="100" w:after="100"/>
      <w:jc w:val="center"/>
    </w:pPr>
    <w:rPr>
      <w:rFonts w:ascii="Arial Unicode MS" w:hAnsi="Arial Unicode MS" w:eastAsia="Arial Unicode MS" w:cs="Arial Unicode MS"/>
    </w:rPr>
  </w:style>
  <w:style w:type="paragraph" w:styleId="xl24">
    <w:name w:val="xl24"/>
    <w:basedOn w:val="Normal"/>
    <w:qFormat/>
    <w:pPr>
      <w:spacing w:before="100" w:after="100"/>
    </w:pPr>
    <w:rPr>
      <w:rFonts w:ascii="Arial" w:hAnsi="Arial" w:eastAsia="Arial Unicode MS" w:cs="Arial"/>
      <w:color w:val="FF0000"/>
    </w:rPr>
  </w:style>
  <w:style w:type="paragraph" w:styleId="BodyText3">
    <w:name w:val="Body Text 3"/>
    <w:basedOn w:val="Normal"/>
    <w:qFormat/>
    <w:pPr/>
    <w:rPr>
      <w:i/>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z w:val="20"/>
      <w:szCs w:val="20"/>
    </w:rPr>
  </w:style>
  <w:style w:type="paragraph" w:styleId="Footer">
    <w:name w:val="footer"/>
    <w:basedOn w:val="Normal"/>
    <w:pPr>
      <w:tabs>
        <w:tab w:val="clear" w:pos="720"/>
        <w:tab w:val="center" w:pos="4153" w:leader="none"/>
        <w:tab w:val="right" w:pos="8306"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2001-07-13T13:49:00Z</dcterms:created>
  <dc:creator>Karima Husain</dc:creator>
  <dc:description/>
  <dc:language>en-CA</dc:language>
  <cp:lastModifiedBy>\</cp:lastModifiedBy>
  <cp:lastPrinted>2001-07-13T11:24:00Z</cp:lastPrinted>
  <dcterms:modified xsi:type="dcterms:W3CDTF">2001-07-13T14:01:00Z</dcterms:modified>
  <cp:revision>3</cp:revision>
  <dc:subject/>
  <dc:title>Gas Trading Vision II</dc:title>
</cp:coreProperties>
</file>