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720" w:end="0"/>
        <w:rPr>
          <w:b/>
          <w:sz w:val="28"/>
        </w:rPr>
      </w:pPr>
      <w:r>
        <w:rPr>
          <w:b/>
          <w:sz w:val="28"/>
        </w:rPr>
        <w:t>EEI Power Marketing Conference Program</w:t>
      </w:r>
    </w:p>
    <w:p>
      <w:pPr>
        <w:pStyle w:val="Normal"/>
        <w:jc w:val="center"/>
        <w:rPr>
          <w:b/>
          <w:sz w:val="24"/>
        </w:rPr>
      </w:pPr>
      <w:r>
        <w:rPr>
          <w:b/>
          <w:sz w:val="24"/>
        </w:rPr>
      </w:r>
    </w:p>
    <w:p>
      <w:pPr>
        <w:pStyle w:val="Normal"/>
        <w:jc w:val="center"/>
        <w:rPr>
          <w:sz w:val="24"/>
        </w:rPr>
      </w:pPr>
      <w:r>
        <w:rPr>
          <w:sz w:val="24"/>
        </w:rPr>
      </w:r>
    </w:p>
    <w:p>
      <w:pPr>
        <w:pStyle w:val="Heading1"/>
        <w:ind w:hanging="0" w:start="0"/>
        <w:rPr>
          <w:u w:val="none"/>
        </w:rPr>
      </w:pPr>
      <w:r>
        <w:rPr>
          <w:u w:val="none"/>
        </w:rPr>
        <w:t>8:00</w:t>
        <w:tab/>
        <w:t>Registration and Continental Breakfast</w:t>
      </w:r>
    </w:p>
    <w:p>
      <w:pPr>
        <w:pStyle w:val="Normal"/>
        <w:rPr>
          <w:u w:val="none"/>
        </w:rPr>
      </w:pPr>
      <w:r>
        <w:rPr>
          <w:u w:val="none"/>
        </w:rPr>
      </w:r>
    </w:p>
    <w:p>
      <w:pPr>
        <w:pStyle w:val="Normal"/>
        <w:rPr>
          <w:sz w:val="24"/>
        </w:rPr>
      </w:pPr>
      <w:r>
        <w:rPr>
          <w:sz w:val="24"/>
        </w:rPr>
        <w:t>9:00</w:t>
        <w:tab/>
        <w:t xml:space="preserve">State of the Market </w:t>
      </w:r>
    </w:p>
    <w:p>
      <w:pPr>
        <w:pStyle w:val="Normal"/>
        <w:rPr>
          <w:sz w:val="24"/>
        </w:rPr>
      </w:pPr>
      <w:r>
        <w:rPr>
          <w:sz w:val="24"/>
        </w:rPr>
      </w:r>
    </w:p>
    <w:p>
      <w:pPr>
        <w:pStyle w:val="Normal"/>
        <w:rPr>
          <w:sz w:val="24"/>
        </w:rPr>
      </w:pPr>
      <w:r>
        <w:rPr>
          <w:sz w:val="24"/>
        </w:rPr>
        <w:t>Opening Remarks:  Did the power market keep its cool during the hot Summer of 1999?  15 min.</w:t>
      </w:r>
    </w:p>
    <w:p>
      <w:pPr>
        <w:pStyle w:val="Normal"/>
        <w:rPr>
          <w:sz w:val="24"/>
        </w:rPr>
      </w:pPr>
      <w:r>
        <w:rPr>
          <w:sz w:val="24"/>
        </w:rPr>
        <w:t>(remarks sb by a “strategic” CEO)</w:t>
      </w:r>
    </w:p>
    <w:p>
      <w:pPr>
        <w:pStyle w:val="Normal"/>
        <w:rPr>
          <w:sz w:val="24"/>
        </w:rPr>
      </w:pPr>
      <w:r>
        <w:rPr>
          <w:sz w:val="24"/>
        </w:rPr>
      </w:r>
    </w:p>
    <w:p>
      <w:pPr>
        <w:pStyle w:val="Normal"/>
        <w:rPr>
          <w:sz w:val="24"/>
        </w:rPr>
      </w:pPr>
      <w:r>
        <w:rPr>
          <w:sz w:val="24"/>
        </w:rPr>
        <w:t>Panel Discussion:  Today’s power markets:  What works and what does not work?  How a standardized contract can assist the market.</w:t>
      </w:r>
    </w:p>
    <w:p>
      <w:pPr>
        <w:pStyle w:val="Normal"/>
        <w:rPr>
          <w:sz w:val="24"/>
        </w:rPr>
      </w:pPr>
      <w:r>
        <w:rPr>
          <w:sz w:val="24"/>
        </w:rPr>
      </w:r>
    </w:p>
    <w:p>
      <w:pPr>
        <w:pStyle w:val="Normal"/>
        <w:rPr>
          <w:sz w:val="24"/>
        </w:rPr>
      </w:pPr>
      <w:r>
        <w:rPr>
          <w:sz w:val="24"/>
        </w:rPr>
        <w:t>IOU representative – Susan Tomasky?</w:t>
      </w:r>
    </w:p>
    <w:p>
      <w:pPr>
        <w:pStyle w:val="Normal"/>
        <w:rPr>
          <w:sz w:val="24"/>
        </w:rPr>
      </w:pPr>
      <w:r>
        <w:rPr>
          <w:sz w:val="24"/>
        </w:rPr>
        <w:t>Marketer representative – Mark Haedicke? Or Chris Bernard?</w:t>
      </w:r>
    </w:p>
    <w:p>
      <w:pPr>
        <w:pStyle w:val="Normal"/>
        <w:rPr>
          <w:sz w:val="24"/>
        </w:rPr>
      </w:pPr>
      <w:r>
        <w:rPr>
          <w:sz w:val="24"/>
        </w:rPr>
        <w:t>Merchant power representative</w:t>
      </w:r>
    </w:p>
    <w:p>
      <w:pPr>
        <w:pStyle w:val="Normal"/>
        <w:rPr>
          <w:sz w:val="24"/>
        </w:rPr>
      </w:pPr>
      <w:r>
        <w:rPr>
          <w:sz w:val="24"/>
        </w:rPr>
        <w:t>End-use representative</w:t>
      </w:r>
    </w:p>
    <w:p>
      <w:pPr>
        <w:pStyle w:val="Normal"/>
        <w:rPr/>
      </w:pPr>
      <w:r>
        <w:rPr/>
        <w:t>FERC representative – Dan Larcamp?</w:t>
      </w:r>
      <w:r>
        <w:br w:type="page"/>
      </w:r>
    </w:p>
    <w:p>
      <w:pPr>
        <w:pStyle w:val="Normal"/>
        <w:rPr>
          <w:sz w:val="24"/>
        </w:rPr>
      </w:pPr>
      <w:r>
        <w:rPr>
          <w:sz w:val="24"/>
        </w:rPr>
        <w:t>10:15  Break</w:t>
      </w:r>
    </w:p>
    <w:p>
      <w:pPr>
        <w:pStyle w:val="Normal"/>
        <w:rPr/>
      </w:pPr>
      <w:r>
        <w:rPr/>
        <w:tab/>
      </w:r>
    </w:p>
    <w:p>
      <w:pPr>
        <w:pStyle w:val="Heading2"/>
        <w:ind w:hanging="0" w:start="0"/>
        <w:rPr/>
      </w:pPr>
      <w:r>
        <w:rPr/>
        <w:t>10:30  How the EEI Standard Contract Works  (Session I)</w:t>
      </w:r>
    </w:p>
    <w:p>
      <w:pPr>
        <w:pStyle w:val="Normal"/>
        <w:rPr>
          <w:sz w:val="24"/>
        </w:rPr>
      </w:pPr>
      <w:r>
        <w:rPr>
          <w:sz w:val="24"/>
        </w:rPr>
        <w:t>Moderator:  David Perlman or Patti Dondanville</w:t>
      </w:r>
    </w:p>
    <w:p>
      <w:pPr>
        <w:pStyle w:val="Normal"/>
        <w:rPr>
          <w:sz w:val="24"/>
        </w:rPr>
      </w:pPr>
      <w:r>
        <w:rPr>
          <w:sz w:val="24"/>
        </w:rPr>
        <w:t>Panelists:      ?</w:t>
      </w:r>
    </w:p>
    <w:p>
      <w:pPr>
        <w:pStyle w:val="Normal"/>
        <w:rPr>
          <w:sz w:val="24"/>
        </w:rPr>
      </w:pPr>
      <w:r>
        <w:rPr>
          <w:sz w:val="24"/>
        </w:rPr>
      </w:r>
    </w:p>
    <w:p>
      <w:pPr>
        <w:pStyle w:val="Heading2"/>
        <w:ind w:hanging="0" w:start="0"/>
        <w:rPr>
          <w:sz w:val="24"/>
        </w:rPr>
      </w:pPr>
      <w:r>
        <w:rPr>
          <w:sz w:val="24"/>
        </w:rPr>
      </w:r>
    </w:p>
    <w:p>
      <w:pPr>
        <w:pStyle w:val="Heading2"/>
        <w:ind w:hanging="0" w:start="0"/>
        <w:rPr/>
      </w:pPr>
      <w:r>
        <w:rPr/>
        <w:t xml:space="preserve">Let’s Make A Deal:  </w:t>
        <w:tab/>
        <w:t>Transactions under EEI Contract:  Products, Prices, and Delivery Points</w:t>
      </w:r>
    </w:p>
    <w:p>
      <w:pPr>
        <w:pStyle w:val="Heading2"/>
        <w:ind w:hanging="0" w:start="2160" w:end="0"/>
        <w:rPr/>
      </w:pPr>
      <w:r>
        <w:rPr/>
        <w:t>Oral Trading, and Confirmation Process – Trading Floor Management Seller’s and Buyer’s Obligations</w:t>
      </w:r>
    </w:p>
    <w:p>
      <w:pPr>
        <w:pStyle w:val="Normal"/>
        <w:rPr/>
      </w:pPr>
      <w:r>
        <w:rPr>
          <w:sz w:val="24"/>
        </w:rPr>
        <w:tab/>
        <w:tab/>
        <w:tab/>
      </w:r>
      <w:r>
        <w:rPr>
          <w:i/>
          <w:sz w:val="24"/>
        </w:rPr>
        <w:t>Force Majeure</w:t>
      </w:r>
      <w:r>
        <w:rPr>
          <w:sz w:val="24"/>
        </w:rPr>
        <w:t xml:space="preserve"> Events</w:t>
      </w:r>
    </w:p>
    <w:p>
      <w:pPr>
        <w:pStyle w:val="Normal"/>
        <w:rPr>
          <w:sz w:val="24"/>
        </w:rPr>
      </w:pPr>
      <w:r>
        <w:rPr>
          <w:sz w:val="24"/>
        </w:rPr>
      </w:r>
    </w:p>
    <w:p>
      <w:pPr>
        <w:pStyle w:val="Normal"/>
        <w:rPr>
          <w:sz w:val="24"/>
        </w:rPr>
      </w:pPr>
      <w:r>
        <w:rPr>
          <w:sz w:val="24"/>
        </w:rPr>
      </w:r>
    </w:p>
    <w:p>
      <w:pPr>
        <w:pStyle w:val="Normal"/>
        <w:rPr>
          <w:sz w:val="24"/>
        </w:rPr>
      </w:pPr>
      <w:r>
        <w:rPr>
          <w:sz w:val="24"/>
        </w:rPr>
        <w:t>Issues:</w:t>
      </w:r>
    </w:p>
    <w:p>
      <w:pPr>
        <w:pStyle w:val="Normal"/>
        <w:rPr>
          <w:sz w:val="24"/>
        </w:rPr>
      </w:pPr>
      <w:r>
        <w:rPr>
          <w:sz w:val="24"/>
        </w:rPr>
      </w:r>
    </w:p>
    <w:p>
      <w:pPr>
        <w:pStyle w:val="Normal"/>
        <w:numPr>
          <w:ilvl w:val="0"/>
          <w:numId w:val="3"/>
        </w:numPr>
        <w:rPr>
          <w:sz w:val="24"/>
        </w:rPr>
      </w:pPr>
      <w:r>
        <w:rPr>
          <w:sz w:val="24"/>
        </w:rPr>
        <w:t>Problem that cost-based electric utility contracts traditionally incorporate unilateral tariff conditions that do not address market/credit/operational risks inherent in today’s competitive wholesale power markets.  Note:  Mitch Dutton (AEP) believes IOUs need to be convinced of the benefit of bi-lateral arrangements vs. traditional unilateral approach and that the Master Agreement offers a reasonable balancing/sharing of risk.  Power marketing agreements often have inconsistent treatment of imortant trading issues:  oral contracts, confirmation processes, credit assurances, and payment netting.  Standardization in trading documentation needed to permit uniformly agreed to credit and legal controls to govern counterparties’ bilateral trading relationships for all transactions.  EEI contract establishes the essential terms needed for fully bilateral trading for all transactions, enabling traders to focus on product price, quantity, duration and delivery.  Avoids delay of negotiating from scratch to establish a new trading relationship.</w:t>
      </w:r>
    </w:p>
    <w:p>
      <w:pPr>
        <w:pStyle w:val="Normal"/>
        <w:rPr>
          <w:sz w:val="24"/>
        </w:rPr>
      </w:pPr>
      <w:r>
        <w:rPr>
          <w:sz w:val="24"/>
        </w:rPr>
      </w:r>
    </w:p>
    <w:p>
      <w:pPr>
        <w:pStyle w:val="Normal"/>
        <w:numPr>
          <w:ilvl w:val="0"/>
          <w:numId w:val="3"/>
        </w:numPr>
        <w:ind w:hanging="0" w:start="0" w:end="0"/>
        <w:rPr>
          <w:sz w:val="24"/>
        </w:rPr>
      </w:pPr>
      <w:r>
        <w:rPr>
          <w:sz w:val="24"/>
        </w:rPr>
        <w:t xml:space="preserve">Problem of trading parties having differing understanding of rights/obligations under products traded in today’s market.  EEI contract facilitates trading of commonly understood products to ensure parties get and are responsible for what they bargained for.  </w:t>
      </w:r>
    </w:p>
    <w:p>
      <w:pPr>
        <w:pStyle w:val="Normal"/>
        <w:rPr>
          <w:sz w:val="24"/>
        </w:rPr>
      </w:pPr>
      <w:r>
        <w:rPr>
          <w:sz w:val="24"/>
        </w:rPr>
      </w:r>
    </w:p>
    <w:p>
      <w:pPr>
        <w:pStyle w:val="Normal"/>
        <w:rPr/>
      </w:pPr>
      <w:r>
        <w:rPr>
          <w:sz w:val="24"/>
        </w:rPr>
        <w:t xml:space="preserve">Schedule P:  Products:   Firm with or without Liquidated Damages and with or without </w:t>
      </w:r>
      <w:r>
        <w:rPr>
          <w:i/>
          <w:sz w:val="24"/>
        </w:rPr>
        <w:t>Force Majeure</w:t>
      </w:r>
      <w:r>
        <w:rPr>
          <w:sz w:val="24"/>
        </w:rPr>
        <w:t>; Firm – System Reliability; Non-Firm.   How the Master Agreement defines “into” products.</w:t>
      </w:r>
    </w:p>
    <w:p>
      <w:pPr>
        <w:pStyle w:val="Normal"/>
        <w:rPr>
          <w:sz w:val="24"/>
        </w:rPr>
      </w:pPr>
      <w:r>
        <w:rPr>
          <w:sz w:val="24"/>
        </w:rPr>
      </w:r>
    </w:p>
    <w:p>
      <w:pPr>
        <w:pStyle w:val="Normal"/>
        <w:numPr>
          <w:ilvl w:val="0"/>
          <w:numId w:val="3"/>
        </w:numPr>
        <w:rPr>
          <w:sz w:val="24"/>
        </w:rPr>
      </w:pPr>
      <w:r>
        <w:rPr>
          <w:sz w:val="24"/>
        </w:rPr>
        <w:t>Problem of written confirmations adding new and unwanted terms to oral transactions.  EEI contract adopts industry practice of creating binding oral trades which are confirmed in writing through clearly defined process.  What does the Confirmation Letter contain? What happens when a party objects to written Confirmation Letter.  How are objections resolved?  Failure to object does not excuse performance. Time frames to send, object to, written confirmations.</w:t>
      </w:r>
    </w:p>
    <w:p>
      <w:pPr>
        <w:pStyle w:val="Normal"/>
        <w:rPr>
          <w:sz w:val="24"/>
        </w:rPr>
      </w:pPr>
      <w:r>
        <w:rPr>
          <w:sz w:val="24"/>
        </w:rPr>
      </w:r>
    </w:p>
    <w:p>
      <w:pPr>
        <w:pStyle w:val="Normal"/>
        <w:rPr>
          <w:sz w:val="24"/>
        </w:rPr>
      </w:pPr>
      <w:r>
        <w:rPr>
          <w:sz w:val="24"/>
        </w:rPr>
        <w:t>Master  Agreement can be customized by addition of transaction specific terms to written confirmation.  E.g. transaction-specific product.</w:t>
      </w:r>
    </w:p>
    <w:p>
      <w:pPr>
        <w:pStyle w:val="Normal"/>
        <w:rPr>
          <w:sz w:val="24"/>
        </w:rPr>
      </w:pPr>
      <w:r>
        <w:rPr>
          <w:sz w:val="24"/>
        </w:rPr>
      </w:r>
    </w:p>
    <w:p>
      <w:pPr>
        <w:pStyle w:val="Normal"/>
        <w:numPr>
          <w:ilvl w:val="0"/>
          <w:numId w:val="3"/>
        </w:numPr>
        <w:rPr>
          <w:sz w:val="24"/>
        </w:rPr>
      </w:pPr>
      <w:r>
        <w:rPr>
          <w:sz w:val="24"/>
        </w:rPr>
        <w:t>How Master Agreement provides additional control over trading floor operations.  Speaker on managing trading floor operations.</w:t>
      </w:r>
    </w:p>
    <w:p>
      <w:pPr>
        <w:pStyle w:val="Normal"/>
        <w:rPr>
          <w:sz w:val="24"/>
        </w:rPr>
      </w:pPr>
      <w:r>
        <w:rPr>
          <w:sz w:val="24"/>
        </w:rPr>
      </w:r>
    </w:p>
    <w:p>
      <w:pPr>
        <w:pStyle w:val="Normal"/>
        <w:numPr>
          <w:ilvl w:val="0"/>
          <w:numId w:val="3"/>
        </w:numPr>
        <w:rPr>
          <w:sz w:val="24"/>
        </w:rPr>
      </w:pPr>
      <w:r>
        <w:rPr>
          <w:sz w:val="24"/>
        </w:rPr>
        <w:t xml:space="preserve">Need for precise definition of parties’ obligations under a particular transaction.  How Master Agreement defines Seller’s/Buyer’s obligations.  When have Seller and Buyer fulfilled their obligation to schedule transission service to/from delivery point?  Explain the parties’ responsibility for costs related to getting product to/from delivery point under various scenarios.  </w:t>
      </w:r>
    </w:p>
    <w:p>
      <w:pPr>
        <w:pStyle w:val="Normal"/>
        <w:rPr>
          <w:sz w:val="24"/>
        </w:rPr>
      </w:pPr>
      <w:r>
        <w:rPr>
          <w:sz w:val="24"/>
        </w:rPr>
      </w:r>
    </w:p>
    <w:p>
      <w:pPr>
        <w:pStyle w:val="Normal"/>
        <w:numPr>
          <w:ilvl w:val="0"/>
          <w:numId w:val="3"/>
        </w:numPr>
        <w:rPr>
          <w:sz w:val="24"/>
        </w:rPr>
      </w:pPr>
      <w:r>
        <w:rPr>
          <w:sz w:val="24"/>
        </w:rPr>
        <w:t xml:space="preserve">What </w:t>
      </w:r>
      <w:r>
        <w:rPr>
          <w:i/>
          <w:sz w:val="24"/>
        </w:rPr>
        <w:t>Force Majeure</w:t>
      </w:r>
      <w:r>
        <w:rPr>
          <w:sz w:val="24"/>
        </w:rPr>
        <w:t xml:space="preserve"> events excuse performance?  Duty to give estimate of non-performance.</w:t>
      </w:r>
    </w:p>
    <w:p>
      <w:pPr>
        <w:pStyle w:val="Normal"/>
        <w:rPr>
          <w:sz w:val="24"/>
        </w:rPr>
      </w:pPr>
      <w:r>
        <w:rPr>
          <w:sz w:val="24"/>
        </w:rPr>
      </w:r>
    </w:p>
    <w:p>
      <w:pPr>
        <w:pStyle w:val="Normal"/>
        <w:rPr>
          <w:sz w:val="24"/>
        </w:rPr>
      </w:pPr>
      <w:r>
        <w:rPr>
          <w:sz w:val="24"/>
        </w:rPr>
        <w:t>Paying the Piper:  Payment, Payment Netting, Billing Disputes</w:t>
      </w:r>
    </w:p>
    <w:p>
      <w:pPr>
        <w:pStyle w:val="Normal"/>
        <w:rPr>
          <w:sz w:val="24"/>
        </w:rPr>
      </w:pPr>
      <w:r>
        <w:rPr>
          <w:sz w:val="24"/>
        </w:rPr>
      </w:r>
    </w:p>
    <w:p>
      <w:pPr>
        <w:pStyle w:val="Normal"/>
        <w:numPr>
          <w:ilvl w:val="0"/>
          <w:numId w:val="2"/>
        </w:numPr>
        <w:rPr>
          <w:sz w:val="24"/>
        </w:rPr>
      </w:pPr>
      <w:r>
        <w:rPr>
          <w:sz w:val="24"/>
        </w:rPr>
        <w:t>Payments for products under Master Agreement.</w:t>
      </w:r>
    </w:p>
    <w:p>
      <w:pPr>
        <w:pStyle w:val="Normal"/>
        <w:numPr>
          <w:ilvl w:val="0"/>
          <w:numId w:val="2"/>
        </w:numPr>
        <w:rPr>
          <w:sz w:val="24"/>
        </w:rPr>
      </w:pPr>
      <w:r>
        <w:rPr>
          <w:sz w:val="24"/>
        </w:rPr>
        <w:t>Process for disputing invoices.  How are overpayments/underpayments and calculation errors handled under the Master Agreement?</w:t>
      </w:r>
    </w:p>
    <w:p>
      <w:pPr>
        <w:pStyle w:val="Normal"/>
        <w:numPr>
          <w:ilvl w:val="0"/>
          <w:numId w:val="2"/>
        </w:numPr>
        <w:ind w:hanging="0" w:start="0" w:end="0"/>
        <w:rPr>
          <w:sz w:val="24"/>
        </w:rPr>
      </w:pPr>
      <w:r>
        <w:rPr>
          <w:sz w:val="24"/>
        </w:rPr>
        <w:t>How payment netting operates as a real-time credit risk mechanism.</w:t>
      </w:r>
    </w:p>
    <w:p>
      <w:pPr>
        <w:pStyle w:val="Normal"/>
        <w:rPr>
          <w:sz w:val="24"/>
        </w:rPr>
      </w:pPr>
      <w:r>
        <w:rPr>
          <w:sz w:val="24"/>
        </w:rPr>
      </w:r>
    </w:p>
    <w:p>
      <w:pPr>
        <w:pStyle w:val="Normal"/>
        <w:rPr>
          <w:sz w:val="24"/>
        </w:rPr>
      </w:pPr>
      <w:r>
        <w:rPr>
          <w:sz w:val="24"/>
        </w:rPr>
        <w:t>When the Deal Does Not Go Down:</w:t>
        <w:tab/>
        <w:t>Remedies For Failure to Deliver and Receive the Product</w:t>
      </w:r>
    </w:p>
    <w:p>
      <w:pPr>
        <w:pStyle w:val="Normal"/>
        <w:rPr>
          <w:sz w:val="24"/>
        </w:rPr>
      </w:pPr>
      <w:r>
        <w:rPr>
          <w:sz w:val="24"/>
        </w:rPr>
      </w:r>
    </w:p>
    <w:p>
      <w:pPr>
        <w:pStyle w:val="Normal"/>
        <w:rPr/>
      </w:pPr>
      <w:r>
        <w:rPr>
          <w:sz w:val="24"/>
        </w:rPr>
        <w:t xml:space="preserve">What are Buyer’s remedies when Seller fails to schedule and/or deliver all or part of the product and performance is not excused by </w:t>
      </w:r>
      <w:r>
        <w:rPr>
          <w:i/>
          <w:sz w:val="24"/>
        </w:rPr>
        <w:t>Force Majeure</w:t>
      </w:r>
      <w:r>
        <w:rPr>
          <w:sz w:val="24"/>
        </w:rPr>
        <w:t>?  How are liquidated damages calculated  under Master Agreement for Seller’s Failure?   Liquidated damages thresholds.  Issues related to Calculation of Replacement Price for a product:  What does replacing product in a “commercially reasonable” manner mean?  Should Seller be required to excercise “in the money” options to cover?  What additional costs related to obtaining replacement product are excluded or included?    Under what scenarios would the Buyer choose to take the market price as a measure of damages and how would the market price be determined?  What issues arise when there is only partial performance?</w:t>
      </w:r>
    </w:p>
    <w:p>
      <w:pPr>
        <w:pStyle w:val="Normal"/>
        <w:rPr>
          <w:sz w:val="24"/>
        </w:rPr>
      </w:pPr>
      <w:r>
        <w:rPr>
          <w:sz w:val="24"/>
        </w:rPr>
      </w:r>
    </w:p>
    <w:p>
      <w:pPr>
        <w:pStyle w:val="Normal"/>
        <w:rPr/>
      </w:pPr>
      <w:r>
        <w:rPr>
          <w:sz w:val="24"/>
        </w:rPr>
        <w:t xml:space="preserve">What are the Seller’s remedies when the Buyer fails to receive all or part of the product and performance is not excused by </w:t>
      </w:r>
      <w:r>
        <w:rPr>
          <w:i/>
          <w:sz w:val="24"/>
        </w:rPr>
        <w:t>Force Majeure</w:t>
      </w:r>
      <w:r>
        <w:rPr>
          <w:sz w:val="24"/>
        </w:rPr>
        <w:t>?  How are liquidated damages calculated under Master Agreement for Buyer’s failure?  Liquidated damages thresholds.  Issues related to calculating Sales for product not received:  What does selling product in a commercially reasonable manner mean?  What additional costs related to selling unreceived product are excluded or included?  Under what scenarios would the Seller choose to take the market price as a measure of damages and how would the market price be determined?  What issues arise when there is only partial performance?</w:t>
      </w:r>
    </w:p>
    <w:p>
      <w:pPr>
        <w:pStyle w:val="Normal"/>
        <w:rPr>
          <w:sz w:val="24"/>
        </w:rPr>
      </w:pPr>
      <w:r>
        <w:rPr>
          <w:sz w:val="24"/>
        </w:rPr>
      </w:r>
    </w:p>
    <w:p>
      <w:pPr>
        <w:pStyle w:val="Normal"/>
        <w:rPr>
          <w:sz w:val="24"/>
        </w:rPr>
      </w:pPr>
      <w:r>
        <w:rPr>
          <w:sz w:val="24"/>
        </w:rPr>
        <w:t>12:00  Luncheon</w:t>
      </w:r>
    </w:p>
    <w:p>
      <w:pPr>
        <w:pStyle w:val="Normal"/>
        <w:rPr>
          <w:sz w:val="24"/>
        </w:rPr>
      </w:pPr>
      <w:r>
        <w:rPr>
          <w:sz w:val="24"/>
        </w:rPr>
      </w:r>
    </w:p>
    <w:p>
      <w:pPr>
        <w:pStyle w:val="Normal"/>
        <w:rPr>
          <w:sz w:val="24"/>
        </w:rPr>
      </w:pPr>
      <w:r>
        <w:rPr>
          <w:sz w:val="24"/>
        </w:rPr>
        <w:t>12:30  Luncheon Address</w:t>
      </w:r>
    </w:p>
    <w:p>
      <w:pPr>
        <w:pStyle w:val="Normal"/>
        <w:rPr>
          <w:sz w:val="24"/>
        </w:rPr>
      </w:pPr>
      <w:r>
        <w:rPr>
          <w:sz w:val="24"/>
        </w:rPr>
      </w:r>
    </w:p>
    <w:p>
      <w:pPr>
        <w:pStyle w:val="Normal"/>
        <w:rPr>
          <w:sz w:val="24"/>
        </w:rPr>
      </w:pPr>
      <w:r>
        <w:rPr>
          <w:sz w:val="24"/>
        </w:rPr>
        <w:t>FERC’s Role in Competitive Power Market</w:t>
      </w:r>
    </w:p>
    <w:p>
      <w:pPr>
        <w:pStyle w:val="Normal"/>
        <w:rPr>
          <w:sz w:val="24"/>
        </w:rPr>
      </w:pPr>
      <w:r>
        <w:rPr>
          <w:sz w:val="24"/>
        </w:rPr>
        <w:t>(FERC Chair/Commissioner)</w:t>
      </w:r>
    </w:p>
    <w:p>
      <w:pPr>
        <w:pStyle w:val="Normal"/>
        <w:rPr>
          <w:sz w:val="24"/>
        </w:rPr>
      </w:pPr>
      <w:r>
        <w:rPr>
          <w:sz w:val="24"/>
        </w:rPr>
      </w:r>
    </w:p>
    <w:p>
      <w:pPr>
        <w:pStyle w:val="Normal"/>
        <w:rPr>
          <w:sz w:val="24"/>
        </w:rPr>
      </w:pPr>
      <w:r>
        <w:rPr>
          <w:sz w:val="24"/>
        </w:rPr>
        <w:t>1:30   How the EEI Standard Contract Works (Session II)</w:t>
      </w:r>
    </w:p>
    <w:p>
      <w:pPr>
        <w:pStyle w:val="Normal"/>
        <w:rPr>
          <w:sz w:val="24"/>
        </w:rPr>
      </w:pPr>
      <w:r>
        <w:rPr>
          <w:sz w:val="24"/>
        </w:rPr>
        <w:t>Moderator:  David Perlman or Patti Dondanville?</w:t>
      </w:r>
    </w:p>
    <w:p>
      <w:pPr>
        <w:pStyle w:val="Normal"/>
        <w:rPr>
          <w:sz w:val="24"/>
        </w:rPr>
      </w:pPr>
      <w:r>
        <w:rPr>
          <w:sz w:val="24"/>
        </w:rPr>
      </w:r>
    </w:p>
    <w:p>
      <w:pPr>
        <w:pStyle w:val="Normal"/>
        <w:rPr>
          <w:sz w:val="24"/>
        </w:rPr>
      </w:pPr>
      <w:r>
        <w:rPr>
          <w:sz w:val="24"/>
        </w:rPr>
        <w:t>Major Meltdowns:  Events of Default, Winding Down Trading Relationship, Termination Payments, Netouts</w:t>
      </w:r>
    </w:p>
    <w:p>
      <w:pPr>
        <w:pStyle w:val="Normal"/>
        <w:rPr>
          <w:sz w:val="24"/>
        </w:rPr>
      </w:pPr>
      <w:r>
        <w:rPr>
          <w:sz w:val="24"/>
        </w:rPr>
      </w:r>
    </w:p>
    <w:p>
      <w:pPr>
        <w:pStyle w:val="Normal"/>
        <w:rPr>
          <w:sz w:val="24"/>
        </w:rPr>
      </w:pPr>
      <w:r>
        <w:rPr>
          <w:sz w:val="24"/>
        </w:rPr>
        <w:t>What events permit parties to Master Agreement to terminate and liquidate their transactions with each other?    How can breaches of material covenants be cured?  Cross-defaults, Material Adverse Change conditions, and guarantor defaults?</w:t>
      </w:r>
    </w:p>
    <w:p>
      <w:pPr>
        <w:pStyle w:val="Normal"/>
        <w:rPr>
          <w:sz w:val="24"/>
        </w:rPr>
      </w:pPr>
      <w:r>
        <w:rPr>
          <w:sz w:val="24"/>
        </w:rPr>
      </w:r>
    </w:p>
    <w:p>
      <w:pPr>
        <w:pStyle w:val="Normal"/>
        <w:rPr>
          <w:sz w:val="24"/>
        </w:rPr>
      </w:pPr>
      <w:r>
        <w:rPr>
          <w:sz w:val="24"/>
        </w:rPr>
        <w:t>What is the process for determinating an early termination date for the Master Agreement?</w:t>
      </w:r>
    </w:p>
    <w:p>
      <w:pPr>
        <w:pStyle w:val="Normal"/>
        <w:rPr>
          <w:sz w:val="24"/>
        </w:rPr>
      </w:pPr>
      <w:r>
        <w:rPr>
          <w:sz w:val="24"/>
        </w:rPr>
      </w:r>
    </w:p>
    <w:p>
      <w:pPr>
        <w:pStyle w:val="Normal"/>
        <w:rPr>
          <w:sz w:val="24"/>
        </w:rPr>
      </w:pPr>
      <w:r>
        <w:rPr>
          <w:sz w:val="24"/>
        </w:rPr>
        <w:t>How is the Settlement Amount calulated for liquidating transactions with defaulting counterparties?  What losses, gains, and costs can be included?  What are “terminated transactions”?  How are disputes with respect to determination of the Settlement Amount resolved?  Are there differences in liquidated damages/cover depending on a party’s position in a transaction chain?  Can a non-defaulting middle party in a transaction chain just sit back and collect liquidated damages from an upstream defaulting party?</w:t>
      </w:r>
    </w:p>
    <w:p>
      <w:pPr>
        <w:pStyle w:val="Normal"/>
        <w:rPr>
          <w:sz w:val="24"/>
        </w:rPr>
      </w:pPr>
      <w:r>
        <w:rPr>
          <w:sz w:val="24"/>
        </w:rPr>
      </w:r>
    </w:p>
    <w:p>
      <w:pPr>
        <w:pStyle w:val="Normal"/>
        <w:rPr>
          <w:sz w:val="24"/>
        </w:rPr>
      </w:pPr>
      <w:r>
        <w:rPr>
          <w:sz w:val="24"/>
        </w:rPr>
        <w:t xml:space="preserve">Under what conditions can the non-defaulting party suspend performance of obligations owed to the defaulting party when an event of default occurs?  </w:t>
      </w:r>
    </w:p>
    <w:p>
      <w:pPr>
        <w:pStyle w:val="Normal"/>
        <w:rPr>
          <w:sz w:val="24"/>
        </w:rPr>
      </w:pPr>
      <w:r>
        <w:rPr>
          <w:sz w:val="24"/>
        </w:rPr>
      </w:r>
    </w:p>
    <w:p>
      <w:pPr>
        <w:pStyle w:val="Normal"/>
        <w:rPr>
          <w:sz w:val="24"/>
        </w:rPr>
      </w:pPr>
      <w:r>
        <w:rPr>
          <w:sz w:val="24"/>
        </w:rPr>
        <w:t>What is the effect of counterparty bankruptcy on termination payment/margin rights of non-defaulting party?</w:t>
      </w:r>
    </w:p>
    <w:p>
      <w:pPr>
        <w:pStyle w:val="Normal"/>
        <w:rPr>
          <w:sz w:val="24"/>
        </w:rPr>
      </w:pPr>
      <w:r>
        <w:rPr>
          <w:sz w:val="24"/>
        </w:rPr>
      </w:r>
    </w:p>
    <w:p>
      <w:pPr>
        <w:pStyle w:val="Normal"/>
        <w:rPr>
          <w:sz w:val="24"/>
        </w:rPr>
      </w:pPr>
      <w:r>
        <w:rPr>
          <w:sz w:val="24"/>
        </w:rPr>
        <w:t>Describe the net-out process by which the non-defaulting party can offset the amounts owed the defaulting party under the Master Agreement or other agreements against amounts the defaulting party owes the non-defaulting party.</w:t>
      </w:r>
    </w:p>
    <w:p>
      <w:pPr>
        <w:pStyle w:val="Normal"/>
        <w:rPr>
          <w:sz w:val="24"/>
        </w:rPr>
      </w:pPr>
      <w:r>
        <w:rPr>
          <w:sz w:val="24"/>
        </w:rPr>
      </w:r>
    </w:p>
    <w:p>
      <w:pPr>
        <w:pStyle w:val="Normal"/>
        <w:rPr>
          <w:sz w:val="24"/>
        </w:rPr>
      </w:pPr>
      <w:r>
        <w:rPr>
          <w:sz w:val="24"/>
        </w:rPr>
        <w:t>Giving Credit Where Credit Is Due:  Credit Risk Management Under EEI Contract</w:t>
      </w:r>
    </w:p>
    <w:p>
      <w:pPr>
        <w:pStyle w:val="Normal"/>
        <w:rPr>
          <w:sz w:val="24"/>
        </w:rPr>
      </w:pPr>
      <w:r>
        <w:rPr>
          <w:sz w:val="24"/>
        </w:rPr>
        <w:tab/>
        <w:tab/>
        <w:t>Credit Information Requests</w:t>
      </w:r>
    </w:p>
    <w:p>
      <w:pPr>
        <w:pStyle w:val="Normal"/>
        <w:rPr>
          <w:sz w:val="24"/>
        </w:rPr>
      </w:pPr>
      <w:r>
        <w:rPr>
          <w:sz w:val="24"/>
        </w:rPr>
        <w:tab/>
        <w:tab/>
        <w:t>Adequate Credit Assurances:  Credit Thresholds; Posting Collateral (Margining)</w:t>
      </w:r>
    </w:p>
    <w:p>
      <w:pPr>
        <w:pStyle w:val="Normal"/>
        <w:rPr>
          <w:sz w:val="24"/>
        </w:rPr>
      </w:pPr>
      <w:r>
        <w:rPr>
          <w:sz w:val="24"/>
        </w:rPr>
        <w:tab/>
        <w:tab/>
        <w:t>Credit Rating Downgrade Events</w:t>
      </w:r>
    </w:p>
    <w:p>
      <w:pPr>
        <w:pStyle w:val="Normal"/>
        <w:rPr/>
      </w:pPr>
      <w:r>
        <w:rPr/>
        <w:tab/>
        <w:tab/>
      </w:r>
      <w:r>
        <w:rPr>
          <w:sz w:val="24"/>
        </w:rPr>
        <w:t>Granting Security Interests</w:t>
      </w:r>
    </w:p>
    <w:p>
      <w:pPr>
        <w:pStyle w:val="Normal"/>
        <w:rPr>
          <w:sz w:val="24"/>
        </w:rPr>
      </w:pPr>
      <w:r>
        <w:rPr>
          <w:sz w:val="24"/>
        </w:rPr>
      </w:r>
    </w:p>
    <w:p>
      <w:pPr>
        <w:pStyle w:val="Normal"/>
        <w:rPr>
          <w:sz w:val="24"/>
        </w:rPr>
      </w:pPr>
      <w:r>
        <w:rPr>
          <w:sz w:val="24"/>
        </w:rPr>
        <w:t>What creditworthiness obligations do parties to the Master Agreement have with each other?</w:t>
      </w:r>
    </w:p>
    <w:p>
      <w:pPr>
        <w:pStyle w:val="Normal"/>
        <w:rPr>
          <w:sz w:val="24"/>
        </w:rPr>
      </w:pPr>
      <w:r>
        <w:rPr>
          <w:sz w:val="24"/>
        </w:rPr>
      </w:r>
    </w:p>
    <w:p>
      <w:pPr>
        <w:pStyle w:val="Normal"/>
        <w:rPr>
          <w:sz w:val="24"/>
        </w:rPr>
      </w:pPr>
      <w:r>
        <w:rPr>
          <w:sz w:val="24"/>
        </w:rPr>
        <w:t>What are the credit review procedures under the Master Agreement?</w:t>
      </w:r>
    </w:p>
    <w:p>
      <w:pPr>
        <w:pStyle w:val="Normal"/>
        <w:rPr>
          <w:sz w:val="24"/>
        </w:rPr>
      </w:pPr>
      <w:r>
        <w:rPr>
          <w:sz w:val="24"/>
        </w:rPr>
      </w:r>
    </w:p>
    <w:p>
      <w:pPr>
        <w:pStyle w:val="Normal"/>
        <w:rPr>
          <w:sz w:val="24"/>
        </w:rPr>
      </w:pPr>
      <w:r>
        <w:rPr>
          <w:sz w:val="24"/>
        </w:rPr>
        <w:t>How are credit limits established for counterparties?</w:t>
      </w:r>
    </w:p>
    <w:p>
      <w:pPr>
        <w:pStyle w:val="Normal"/>
        <w:rPr>
          <w:sz w:val="24"/>
        </w:rPr>
      </w:pPr>
      <w:r>
        <w:rPr>
          <w:sz w:val="24"/>
        </w:rPr>
      </w:r>
    </w:p>
    <w:p>
      <w:pPr>
        <w:pStyle w:val="Normal"/>
        <w:rPr>
          <w:sz w:val="24"/>
        </w:rPr>
      </w:pPr>
      <w:r>
        <w:rPr>
          <w:sz w:val="24"/>
        </w:rPr>
        <w:t>What are the procedures for providing adequate assurances of creditworthiness?  What happens if they are not provided?</w:t>
      </w:r>
    </w:p>
    <w:p>
      <w:pPr>
        <w:pStyle w:val="Normal"/>
        <w:rPr>
          <w:sz w:val="24"/>
        </w:rPr>
      </w:pPr>
      <w:r>
        <w:rPr>
          <w:sz w:val="24"/>
        </w:rPr>
      </w:r>
    </w:p>
    <w:p>
      <w:pPr>
        <w:pStyle w:val="Normal"/>
        <w:rPr>
          <w:sz w:val="24"/>
        </w:rPr>
      </w:pPr>
      <w:r>
        <w:rPr>
          <w:sz w:val="24"/>
        </w:rPr>
        <w:t>How are margining (collateral thresholds) established? What are the procedures for obtaning a security interest in collateral?</w:t>
      </w:r>
    </w:p>
    <w:p>
      <w:pPr>
        <w:pStyle w:val="Normal"/>
        <w:rPr>
          <w:sz w:val="24"/>
        </w:rPr>
      </w:pPr>
      <w:r>
        <w:rPr>
          <w:sz w:val="24"/>
        </w:rPr>
      </w:r>
    </w:p>
    <w:p>
      <w:pPr>
        <w:pStyle w:val="Normal"/>
        <w:rPr>
          <w:sz w:val="24"/>
        </w:rPr>
      </w:pPr>
      <w:r>
        <w:rPr>
          <w:sz w:val="24"/>
        </w:rPr>
        <w:t>What issues arise in demanding letters of credit?</w:t>
      </w:r>
    </w:p>
    <w:p>
      <w:pPr>
        <w:pStyle w:val="Normal"/>
        <w:rPr>
          <w:sz w:val="24"/>
        </w:rPr>
      </w:pPr>
      <w:r>
        <w:rPr>
          <w:sz w:val="24"/>
        </w:rPr>
      </w:r>
    </w:p>
    <w:p>
      <w:pPr>
        <w:pStyle w:val="Normal"/>
        <w:rPr>
          <w:sz w:val="24"/>
        </w:rPr>
      </w:pPr>
      <w:r>
        <w:rPr>
          <w:sz w:val="24"/>
        </w:rPr>
        <w:t>What are the procedures for using credit downgrading as an event of default?  How are power marketers rated by rating agencies?  Presentation by financial analyst.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Working with the Master Agreement</w:t>
      </w:r>
    </w:p>
    <w:p>
      <w:pPr>
        <w:pStyle w:val="Normal"/>
        <w:rPr>
          <w:sz w:val="24"/>
        </w:rPr>
      </w:pPr>
      <w:r>
        <w:rPr>
          <w:sz w:val="24"/>
        </w:rPr>
        <w:t>Moderator:  ?</w:t>
      </w:r>
    </w:p>
    <w:p>
      <w:pPr>
        <w:pStyle w:val="Normal"/>
        <w:rPr>
          <w:sz w:val="24"/>
        </w:rPr>
      </w:pPr>
      <w:r>
        <w:rPr>
          <w:sz w:val="24"/>
        </w:rPr>
      </w:r>
    </w:p>
    <w:p>
      <w:pPr>
        <w:pStyle w:val="Normal"/>
        <w:rPr>
          <w:sz w:val="24"/>
        </w:rPr>
      </w:pPr>
      <w:r>
        <w:rPr>
          <w:sz w:val="24"/>
        </w:rPr>
        <w:t xml:space="preserve">Nuts and Bolts:  How to use the the Cover Sheet and Supplemental Provisions, Notices, </w:t>
      </w:r>
    </w:p>
    <w:p>
      <w:pPr>
        <w:pStyle w:val="Normal"/>
        <w:rPr>
          <w:sz w:val="24"/>
        </w:rPr>
      </w:pPr>
      <w:r>
        <w:rPr>
          <w:sz w:val="24"/>
        </w:rPr>
        <w:t>Issues related to Choice of Law</w:t>
      </w:r>
    </w:p>
    <w:p>
      <w:pPr>
        <w:pStyle w:val="Normal"/>
        <w:rPr>
          <w:sz w:val="24"/>
        </w:rPr>
      </w:pPr>
      <w:r>
        <w:rPr>
          <w:sz w:val="24"/>
        </w:rPr>
      </w:r>
    </w:p>
    <w:p>
      <w:pPr>
        <w:pStyle w:val="Normal"/>
        <w:rPr>
          <w:sz w:val="24"/>
        </w:rPr>
      </w:pPr>
      <w:r>
        <w:rPr>
          <w:sz w:val="24"/>
        </w:rPr>
      </w:r>
    </w:p>
    <w:p>
      <w:pPr>
        <w:pStyle w:val="Normal"/>
        <w:rPr>
          <w:sz w:val="24"/>
        </w:rPr>
      </w:pPr>
      <w:r>
        <w:rPr>
          <w:sz w:val="24"/>
        </w:rPr>
        <w:t xml:space="preserve">Documenting Wholesale Tariffs and the Master Agreement at FERC – Samuel Beherends?  </w:t>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1999-08-04T12:47:00Z</dcterms:created>
  <dc:creator>Andrew S. Katz</dc:creator>
  <dc:description/>
  <dc:language>en-CA</dc:language>
  <cp:lastModifiedBy>Andrew S. Katz</cp:lastModifiedBy>
  <dcterms:modified xsi:type="dcterms:W3CDTF">1999-08-06T18:58:00Z</dcterms:modified>
  <cp:revision>12</cp:revision>
  <dc:subject/>
  <dc:title>Let’s Make A Deal:  </dc:title>
</cp:coreProperties>
</file>