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MEMORANDUM</w:t>
      </w:r>
    </w:p>
    <w:p>
      <w:pPr>
        <w:pStyle w:val="Normal"/>
        <w:jc w:val="center"/>
        <w:rPr/>
      </w:pPr>
      <w:r>
        <w:rPr/>
      </w:r>
    </w:p>
    <w:p>
      <w:pPr>
        <w:pStyle w:val="Normal"/>
        <w:rPr/>
      </w:pPr>
      <w:r>
        <w:rPr/>
        <w:t>Date:</w:t>
        <w:tab/>
        <w:t>October 9, 2001</w:t>
      </w:r>
    </w:p>
    <w:p>
      <w:pPr>
        <w:pStyle w:val="Normal"/>
        <w:rPr/>
      </w:pPr>
      <w:r>
        <w:rPr/>
      </w:r>
    </w:p>
    <w:p>
      <w:pPr>
        <w:pStyle w:val="Normal"/>
        <w:rPr/>
      </w:pPr>
      <w:r>
        <w:rPr/>
        <w:t>To:</w:t>
        <w:tab/>
        <w:t>Larry Campbell</w:t>
      </w:r>
    </w:p>
    <w:p>
      <w:pPr>
        <w:pStyle w:val="Normal"/>
        <w:rPr/>
      </w:pPr>
      <w:r>
        <w:rPr/>
        <w:tab/>
        <w:t>Division Environmental Specialist</w:t>
      </w:r>
    </w:p>
    <w:p>
      <w:pPr>
        <w:pStyle w:val="Normal"/>
        <w:rPr/>
      </w:pPr>
      <w:r>
        <w:rPr/>
        <w:tab/>
        <w:t>Enron Transportation Services Company</w:t>
      </w:r>
    </w:p>
    <w:p>
      <w:pPr>
        <w:pStyle w:val="Normal"/>
        <w:rPr/>
      </w:pPr>
      <w:r>
        <w:rPr/>
      </w:r>
    </w:p>
    <w:p>
      <w:pPr>
        <w:pStyle w:val="Normal"/>
        <w:rPr/>
      </w:pPr>
      <w:r>
        <w:rPr/>
        <w:t>From:</w:t>
        <w:tab/>
        <w:t>Jon Fields</w:t>
      </w:r>
    </w:p>
    <w:p>
      <w:pPr>
        <w:pStyle w:val="Normal"/>
        <w:rPr/>
      </w:pPr>
      <w:r>
        <w:rPr/>
        <w:tab/>
        <w:t>Argent Consulting Services, Inc.</w:t>
      </w:r>
    </w:p>
    <w:p>
      <w:pPr>
        <w:pStyle w:val="Normal"/>
        <w:rPr/>
      </w:pPr>
      <w:r>
        <w:rPr/>
      </w:r>
    </w:p>
    <w:p>
      <w:pPr>
        <w:pStyle w:val="Normal"/>
        <w:rPr/>
      </w:pPr>
      <w:r>
        <w:rPr/>
        <w:t>Re:</w:t>
        <w:tab/>
        <w:t>Review of Draft Part 71 Permit</w:t>
      </w:r>
    </w:p>
    <w:p>
      <w:pPr>
        <w:pStyle w:val="Normal"/>
        <w:pBdr>
          <w:bottom w:val="single" w:sz="4" w:space="1" w:color="000000"/>
        </w:pBdr>
        <w:rPr/>
      </w:pPr>
      <w:r>
        <w:rPr/>
        <w:tab/>
        <w:t>Flagstaff Compressor Station</w:t>
      </w:r>
    </w:p>
    <w:p>
      <w:pPr>
        <w:pStyle w:val="Normal"/>
        <w:rPr/>
      </w:pPr>
      <w:r>
        <w:rPr/>
      </w:r>
    </w:p>
    <w:p>
      <w:pPr>
        <w:pStyle w:val="Normal"/>
        <w:rPr/>
      </w:pPr>
      <w:r>
        <w:rPr/>
        <w:t>Argent has reviewed the draft Class 1 permit for the Flagstaff Compressor Station;</w:t>
      </w:r>
    </w:p>
    <w:p>
      <w:pPr>
        <w:pStyle w:val="Normal"/>
        <w:rPr/>
      </w:pPr>
      <w:r>
        <w:rPr/>
      </w:r>
    </w:p>
    <w:p>
      <w:pPr>
        <w:pStyle w:val="Heading1"/>
        <w:ind w:hanging="0" w:start="0"/>
        <w:rPr/>
      </w:pPr>
      <w:r>
        <w:rPr/>
        <w:t>Transition Period</w:t>
      </w:r>
    </w:p>
    <w:p>
      <w:pPr>
        <w:pStyle w:val="Normal"/>
        <w:rPr/>
      </w:pPr>
      <w:r>
        <w:rPr/>
        <w:t>B. TWP requested the ability to operate each reciprocating engine during the transition period for up to six months (4,380 hours per year).  The ADEQ has limited engine operation during this period to 3,100 hours per engine.</w:t>
      </w:r>
    </w:p>
    <w:p>
      <w:pPr>
        <w:pStyle w:val="Normal"/>
        <w:rPr/>
      </w:pPr>
      <w:r>
        <w:rPr/>
      </w:r>
    </w:p>
    <w:p>
      <w:pPr>
        <w:pStyle w:val="Normal"/>
        <w:rPr/>
      </w:pPr>
      <w:r>
        <w:rPr/>
        <w:t>The transition period operating limitations are set to prevent exceedance of the PSD significance levels.  Based on ADEQs revised netting calculations using test data provided by TWP, actual NOx and CO emissions certified for netting were 1203 tpy and 136 tpy, respectively (See Table 3.2).  To avoid PSD and maximize the ability to operate the old compressor engines during the transition period, 12-month NOx emissions cannot exceed 1203 + 40 = 1243 tpy.  The 12-month CO emissions must not exceed 136 + 100  = 236 tpy.</w:t>
      </w:r>
    </w:p>
    <w:p>
      <w:pPr>
        <w:pStyle w:val="Normal"/>
        <w:rPr/>
      </w:pPr>
      <w:r>
        <w:rPr/>
      </w:r>
    </w:p>
    <w:p>
      <w:pPr>
        <w:pStyle w:val="Normal"/>
        <w:rPr/>
      </w:pPr>
      <w:r>
        <w:rPr/>
        <w:t>Table 4.1 in the technical review section shows existing equipment emissions equal 496 tpy of NOx and 55.7 tpy of CO if the engines are operated for 3,100 hours each.  If the engines are operated for 4,380 hours each, NOx emissions will equal 699.36 tpy and CO emissions will equal 78.54 tpy.  Since TWP has committed to not operating the turbine/generators concurrently with the existing equipment, the turbine/generators are limited to 4,380 hours per year if existing equipment usage is maximized during the six-month transition period.</w:t>
      </w:r>
    </w:p>
    <w:p>
      <w:pPr>
        <w:pStyle w:val="Normal"/>
        <w:rPr/>
      </w:pPr>
      <w:r>
        <w:rPr/>
      </w:r>
    </w:p>
    <w:p>
      <w:pPr>
        <w:pStyle w:val="Normal"/>
        <w:rPr/>
      </w:pPr>
      <w:r>
        <w:rPr/>
        <w:t>Operating the turbine/generators 50% of the time results in 50% x 236 = 118 tpy NOx and 50% x 86 = 43 tpy CO.  The worst-case 12-month emissions are 699.36 + 118 = 817.36 tpy NOx and 78.54 + 43 = 121.54 tpy CO.  Therefore, operating the existing equipment for 4,380 hours per year and the new equipment for 4,380 hours year will not result in an exceedance in the PSD annual significance levels.  Argent recommends that TWP request that the existing equipment be allowed to operate continuously during the six-month transition period.</w:t>
      </w:r>
    </w:p>
    <w:p>
      <w:pPr>
        <w:pStyle w:val="Normal"/>
        <w:ind w:start="360" w:end="0"/>
        <w:rPr/>
      </w:pPr>
      <w:r>
        <w:rPr/>
      </w:r>
    </w:p>
    <w:p>
      <w:pPr>
        <w:pStyle w:val="Heading1"/>
        <w:ind w:hanging="0" w:start="0"/>
        <w:rPr/>
      </w:pPr>
      <w:r>
        <w:rPr/>
        <w:t>Caterpillar G3508 Natural Gas Generator Engines, Unit 223 and Unit 224</w:t>
      </w:r>
    </w:p>
    <w:p>
      <w:pPr>
        <w:pStyle w:val="Normal"/>
        <w:rPr/>
      </w:pPr>
      <w:r>
        <w:rPr/>
        <w:t>C.2. The ADEQ has limited the operating hours of the generator engines to 7800 hours per year.  TWP requested the ability to operate continuously (8,760 hours per year).  The ADEQs technical review Section V.B.5 states that the 7800 hour limitation was imposed to limit emissions from the turbines and engines to “225 tpy,  so that PSD is not triggered (with a 10% safety factor).”  Section 3 states that the “generator emissions are calculated using a voluntarily accepted annual operating limit of 7000 hours.”</w:t>
      </w:r>
    </w:p>
    <w:p>
      <w:pPr>
        <w:pStyle w:val="Normal"/>
        <w:rPr/>
      </w:pPr>
      <w:r>
        <w:rPr/>
      </w:r>
    </w:p>
    <w:p>
      <w:pPr>
        <w:pStyle w:val="Normal"/>
        <w:rPr/>
      </w:pPr>
      <w:r>
        <w:rPr/>
        <w:t>There is clearly some confusion within ADEQ concerning this matter.  Argent’s understanding is that TWP needs continuous operation on the generator engines and did not “volunteer” to restrict this run time.  Additionally, the statement regarding the necessity to remain below 250 tpy so as to not trigger PSD is erroneous.  For existing major sources, PSD is avoided by shutting down emissions to “net out” of PSD.  There is no need to stay below 250 tpy to avoid PSD.  Argent recommends that TWP request that the generator engine operating hours be increased to 8,760 per year.</w:t>
      </w:r>
    </w:p>
    <w:p>
      <w:pPr>
        <w:pStyle w:val="Normal"/>
        <w:rPr/>
      </w:pPr>
      <w:r>
        <w:rPr/>
      </w:r>
    </w:p>
    <w:p>
      <w:pPr>
        <w:pStyle w:val="Normal"/>
        <w:rPr/>
      </w:pPr>
      <w:r>
        <w:rPr/>
        <w:t>D.2. Does this provision require a test or only if requested at a later date by the ADEQ?  Argent recommends that this be clarified in the provision.</w:t>
      </w:r>
    </w:p>
    <w:p>
      <w:pPr>
        <w:pStyle w:val="Normal"/>
        <w:rPr/>
      </w:pPr>
      <w:r>
        <w:rPr/>
      </w:r>
    </w:p>
    <w:p>
      <w:pPr>
        <w:pStyle w:val="Normal"/>
        <w:rPr/>
      </w:pPr>
      <w:r>
        <w:rPr/>
        <w:t>E. The ADEQ has written the requirement to check opacity by Method 9, which requires smoke school certification.  Argent recommends that TWP request checks for opacity be conducted using “Method 9, or an approved alternative method.”</w:t>
      </w:r>
    </w:p>
    <w:p>
      <w:pPr>
        <w:pStyle w:val="Normal"/>
        <w:rPr/>
      </w:pPr>
      <w:r>
        <w:rPr/>
      </w:r>
    </w:p>
    <w:p>
      <w:pPr>
        <w:pStyle w:val="Normal"/>
        <w:rPr/>
      </w:pPr>
      <w:r>
        <w:rPr/>
        <w:t>The technical review section addressing particulate emissions used the turbine heat rate rather than the generator engine heat rate.  Particulate emissions from the generator engines are limited to 1.02(4.35)</w:t>
      </w:r>
      <w:r>
        <w:rPr>
          <w:vertAlign w:val="superscript"/>
        </w:rPr>
        <w:t>0.769</w:t>
      </w:r>
      <w:r>
        <w:rPr/>
        <w:t xml:space="preserve"> = 3.16 lb/hr.  The technical review section references 92.7 lb/hr.  This error is not imbedded in the permit specific conditions and no action is required.  TWP may notify the ADEQ of the error.</w:t>
      </w:r>
    </w:p>
    <w:p>
      <w:pPr>
        <w:pStyle w:val="Normal"/>
        <w:rPr/>
      </w:pPr>
      <w:r>
        <w:rPr/>
      </w:r>
    </w:p>
    <w:p>
      <w:pPr>
        <w:pStyle w:val="Normal"/>
        <w:rPr/>
      </w:pPr>
      <w:r>
        <w:rPr/>
        <w:t>Argent has reviewed the remainder of the permit and offers no comments.</w:t>
      </w:r>
    </w:p>
    <w:p>
      <w:pPr>
        <w:pStyle w:val="Normal"/>
        <w:rPr/>
      </w:pPr>
      <w:r>
        <w:rPr/>
      </w:r>
    </w:p>
    <w:p>
      <w:pPr>
        <w:pStyle w:val="Normal"/>
        <w:rPr/>
      </w:pPr>
      <w:r>
        <w:rPr/>
        <w:t>END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Monotype Corsiva">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Monotype Corsiva" w:hAnsi="Monotype Corsiva" w:cs="Arial"/>
      <w:i/>
      <w:sz w:val="40"/>
    </w:rPr>
  </w:style>
  <w:style w:type="paragraph" w:styleId="BodyTextIndent">
    <w:name w:val="Body Text Indent"/>
    <w:basedOn w:val="Normal"/>
    <w:pPr>
      <w:ind w:hanging="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2001-10-09T18:09:00Z</dcterms:created>
  <dc:creator>Jon Fields</dc:creator>
  <dc:description/>
  <dc:language>en-CA</dc:language>
  <cp:lastModifiedBy>Jon Fields</cp:lastModifiedBy>
  <cp:lastPrinted>2001-10-04T15:56:00Z</cp:lastPrinted>
  <dcterms:modified xsi:type="dcterms:W3CDTF">2001-10-09T18:28:00Z</dcterms:modified>
  <cp:revision>3</cp:revision>
  <dc:subject/>
  <dc:title>MEMORANDUM</dc:title>
</cp:coreProperties>
</file>