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CASE 1:  GENERAL MOTORS AND FISHER BODY</w:t>
      </w:r>
    </w:p>
    <w:p>
      <w:pPr>
        <w:pStyle w:val="Normal"/>
        <w:spacing w:lineRule="auto" w:line="480"/>
        <w:rPr>
          <w:b/>
          <w:bCs/>
          <w:i/>
          <w:i/>
          <w:iCs/>
        </w:rPr>
      </w:pPr>
      <w:r>
        <w:rPr>
          <w:b/>
          <w:bCs/>
          <w:i/>
          <w:iCs/>
        </w:rPr>
        <w:t>What is the phenomenon to be explained and why is it interesting?</w:t>
      </w:r>
    </w:p>
    <w:p>
      <w:pPr>
        <w:pStyle w:val="Normal"/>
        <w:spacing w:lineRule="auto" w:line="480"/>
        <w:ind w:firstLine="720" w:end="0"/>
        <w:rPr/>
      </w:pPr>
      <w:r>
        <w:rPr/>
        <w:t>Klein asserts that opportunistic behavior associated with economic hold-up—or the potential for economic hold-up—increases the likelihood of vertical integration.</w:t>
      </w:r>
      <w:r>
        <w:rPr>
          <w:rStyle w:val="FootnoteCharacters"/>
          <w:rStyle w:val="FootnoteReference"/>
        </w:rPr>
        <w:footnoteReference w:id="2"/>
      </w:r>
      <w:r>
        <w:rPr/>
        <w:t xml:space="preserve"> Klein further asserts that the greater the level of firm-specific investment, the greater the opportunity for hold-up, and hence, the more apt the firm is to integrate vertically.  The hold-up occurs when the economic value of exploiting the hold-up exceeds any damage done to the reputation of the firm doing the hold-up, and the loss of any future business stemming from reputational damage.</w:t>
      </w:r>
    </w:p>
    <w:p>
      <w:pPr>
        <w:pStyle w:val="BodyTextIndent"/>
        <w:rPr/>
      </w:pPr>
      <w:r>
        <w:rPr/>
        <w:t xml:space="preserve">In Klein’s view, the market contracting process provides firms with two distinct incentives:  1) acquire information in the attempt to gain an advantage over their counter-party with the intent of establishing contract terms designed to create hold-up opportunities; and, 2) use the counter-party’s subsequent desire to renegotiate to leverage the hold-up created through the original contract terms to extract quasi-rents. </w:t>
      </w:r>
    </w:p>
    <w:p>
      <w:pPr>
        <w:pStyle w:val="Normal"/>
        <w:spacing w:lineRule="auto" w:line="480"/>
        <w:ind w:firstLine="720" w:end="0"/>
        <w:rPr/>
      </w:pPr>
      <w:r>
        <w:rPr/>
        <w:t xml:space="preserve">According to Klein, these incentives can lead to long-term contracts that actually </w:t>
      </w:r>
      <w:r>
        <w:rPr>
          <w:i/>
          <w:iCs/>
        </w:rPr>
        <w:t>create</w:t>
      </w:r>
      <w:r>
        <w:rPr/>
        <w:t xml:space="preserve"> hold-up and opportunistic behavior.  This result is seemingly ironic, since firms ostensibly pursue long-term contracts in order to block the possibility of hold-up. Klein suggests that the transaction costs resulting from a firm’s attempts to create or prevent hold-up in the market contracting process are significant enough to push the firm toward the alternative—vertical integration.</w:t>
      </w:r>
    </w:p>
    <w:p>
      <w:pPr>
        <w:pStyle w:val="Normal"/>
        <w:spacing w:lineRule="auto" w:line="480"/>
        <w:ind w:firstLine="720" w:end="0"/>
        <w:rPr/>
      </w:pPr>
      <w:r>
        <w:rPr/>
        <w:t>Of interest is the extent to which Klein, who embraces much of Coase’s seminal work on the nature the firm, challenges one of Coase’s fundamental precepts.  In Coase’s view, opportunistic behavior—hold-up in this case—does not justify vertical integration.  Instead, Coase asserts that firms can effectively thwart the threat of opportunistic behavior via hold-up through long-term contracts. As such, Coase considered and rejected the notion that the threat of hold-up leads to vertical integration.</w:t>
      </w:r>
    </w:p>
    <w:p>
      <w:pPr>
        <w:pStyle w:val="Normal"/>
        <w:spacing w:lineRule="auto" w:line="480"/>
        <w:ind w:firstLine="720" w:end="0"/>
        <w:rPr/>
      </w:pPr>
      <w:r>
        <w:rPr/>
        <w:t>Klein takes the opposite position, claiming that long-term contracts executed in conjunction with firm-specific investments may create the precise hold-up that Coase suggests they are so effective at eliminating.  Coase uses the Fisher-GM case to support his theory.</w:t>
      </w:r>
    </w:p>
    <w:p>
      <w:pPr>
        <w:pStyle w:val="Normal"/>
        <w:spacing w:lineRule="auto" w:line="480"/>
        <w:rPr>
          <w:b/>
          <w:bCs/>
          <w:i/>
          <w:i/>
          <w:iCs/>
        </w:rPr>
      </w:pPr>
      <w:r>
        <w:rPr>
          <w:b/>
          <w:bCs/>
          <w:i/>
          <w:iCs/>
        </w:rPr>
        <w:t>What explanation does the author of the study offer for the observed facts?</w:t>
      </w:r>
    </w:p>
    <w:p>
      <w:pPr>
        <w:pStyle w:val="Normal"/>
        <w:spacing w:lineRule="auto" w:line="480"/>
        <w:rPr/>
      </w:pPr>
      <w:r>
        <w:rPr/>
        <w:tab/>
        <w:t>Klein draws on a contract struck between Fisher Body and General Motors in the early part of the 20</w:t>
      </w:r>
      <w:r>
        <w:rPr>
          <w:vertAlign w:val="superscript"/>
        </w:rPr>
        <w:t>th</w:t>
      </w:r>
      <w:r>
        <w:rPr/>
        <w:t xml:space="preserve"> century to make his case.  He begins with the fact that GM agreed to enter into a long-term, fixed price contract from Fisher. In return, Fisher agreed to construct a facility dedicated to supplying GM with the closed metal bodies. At the time, closed metal bodies were looked at as a “novelty item,” and open body models made of wood enjoyed the dominant market position. </w:t>
      </w:r>
    </w:p>
    <w:p>
      <w:pPr>
        <w:pStyle w:val="Normal"/>
        <w:spacing w:lineRule="auto" w:line="480"/>
        <w:ind w:firstLine="720" w:end="0"/>
        <w:rPr/>
      </w:pPr>
      <w:r>
        <w:rPr/>
        <w:t xml:space="preserve">The fixed-price contract was designed to prevent GM from holding up Fisher.  Likewise, the contract placed constraints on Fisher to ensure that Fisher did not in turn use the long-term, fixed-price exclusive contract to hold-up GM.  Those constraints included provisions designed to ensure that contract prices were set at “competitive levels” over the life of the contract and a “most favored nation” (MFN) clause requiring Fisher to sell to GM at prices comparable to those Fisher charged other competitors. </w:t>
      </w:r>
    </w:p>
    <w:p>
      <w:pPr>
        <w:pStyle w:val="Normal"/>
        <w:spacing w:lineRule="auto" w:line="480"/>
        <w:ind w:firstLine="720" w:end="0"/>
        <w:rPr/>
      </w:pPr>
      <w:r>
        <w:rPr/>
        <w:t>Yet despite efforts to use market contracting to prevent either party from creating and exploiting a hold-up opportunity, the hold-up occurred nonetheless.  The opportunity for hold-up arose out of changed market conditions that Klein argues neither party anticipated. In short, the closed body metal eclipsed the open body wooden as the market standard. As such, changed market conditions transformed the counter-party at risk for hold-up—Fisher—into the counter-party with the opportunity to hold-up.  In a market where metal bodies dominate, the contract left GM with nowhere to turn, and left Fisher with the prospect of gaining substantially more through hold-up than it might lose from any damage to its reputation and loss future sales, according to Klein.</w:t>
      </w:r>
    </w:p>
    <w:p>
      <w:pPr>
        <w:pStyle w:val="Normal"/>
        <w:spacing w:lineRule="auto" w:line="480"/>
        <w:ind w:firstLine="720" w:end="0"/>
        <w:rPr/>
      </w:pPr>
      <w:r>
        <w:rPr/>
        <w:t>Klein uses the GM-Fisher case to support his claim that long-term contracts cannot, as Coase argues, act as a perfect substitute for vertical integration.  Indeed, in this case, the contract designed to prevent hold-up led to its creation.  To further support his view, Klein explains that, faced with hold-up stemming from a high level of firm-specific investment, GM’s ultimately decided to purchase Fisher and integrate vertically</w:t>
      </w:r>
    </w:p>
    <w:p>
      <w:pPr>
        <w:pStyle w:val="Normal"/>
        <w:spacing w:lineRule="auto" w:line="480"/>
        <w:rPr>
          <w:b/>
          <w:bCs/>
          <w:i/>
          <w:i/>
          <w:iCs/>
        </w:rPr>
      </w:pPr>
      <w:r>
        <w:rPr>
          <w:b/>
          <w:bCs/>
          <w:i/>
          <w:iCs/>
        </w:rPr>
        <w:t>Do you find the author’s theory convincing?  Why and/or why not?</w:t>
      </w:r>
    </w:p>
    <w:p>
      <w:pPr>
        <w:pStyle w:val="Normal"/>
        <w:spacing w:lineRule="auto" w:line="480"/>
        <w:rPr/>
      </w:pPr>
      <w:r>
        <w:rPr/>
        <w:tab/>
        <w:t xml:space="preserve">Klein’s arguments are persuasive, though not without weaknesses.  Klein makes good use of the Fisher-GM case to refute some of Coase’s core arguments.  For example, Coase argues that long-term contracts can effectively mitigate the potential for opportunistic behavior in the face of firm-specific investment.  Yet Klein shows how the long-term contract between Fisher and GM actually </w:t>
      </w:r>
      <w:r>
        <w:rPr>
          <w:i/>
          <w:iCs/>
        </w:rPr>
        <w:t>contributed</w:t>
      </w:r>
      <w:r>
        <w:rPr/>
        <w:t xml:space="preserve"> to the hold-up.  The contract was designed to prevent Fisher and GM from gaining the opportunity to engage in hold-up. But once the market for bodies changed, the contract put Fisher in position to engage in the sort of hold-up the contact was purported to prevent.  In short, the long-term contract was ineffective in preventing hold-up.</w:t>
      </w:r>
    </w:p>
    <w:p>
      <w:pPr>
        <w:pStyle w:val="Normal"/>
        <w:spacing w:lineRule="auto" w:line="480"/>
        <w:rPr/>
      </w:pPr>
      <w:r>
        <w:rPr/>
        <w:tab/>
        <w:t>Klein also analyzes the transaction costs associated with the market contracting process in a way that supports the basic premise of his theory and expands on Coase’s analysis of transaction costs.</w:t>
      </w:r>
    </w:p>
    <w:p>
      <w:pPr>
        <w:pStyle w:val="Normal"/>
        <w:spacing w:lineRule="auto" w:line="480"/>
        <w:rPr/>
      </w:pPr>
      <w:r>
        <w:rPr/>
        <w:tab/>
        <w:t xml:space="preserve">According to Coase, the transaction costs associated with market contracting arise principally from “inking” the contract; that is, from the act of writing and executing contracts.  Klein looks further and identifies the significant costs that arise in his view when firms attempt to manipulate contract provisions to their advantage in the hopes of creating the potential to hold-up their counter-party.  Klein argues that the costs contracting parties incur in attempts to create and/or prevent hold-up can be significant.  He argues further that once hold-up has occurred, the transaction costs of re-negotiating the contract to correct the hold-up problem can be equally significant.  </w:t>
      </w:r>
    </w:p>
    <w:p>
      <w:pPr>
        <w:pStyle w:val="Normal"/>
        <w:spacing w:lineRule="auto" w:line="480"/>
        <w:rPr/>
      </w:pPr>
      <w:r>
        <w:rPr/>
        <w:tab/>
        <w:t>The Fisher-GM case provides support for Klein’s assertions regarding transaction costs associated with the market contracting process in the case of firm-specific investments.  The case also tends to support Klein’s premise that the greater the magnitude of the firm-specific investment, the greater the likelihood and therefore the greater the incentive to integrate vertically.  The increased likelihood stems from the fact that the benefits of hold-up related to the firm-specific investment significantly outweighed consideration over reputational effects.</w:t>
      </w:r>
    </w:p>
    <w:p>
      <w:pPr>
        <w:pStyle w:val="Normal"/>
        <w:spacing w:lineRule="auto" w:line="480"/>
        <w:rPr/>
      </w:pPr>
      <w:r>
        <w:rPr/>
        <w:tab/>
        <w:t xml:space="preserve">There are weaknesses in Klein’s argument, however.  While it is true that contracts are inherently prone to incompleteness, Klein does not explore the extent to which GM attempted to hedge the risk that it faced if the market changed.  In other words, while issues tied to bounded rationality will always persist, is it inconceivable that GM could have engaged in some level of scenario analysis, identified the possibility of increased demand for closed metal bodies, and attempted to address that risk as part of the contract with Fisher?  </w:t>
      </w:r>
    </w:p>
    <w:p>
      <w:pPr>
        <w:pStyle w:val="Normal"/>
        <w:spacing w:lineRule="auto" w:line="480"/>
        <w:ind w:firstLine="720" w:end="0"/>
        <w:rPr/>
      </w:pPr>
      <w:r>
        <w:rPr/>
        <w:t>Arguably, at the time of the case, GM and Fisher did not have access to the sort of sophisticated scenario analyses and risk management tools that firms routinely use today.  Nonetheless, Klein’s qualitative analysis (“the greater the firm-specific investment, the greater the transaction costs, the greater the benefits of vertical integration”) might benefit if his cost analysis included the ability to combine contracting with risk hedging.  This would not eliminate the transaction costs to which Klein refers, but it might very well have an impact on the decision to integrate vertically or contract.</w:t>
      </w:r>
    </w:p>
    <w:p>
      <w:pPr>
        <w:pStyle w:val="BodyText2"/>
        <w:rPr/>
      </w:pPr>
      <w:r>
        <w:rPr/>
        <w:t>What alternative explanations would you want to investigate for the empirical evidence?  Are there any explanations you think are likely to be as, or more, important?</w:t>
      </w:r>
    </w:p>
    <w:p>
      <w:pPr>
        <w:pStyle w:val="Normal"/>
        <w:spacing w:lineRule="auto" w:line="480"/>
        <w:rPr/>
      </w:pPr>
      <w:r>
        <w:rPr/>
        <w:tab/>
        <w:t>As discussed above, there is some question regarding the extent to which GM engaged in the appropriate level of risk management, despite the fact that firms will never avoid issues tied to bounded rationality and contract incompleteness.  Clearly, GM is—and was—a very large, sophisticated company, and it may be unfair to assume that in the GM/Fisher case, GM could have done a better job of addressing the risks created by the firm-specific investment.  However, Klein’s argument might benefit from additional analysis regarding the extent to which GM’s contemporaries attempted to hedge market risk of the sort experienced by GM in the case, i.e., the “unexpected” and significant increase in demand for closed metal bodies.</w:t>
      </w:r>
    </w:p>
    <w:p>
      <w:pPr>
        <w:pStyle w:val="Normal"/>
        <w:spacing w:lineRule="auto" w:line="480"/>
        <w:rPr/>
      </w:pPr>
      <w:r>
        <w:rPr/>
        <w:tab/>
        <w:t>Again, Klein’s argument is still valid and fairly compelling.  The question is, armed with additional analysis regarding the ability to employ risk management tools, would Klein temper his conclusions without altering his core findings.  That is, by not explicitly considering the ability to manage market risk, has Klein overstated somewhat the extent to which firm-specific investment provides incentives to integrate vertically?  Klein makes a good case that firm-specific investment provides the incentive, but the case is less strong regarding just how strong those incentives are.  And Klein himself recognizes in the article that firm-specific investment—even large ones—will not necessarily lead to vertical integration.</w:t>
      </w:r>
    </w:p>
    <w:p>
      <w:pPr>
        <w:pStyle w:val="Normal"/>
        <w:spacing w:lineRule="auto" w:line="480"/>
        <w:rPr/>
      </w:pPr>
      <w:r>
        <w:rPr/>
        <w:tab/>
        <w:t>This is not to say that Klein failed to offer a compelling argument refuting Coase’s assertion that opportunism is not a justification for vertical integration.  In that respect, he seems to succeed in the article.  Rather, it’s a matter of degree.  With additional analysis regarding risk management, might Klein alter his conclusion to say, “</w:t>
      </w:r>
      <w:r>
        <w:rPr>
          <w:i/>
          <w:iCs/>
        </w:rPr>
        <w:t>Absent the ability to employ risk management tools</w:t>
      </w:r>
      <w:r>
        <w:rPr/>
        <w:t>, the greater the firm-specific investment, the greater the likelihood of vertical integration?”</w:t>
      </w:r>
    </w:p>
    <w:p>
      <w:pPr>
        <w:pStyle w:val="Normal"/>
        <w:spacing w:lineRule="auto" w:line="480"/>
        <w:rPr>
          <w:i/>
          <w:i/>
          <w:iCs/>
        </w:rPr>
      </w:pPr>
      <w:r>
        <w:rPr>
          <w:b/>
          <w:bCs/>
          <w:i/>
          <w:iCs/>
        </w:rPr>
        <w:t>What applied value does the study have in the business setting?</w:t>
      </w:r>
    </w:p>
    <w:p>
      <w:pPr>
        <w:pStyle w:val="Normal"/>
        <w:spacing w:lineRule="auto" w:line="480"/>
        <w:rPr/>
      </w:pPr>
      <w:r>
        <w:rPr/>
        <w:tab/>
        <w:t xml:space="preserve">The study has a high degree of applied value in the business setting.  The case does a very good job of illustrating the extent to which firms must understand and confront the role of uncertainty and the risks that accompany it.  Arguably, both GM and Fisher did everything right and acted rationally.  GM needed the bodies, and recognized that Fisher faced risks in the form of firm-specific investment in order to supply them.  In return, Fisher agreed to a long-term, exclusive purchase agreement.  </w:t>
      </w:r>
    </w:p>
    <w:p>
      <w:pPr>
        <w:pStyle w:val="Normal"/>
        <w:spacing w:lineRule="auto" w:line="480"/>
        <w:ind w:firstLine="720" w:end="0"/>
        <w:rPr/>
      </w:pPr>
      <w:r>
        <w:rPr/>
        <w:t>For its part, Fisher presumably recognized that the exclusive purchase agreement provided it with the opportunity for “reverse hold-up” of GM.  In return, Fisher agreed to “competitive pricing” and MFN provisions in the contract.</w:t>
      </w:r>
    </w:p>
    <w:p>
      <w:pPr>
        <w:pStyle w:val="Normal"/>
        <w:spacing w:lineRule="auto" w:line="480"/>
        <w:ind w:firstLine="720" w:end="0"/>
        <w:rPr/>
      </w:pPr>
      <w:r>
        <w:rPr/>
        <w:t>Perhaps what neither contemplated was the uncertainty with respect to future demand for automobile bodies—would the market demand wood bodies, metal bodies, or bodies made of some other material?  In this regard, Klein does a very good job in two key respects.  First, he shows that uncertainty—and the risks and potential for opportunism that arise from it—makes Coase’s “make or buy” analysis less “black and white” than Coase would like.  Indeed, Klein is persuasive in demonstrating that long-term contracts are not full-proof in handling opportunism, particularly when the deal includes firm-specific investment and uncertainty, thereby making the “make or buy” decision more complicated still.</w:t>
      </w:r>
    </w:p>
    <w:p>
      <w:pPr>
        <w:pStyle w:val="Normal"/>
        <w:spacing w:lineRule="auto" w:line="480"/>
        <w:ind w:firstLine="720" w:end="0"/>
        <w:rPr/>
      </w:pPr>
      <w:r>
        <w:rPr/>
        <w:t>On the other hand, what would have happened if GM had vertically integrated at the outset and the demand for bodies had unexpectedly changed, for example, from closed metal bodies to closed plastic bodies?  Would GM have been criticized for having focused too much on transaction costs associated with opportunism—a focus that ultimately led to a significant level of stranded plant?</w:t>
      </w:r>
    </w:p>
    <w:p>
      <w:pPr>
        <w:pStyle w:val="Normal"/>
        <w:spacing w:lineRule="auto" w:line="480"/>
        <w:ind w:firstLine="720" w:end="0"/>
        <w:rPr/>
      </w:pPr>
      <w:r>
        <w:rPr/>
        <w:t>In sum, Klein accomplishes two things that have significant practical application.  First, he shows that seemingly steadfast rules regarding “make or buy”—even rules developed by someone as distinguished as Coase—may not be as steadfast as first thought, particularly when firm-specific assets are involved.  Second, he shows that it is critical to scrutinize carefully the uncertainty and risk surrounding the deal and apply that analysis to the make or buy decision.</w:t>
      </w:r>
    </w:p>
    <w:sectPr>
      <w:headerReference w:type="default" r:id="rId2"/>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Klein, Benjamin.  “Vertical Integration as Organizational Ownership:  The Fisher Body-General Motors Relationship Revisited,” pp 165-178, in </w:t>
      </w:r>
      <w:r>
        <w:rPr>
          <w:i/>
          <w:iCs/>
        </w:rPr>
        <w:t>Case Studies in Contracting and Organization</w:t>
      </w:r>
      <w:r>
        <w:rPr/>
        <w:t>, edited by Scott E. Masten.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b/>
      <w:tab/>
      <w:t>Jeffrey Dasovich</w:t>
    </w:r>
  </w:p>
  <w:p>
    <w:pPr>
      <w:pStyle w:val="Header"/>
      <w:jc w:val="end"/>
      <w:rPr>
        <w:sz w:val="20"/>
      </w:rPr>
    </w:pPr>
    <w:r>
      <w:rPr>
        <w:sz w:val="20"/>
      </w:rPr>
      <w:tab/>
      <w:tab/>
      <w:t>Professor Shelansky/E278</w:t>
    </w:r>
  </w:p>
  <w:p>
    <w:pPr>
      <w:pStyle w:val="Header"/>
      <w:jc w:val="end"/>
      <w:rPr>
        <w:sz w:val="20"/>
      </w:rPr>
    </w:pPr>
    <w:r>
      <w:rPr>
        <w:sz w:val="20"/>
      </w:rPr>
      <w:t>GM/Fisher Case</w:t>
    </w:r>
  </w:p>
  <w:p>
    <w:pPr>
      <w:pStyle w:val="Header"/>
      <w:jc w:val="end"/>
      <w:rPr>
        <w:sz w:val="20"/>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p>
    <w:pPr>
      <w:pStyle w:val="Header"/>
      <w:jc w:val="end"/>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720" w:start="0" w:end="0"/>
    </w:pPr>
    <w:rPr/>
  </w:style>
  <w:style w:type="paragraph" w:styleId="BodyText2">
    <w:name w:val="Body Text 2"/>
    <w:basedOn w:val="Normal"/>
    <w:qFormat/>
    <w:pPr>
      <w:spacing w:lineRule="auto" w:line="480"/>
    </w:pPr>
    <w:rPr>
      <w:b/>
      <w:bCs/>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2001-10-31T21:01:00Z</dcterms:created>
  <dc:creator>Jeffrey Owen Dasovic</dc:creator>
  <dc:description/>
  <dc:language>en-CA</dc:language>
  <cp:lastModifiedBy>jdasovic</cp:lastModifiedBy>
  <cp:lastPrinted>2001-10-31T16:23:00Z</cp:lastPrinted>
  <dcterms:modified xsi:type="dcterms:W3CDTF">2001-10-31T21:03:00Z</dcterms:modified>
  <cp:revision>3</cp:revision>
  <dc:subject/>
  <dc:title>What is the phenomenon to be explained and why is it interesting</dc:title>
</cp:coreProperties>
</file>