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i/>
          <w:i/>
          <w:iCs/>
        </w:rPr>
      </w:pPr>
      <w:r>
        <w:rPr>
          <w:b/>
          <w:bCs/>
          <w:i/>
          <w:iCs/>
        </w:rPr>
        <w:t>What is the phenomenon to be explained and why is it interesting?</w:t>
      </w:r>
    </w:p>
    <w:p>
      <w:pPr>
        <w:pStyle w:val="Normal"/>
        <w:numPr>
          <w:ilvl w:val="0"/>
          <w:numId w:val="3"/>
        </w:numPr>
        <w:tabs>
          <w:tab w:val="clear" w:pos="720"/>
        </w:tabs>
        <w:ind w:hanging="360" w:start="360" w:end="0"/>
        <w:rPr/>
      </w:pPr>
      <w:r>
        <w:rPr/>
        <w:t>Firm-specific investment increase transaction costs (via quasi-rents captured through hold-up)</w:t>
      </w:r>
    </w:p>
    <w:p>
      <w:pPr>
        <w:pStyle w:val="Normal"/>
        <w:numPr>
          <w:ilvl w:val="0"/>
          <w:numId w:val="3"/>
        </w:numPr>
        <w:tabs>
          <w:tab w:val="clear" w:pos="720"/>
        </w:tabs>
        <w:ind w:hanging="360" w:start="360" w:end="0"/>
        <w:rPr/>
      </w:pPr>
      <w:r>
        <w:rPr/>
        <w:t>The greater the firm-specific investment, the greater the tendency toward vertical integration</w:t>
      </w:r>
    </w:p>
    <w:p>
      <w:pPr>
        <w:pStyle w:val="Normal"/>
        <w:numPr>
          <w:ilvl w:val="0"/>
          <w:numId w:val="3"/>
        </w:numPr>
        <w:tabs>
          <w:tab w:val="clear" w:pos="720"/>
        </w:tabs>
        <w:ind w:hanging="360" w:start="360" w:end="0"/>
        <w:rPr/>
      </w:pPr>
      <w:r>
        <w:rPr/>
        <w:t>In short, Klein sez that the vertical integration is the direct result of opportunistic behavior—behavior permitted by hold up.  In a word, Vertical integration reduces the transaction costs (rents from opportunistic behavior due to hold) that arise in the market contracting process.</w:t>
      </w:r>
    </w:p>
    <w:p>
      <w:pPr>
        <w:pStyle w:val="Normal"/>
        <w:numPr>
          <w:ilvl w:val="0"/>
          <w:numId w:val="3"/>
        </w:numPr>
        <w:tabs>
          <w:tab w:val="clear" w:pos="720"/>
        </w:tabs>
        <w:ind w:hanging="360" w:start="360" w:end="0"/>
        <w:rPr/>
      </w:pPr>
      <w:r>
        <w:rPr/>
        <w:t>In addition to the costs of rents linked to hold up, there are the additional costs derived from the inflexibility inherent in the terms of L-T contracts associated the firm-specific investments.</w:t>
      </w:r>
    </w:p>
    <w:p>
      <w:pPr>
        <w:pStyle w:val="Normal"/>
        <w:numPr>
          <w:ilvl w:val="0"/>
          <w:numId w:val="3"/>
        </w:numPr>
        <w:tabs>
          <w:tab w:val="clear" w:pos="720"/>
        </w:tabs>
        <w:ind w:hanging="360" w:start="360" w:end="0"/>
        <w:rPr/>
      </w:pPr>
      <w:r>
        <w:rPr/>
        <w:t>The point:  Contracts may prevent hold-up problems, but may also CREAT hold-up problems.  Thus refuting Coase the opportunism is effectively checked by L-T contracts and reputational concerns.</w:t>
      </w:r>
    </w:p>
    <w:p>
      <w:pPr>
        <w:pStyle w:val="Normal"/>
        <w:numPr>
          <w:ilvl w:val="0"/>
          <w:numId w:val="3"/>
        </w:numPr>
        <w:tabs>
          <w:tab w:val="clear" w:pos="720"/>
        </w:tabs>
        <w:ind w:hanging="360" w:start="360" w:end="0"/>
        <w:rPr/>
      </w:pPr>
      <w:r>
        <w:rPr/>
        <w:t>The hold-up derived rents created by the change in market conditions (and caused by the exclusive, fixed price contract terms) actually exceeded the rents associated with the firm-specific Fisher investment, pushing Fisher outside the self-enforcing range.</w:t>
      </w:r>
    </w:p>
    <w:p>
      <w:pPr>
        <w:pStyle w:val="Normal"/>
        <w:numPr>
          <w:ilvl w:val="0"/>
          <w:numId w:val="3"/>
        </w:numPr>
        <w:tabs>
          <w:tab w:val="clear" w:pos="720"/>
        </w:tabs>
        <w:ind w:hanging="360" w:start="360" w:end="0"/>
        <w:rPr/>
      </w:pPr>
      <w:r>
        <w:rPr/>
        <w:t>To avoid this parties often leave terms incomplete in order to give themselves an out if market conditions exceed a certain band.</w:t>
      </w:r>
    </w:p>
    <w:p>
      <w:pPr>
        <w:pStyle w:val="Normal"/>
        <w:numPr>
          <w:ilvl w:val="0"/>
          <w:numId w:val="3"/>
        </w:numPr>
        <w:tabs>
          <w:tab w:val="clear" w:pos="720"/>
        </w:tabs>
        <w:ind w:hanging="360" w:start="360" w:end="0"/>
        <w:rPr/>
      </w:pPr>
      <w:r>
        <w:rPr/>
        <w:t>The contractually-created hold up and the significant transaction costs associated with rigid ex-post incorrect contract terms that represent the problems with relying on the market mechanism to resolve hold-up problems.  (i.e., resources “dissipated” to create hold up and execute on the hold at renegotiation)  In the Fisher case, during renegotiation, the issues in favor of Fisher were 1) bad plant placement and 2) low capital intensity (i.e., high variable costs) prior to the vertical integration response</w:t>
      </w:r>
    </w:p>
    <w:p>
      <w:pPr>
        <w:pStyle w:val="Normal"/>
        <w:numPr>
          <w:ilvl w:val="0"/>
          <w:numId w:val="3"/>
        </w:numPr>
        <w:tabs>
          <w:tab w:val="clear" w:pos="720"/>
        </w:tabs>
        <w:ind w:hanging="360" w:start="360" w:end="0"/>
        <w:rPr/>
      </w:pPr>
      <w:r>
        <w:rPr/>
        <w:t>Coase disagrees, asserting that the problem can be addressed (mitigated) via contract (i.e., long-term contract just as likely as vertical integration).  In fact, Coase rejected it.  When Coase talks about transaction costs tied to contracting in the “make or buy decision,” he refers to the “ink” costs linked to writing and executing contracts.</w:t>
      </w:r>
    </w:p>
    <w:p>
      <w:pPr>
        <w:pStyle w:val="Normal"/>
        <w:numPr>
          <w:ilvl w:val="0"/>
          <w:numId w:val="3"/>
        </w:numPr>
        <w:tabs>
          <w:tab w:val="clear" w:pos="720"/>
        </w:tabs>
        <w:ind w:hanging="360" w:start="360" w:end="0"/>
        <w:rPr/>
      </w:pPr>
      <w:r>
        <w:rPr/>
        <w:t>Thesis:  Coase applies to simplistic a view of market transacting process and too narrow a view of transaction costs associated with the process.</w:t>
      </w:r>
    </w:p>
    <w:p>
      <w:pPr>
        <w:pStyle w:val="Normal"/>
        <w:numPr>
          <w:ilvl w:val="0"/>
          <w:numId w:val="3"/>
        </w:numPr>
        <w:tabs>
          <w:tab w:val="clear" w:pos="720"/>
        </w:tabs>
        <w:ind w:hanging="360" w:start="360" w:end="0"/>
        <w:rPr/>
      </w:pPr>
      <w:r>
        <w:rPr/>
        <w:t>Directing inputs is not the issue, however (as Coase might claim).  Vertical integration has no real advantage here.  Directing inputs is not what makes a firm. Even with integration, may not direct inputs (e.g., conglomerate).  Without firm-specific investment, everything can be coordinated through the market.</w:t>
      </w:r>
    </w:p>
    <w:p>
      <w:pPr>
        <w:pStyle w:val="Normal"/>
        <w:rPr/>
      </w:pPr>
      <w:r>
        <w:rPr/>
      </w:r>
    </w:p>
    <w:p>
      <w:pPr>
        <w:pStyle w:val="Normal"/>
        <w:rPr>
          <w:b/>
          <w:bCs/>
          <w:i/>
          <w:i/>
          <w:iCs/>
        </w:rPr>
      </w:pPr>
      <w:r>
        <w:rPr>
          <w:b/>
          <w:bCs/>
          <w:i/>
          <w:iCs/>
        </w:rPr>
        <w:t>Why vertical integration as opposed to lump-sum payment and contract renegotiation?</w:t>
      </w:r>
    </w:p>
    <w:p>
      <w:pPr>
        <w:pStyle w:val="Normal"/>
        <w:numPr>
          <w:ilvl w:val="0"/>
          <w:numId w:val="4"/>
        </w:numPr>
        <w:tabs>
          <w:tab w:val="clear" w:pos="720"/>
        </w:tabs>
        <w:ind w:hanging="360" w:start="360" w:end="0"/>
        <w:rPr/>
      </w:pPr>
      <w:r>
        <w:rPr/>
        <w:t>Fisher became incredibly prominent as market shifted to metal bodies, making Fisher’s hold-up increasingly significant.</w:t>
      </w:r>
    </w:p>
    <w:p>
      <w:pPr>
        <w:pStyle w:val="Normal"/>
        <w:numPr>
          <w:ilvl w:val="0"/>
          <w:numId w:val="4"/>
        </w:numPr>
        <w:tabs>
          <w:tab w:val="clear" w:pos="720"/>
        </w:tabs>
        <w:ind w:hanging="360" w:start="360" w:end="0"/>
        <w:rPr/>
      </w:pPr>
      <w:r>
        <w:rPr/>
        <w:t>But even vertical integration doesn’t necessarily solve the problem, since human capital, cannot be “owned” like physical capital can.  And human capital can continue to act opportunistically.  Does vertical integration help?</w:t>
      </w:r>
    </w:p>
    <w:p>
      <w:pPr>
        <w:pStyle w:val="Normal"/>
        <w:numPr>
          <w:ilvl w:val="0"/>
          <w:numId w:val="4"/>
        </w:numPr>
        <w:tabs>
          <w:tab w:val="clear" w:pos="720"/>
        </w:tabs>
        <w:ind w:hanging="360" w:start="360" w:end="0"/>
        <w:rPr/>
      </w:pPr>
      <w:r>
        <w:rPr/>
        <w:t xml:space="preserve">Need to ask question “make or buy input,” as opposed to “make or buy asset.” </w:t>
      </w:r>
    </w:p>
    <w:p>
      <w:pPr>
        <w:pStyle w:val="Normal"/>
        <w:numPr>
          <w:ilvl w:val="0"/>
          <w:numId w:val="4"/>
        </w:numPr>
        <w:tabs>
          <w:tab w:val="clear" w:pos="720"/>
        </w:tabs>
        <w:ind w:hanging="360" w:start="360" w:end="0"/>
        <w:rPr/>
      </w:pPr>
      <w:r>
        <w:rPr/>
        <w:t>Could just own capital and use Fisher labor (though get distortions from Fisher “abusing” GM capital, but at least avoid hold up).</w:t>
      </w:r>
    </w:p>
    <w:p>
      <w:pPr>
        <w:pStyle w:val="Normal"/>
        <w:numPr>
          <w:ilvl w:val="0"/>
          <w:numId w:val="4"/>
        </w:numPr>
        <w:tabs>
          <w:tab w:val="clear" w:pos="720"/>
        </w:tabs>
        <w:ind w:hanging="360" w:start="360" w:end="0"/>
        <w:rPr/>
      </w:pPr>
      <w:r>
        <w:rPr/>
        <w:t>But can’t own human capital, so hold-up can occur there, too, even if GM finances the human capital investment, in which case Fisher would simply capture rents of human capital investment</w:t>
      </w:r>
    </w:p>
    <w:p>
      <w:pPr>
        <w:pStyle w:val="Normal"/>
        <w:numPr>
          <w:ilvl w:val="0"/>
          <w:numId w:val="4"/>
        </w:numPr>
        <w:tabs>
          <w:tab w:val="clear" w:pos="720"/>
        </w:tabs>
        <w:ind w:hanging="360" w:start="360" w:end="0"/>
        <w:rPr/>
      </w:pPr>
      <w:r>
        <w:rPr/>
        <w:t>By owning the plant, GM could tell Fisher where to put them, but GM still has the human capital hold up problem.</w:t>
      </w:r>
    </w:p>
    <w:p>
      <w:pPr>
        <w:pStyle w:val="Normal"/>
        <w:numPr>
          <w:ilvl w:val="0"/>
          <w:numId w:val="4"/>
        </w:numPr>
        <w:tabs>
          <w:tab w:val="clear" w:pos="720"/>
        </w:tabs>
        <w:ind w:hanging="360" w:start="360" w:end="0"/>
        <w:rPr/>
      </w:pPr>
      <w:r>
        <w:rPr/>
        <w:t>Agrees with Coase that employer-employee relationship is not the essence of firm.</w:t>
      </w:r>
    </w:p>
    <w:p>
      <w:pPr>
        <w:pStyle w:val="Normal"/>
        <w:numPr>
          <w:ilvl w:val="0"/>
          <w:numId w:val="4"/>
        </w:numPr>
        <w:tabs>
          <w:tab w:val="clear" w:pos="720"/>
        </w:tabs>
        <w:ind w:hanging="360" w:start="360" w:end="0"/>
        <w:rPr/>
      </w:pPr>
      <w:r>
        <w:rPr/>
        <w:t>Switch from independent contract to employees therefore doesn’t explain the gains from vertical integration.</w:t>
      </w:r>
    </w:p>
    <w:p>
      <w:pPr>
        <w:pStyle w:val="Normal"/>
        <w:numPr>
          <w:ilvl w:val="0"/>
          <w:numId w:val="4"/>
        </w:numPr>
        <w:tabs>
          <w:tab w:val="clear" w:pos="720"/>
        </w:tabs>
        <w:ind w:hanging="360" w:start="360" w:end="0"/>
        <w:rPr/>
      </w:pPr>
      <w:r>
        <w:rPr/>
        <w:t>By owning the labor contracts and firm-specific knowledge embedded in the organiazation—THAT’s how GM owns Fisher human capital.  Makes collusion among labor very difficult because Fisher has acquired Fishers’s “organizational” capital.</w:t>
      </w:r>
    </w:p>
    <w:p>
      <w:pPr>
        <w:pStyle w:val="Normal"/>
        <w:numPr>
          <w:ilvl w:val="0"/>
          <w:numId w:val="4"/>
        </w:numPr>
        <w:tabs>
          <w:tab w:val="clear" w:pos="720"/>
        </w:tabs>
        <w:ind w:hanging="360" w:start="360" w:end="0"/>
        <w:rPr/>
      </w:pPr>
      <w:r>
        <w:rPr/>
        <w:t>From market to integration, there’s really only one less contract—not the number of contracts that change, but the nature of the contract.  Less complex contract, with fewer provisions, less legal constraints, and therefore much for flexibility and less possibility for hold up. Can wait for events to happen and then react, rather than have to guess everything up front and put in contract.</w:t>
      </w:r>
    </w:p>
    <w:p>
      <w:pPr>
        <w:pStyle w:val="Normal"/>
        <w:numPr>
          <w:ilvl w:val="0"/>
          <w:numId w:val="4"/>
        </w:numPr>
        <w:tabs>
          <w:tab w:val="clear" w:pos="720"/>
        </w:tabs>
        <w:ind w:hanging="360" w:start="360" w:end="0"/>
        <w:rPr/>
      </w:pPr>
      <w:r>
        <w:rPr/>
        <w:t>Get rid of need to do all the ex ante contract manipulation, information asymmetries, etc. and the costs of associated with those activities.</w:t>
      </w:r>
    </w:p>
    <w:p>
      <w:pPr>
        <w:pStyle w:val="Normal"/>
        <w:numPr>
          <w:ilvl w:val="0"/>
          <w:numId w:val="4"/>
        </w:numPr>
        <w:tabs>
          <w:tab w:val="clear" w:pos="720"/>
        </w:tabs>
        <w:ind w:hanging="360" w:start="360" w:end="0"/>
        <w:rPr/>
      </w:pPr>
      <w:r>
        <w:rPr/>
        <w:t>Also avoid all the renegotiation costs, once hold has occurred.</w:t>
      </w:r>
    </w:p>
    <w:p>
      <w:pPr>
        <w:pStyle w:val="Normal"/>
        <w:rPr>
          <w:b/>
          <w:bCs/>
        </w:rPr>
      </w:pPr>
      <w:r>
        <w:rPr>
          <w:b/>
          <w:bCs/>
        </w:rPr>
        <w:t>What explanation does the author of the study offer for the observed facts?</w:t>
      </w:r>
    </w:p>
    <w:p>
      <w:pPr>
        <w:pStyle w:val="Normal"/>
        <w:rPr>
          <w:b/>
          <w:bCs/>
        </w:rPr>
      </w:pPr>
      <w:r>
        <w:rPr>
          <w:b/>
          <w:bCs/>
        </w:rPr>
      </w:r>
    </w:p>
    <w:p>
      <w:pPr>
        <w:pStyle w:val="Normal"/>
        <w:rPr>
          <w:b/>
          <w:bCs/>
        </w:rPr>
      </w:pPr>
      <w:r>
        <w:rPr>
          <w:b/>
          <w:bCs/>
        </w:rPr>
        <w:t>Do you find the author’s theory convincing?  Why and/or why not?</w:t>
      </w:r>
    </w:p>
    <w:p>
      <w:pPr>
        <w:pStyle w:val="Normal"/>
        <w:rPr>
          <w:b/>
          <w:bCs/>
        </w:rPr>
      </w:pPr>
      <w:r>
        <w:rPr>
          <w:b/>
          <w:bCs/>
        </w:rPr>
      </w:r>
    </w:p>
    <w:p>
      <w:pPr>
        <w:pStyle w:val="BodyText"/>
        <w:rPr/>
      </w:pPr>
      <w:r>
        <w:rPr/>
        <w:t>What alternative explanations would you want to investigate for the empirical evidence?  Are there any explanations you think are likely to be as, or more, important?</w:t>
      </w:r>
    </w:p>
    <w:p>
      <w:pPr>
        <w:pStyle w:val="Normal"/>
        <w:rPr>
          <w:b/>
          <w:bCs/>
        </w:rPr>
      </w:pPr>
      <w:r>
        <w:rPr>
          <w:b/>
          <w:bCs/>
        </w:rPr>
      </w:r>
    </w:p>
    <w:p>
      <w:pPr>
        <w:pStyle w:val="Normal"/>
        <w:rPr>
          <w:b/>
          <w:bCs/>
        </w:rPr>
      </w:pPr>
      <w:r>
        <w:rPr>
          <w:b/>
          <w:bCs/>
        </w:rPr>
        <w:t>What applied value does the study have in the business setting?</w:t>
      </w:r>
    </w:p>
    <w:p>
      <w:pPr>
        <w:pStyle w:val="Normal"/>
        <w:rPr/>
      </w:pPr>
      <w:r>
        <w:rPr/>
      </w:r>
    </w:p>
    <w:p>
      <w:pPr>
        <w:pStyle w:val="Heading1"/>
        <w:ind w:hanging="0" w:start="0"/>
        <w:rPr/>
      </w:pPr>
      <w:r>
        <w:rPr/>
        <w:t>The Contract</w:t>
      </w:r>
    </w:p>
    <w:p>
      <w:pPr>
        <w:pStyle w:val="Normal"/>
        <w:numPr>
          <w:ilvl w:val="0"/>
          <w:numId w:val="2"/>
        </w:numPr>
        <w:tabs>
          <w:tab w:val="clear" w:pos="720"/>
        </w:tabs>
        <w:ind w:hanging="360" w:start="360" w:end="0"/>
        <w:rPr/>
      </w:pPr>
      <w:r>
        <w:rPr/>
        <w:t>To guard against hold up, Fisher made the investment in return for a L-T contract with GM, according to which GM was obligated to buy all bodies from Fisher for 10 years at an agreed to price. (Contract reduced Fisher’s reliance on GM’s reputational concerns in the hold-up situation.)</w:t>
      </w:r>
    </w:p>
    <w:p>
      <w:pPr>
        <w:pStyle w:val="Normal"/>
        <w:numPr>
          <w:ilvl w:val="0"/>
          <w:numId w:val="2"/>
        </w:numPr>
        <w:tabs>
          <w:tab w:val="clear" w:pos="720"/>
        </w:tabs>
        <w:ind w:hanging="360" w:start="360" w:end="0"/>
        <w:rPr/>
      </w:pPr>
      <w:r>
        <w:rPr/>
        <w:t>Contract attempted to mitigate Fisher’s ability to hold up GM (via the exclusivity provisions of the L-T contract itself) through “competitive” pricing provisions over the 10-year period and MFN clause.</w:t>
      </w:r>
    </w:p>
    <w:p>
      <w:pPr>
        <w:pStyle w:val="Normal"/>
        <w:numPr>
          <w:ilvl w:val="0"/>
          <w:numId w:val="2"/>
        </w:numPr>
        <w:tabs>
          <w:tab w:val="clear" w:pos="720"/>
        </w:tabs>
        <w:ind w:hanging="360" w:start="360" w:end="0"/>
        <w:rPr/>
      </w:pPr>
      <w:r>
        <w:rPr/>
        <w:t>But incompleteness creates some risk of hold up (and that’s exactly what occurred in the case of Fisher/GM)—can’t anticipate everything in order to lock “performance” into the contract.</w:t>
      </w:r>
    </w:p>
    <w:p>
      <w:pPr>
        <w:pStyle w:val="Normal"/>
        <w:numPr>
          <w:ilvl w:val="0"/>
          <w:numId w:val="2"/>
        </w:numPr>
        <w:tabs>
          <w:tab w:val="clear" w:pos="720"/>
        </w:tabs>
        <w:ind w:hanging="360" w:start="360" w:end="0"/>
        <w:rPr/>
      </w:pPr>
      <w:r>
        <w:rPr/>
        <w:t>Reputations can dampen incentives to hold up. Try to write contracts so reputational costs incent parties to stay within “self-enforcing” range w.r.t. reputation—but circumstances may change to such a degree that the benefits of capturing rents from hold-up may outweigh reputational costs.</w:t>
      </w:r>
    </w:p>
    <w:p>
      <w:pPr>
        <w:pStyle w:val="Normal"/>
        <w:numPr>
          <w:ilvl w:val="0"/>
          <w:numId w:val="2"/>
        </w:numPr>
        <w:tabs>
          <w:tab w:val="clear" w:pos="720"/>
        </w:tabs>
        <w:ind w:hanging="360" w:start="360" w:end="0"/>
        <w:rPr/>
      </w:pPr>
      <w:r>
        <w:rPr/>
        <w:t>Huge shift in demand for Fisher bodies pushed Fisher outside the “self-enforcing” range and made it profitable for Fisher to hold up.</w:t>
      </w:r>
    </w:p>
    <w:p>
      <w:pPr>
        <w:pStyle w:val="Normal"/>
        <w:numPr>
          <w:ilvl w:val="0"/>
          <w:numId w:val="2"/>
        </w:numPr>
        <w:tabs>
          <w:tab w:val="clear" w:pos="720"/>
        </w:tabs>
        <w:ind w:hanging="360" w:start="360" w:end="0"/>
        <w:rPr/>
      </w:pPr>
      <w:r>
        <w:rPr/>
        <w:t>Choice of hold up was to adopt inefficient production process which gave 17.6% return on variable cost (labor and transportation costs).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2001-10-28T12:58:00Z</dcterms:created>
  <dc:creator>Jeffrey Owen Dasovic</dc:creator>
  <dc:description/>
  <dc:language>en-CA</dc:language>
  <cp:lastModifiedBy>Jeffrey Owen Dasovic</cp:lastModifiedBy>
  <dcterms:modified xsi:type="dcterms:W3CDTF">2001-10-28T19:17:00Z</dcterms:modified>
  <cp:revision>26</cp:revision>
  <dc:subject/>
  <dc:title>·</dc:title>
</cp:coreProperties>
</file>