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t xml:space="preserve">Review of 6 Months ended 2001 </w:t>
      </w:r>
    </w:p>
    <w:p>
      <w:pPr>
        <w:pStyle w:val="Normal"/>
        <w:jc w:val="center"/>
        <w:rPr>
          <w:sz w:val="20"/>
        </w:rPr>
      </w:pPr>
      <w:r>
        <w:rPr>
          <w:sz w:val="20"/>
        </w:rPr>
      </w:r>
    </w:p>
    <w:p>
      <w:pPr>
        <w:pStyle w:val="Normal"/>
        <w:jc w:val="center"/>
        <w:rPr>
          <w:sz w:val="20"/>
        </w:rPr>
      </w:pPr>
      <w:r>
        <w:rPr>
          <w:sz w:val="20"/>
        </w:rPr>
        <w:t>Larry Lawyer</w:t>
      </w:r>
    </w:p>
    <w:p>
      <w:pPr>
        <w:pStyle w:val="Normal"/>
        <w:rPr>
          <w:sz w:val="20"/>
        </w:rPr>
      </w:pPr>
      <w:r>
        <w:rPr>
          <w:sz w:val="20"/>
        </w:rPr>
      </w:r>
    </w:p>
    <w:p>
      <w:pPr>
        <w:pStyle w:val="Normal"/>
        <w:rPr>
          <w:sz w:val="20"/>
        </w:rPr>
      </w:pPr>
      <w:r>
        <w:rPr>
          <w:sz w:val="20"/>
        </w:rPr>
        <w:t xml:space="preserve">I have worked for the past six months in the finance and structuring group at Enron Global Markets.  As a Vice President and head of the group, I have focused my time to be more heavily weighted toward internal personnel management, strategy/business building sessions, spot structuring new transactions and external client sales calls.  Throughout the first six months of 2001, I have had management responsibility for 11 people, coordination roles with Global Finance and working relationships with the ten different EGM businesses.  I worked closely with Pierre Aury, Mike Beyer, Randy Petersen, Roger Ondreko, Mike Patrick, Johnna Kokegne, Steve Douglas, Kevin Liss, Dan Boyle, Bill Brown, Don Herrick, John Nowlan, George McClellan, Kevin McGowan, Eric Gonzales, Mark Tawney, Per Sekse, Billy Lemmons and Rick Bergseiker.  My time was spent mentoring, managing/deal execution and marketing as follows:  40%, 40%, 20%, respectively.  </w:t>
      </w:r>
    </w:p>
    <w:p>
      <w:pPr>
        <w:pStyle w:val="Normal"/>
        <w:rPr>
          <w:sz w:val="20"/>
        </w:rPr>
      </w:pPr>
      <w:r>
        <w:rPr>
          <w:sz w:val="20"/>
        </w:rPr>
      </w:r>
    </w:p>
    <w:p>
      <w:pPr>
        <w:pStyle w:val="Normal"/>
        <w:rPr>
          <w:sz w:val="20"/>
        </w:rPr>
      </w:pPr>
      <w:r>
        <w:rPr>
          <w:sz w:val="20"/>
        </w:rPr>
        <w:t>The following is representative of my work product for 2001 to date:</w:t>
      </w:r>
    </w:p>
    <w:p>
      <w:pPr>
        <w:pStyle w:val="Normal"/>
        <w:rPr>
          <w:sz w:val="20"/>
        </w:rPr>
      </w:pPr>
      <w:r>
        <w:rPr>
          <w:sz w:val="20"/>
        </w:rPr>
      </w:r>
    </w:p>
    <w:p>
      <w:pPr>
        <w:pStyle w:val="Heading2"/>
        <w:ind w:hanging="0" w:start="0"/>
        <w:rPr>
          <w:sz w:val="20"/>
          <w:u w:val="single"/>
        </w:rPr>
      </w:pPr>
      <w:r>
        <w:rPr>
          <w:sz w:val="20"/>
          <w:u w:val="single"/>
        </w:rPr>
        <w:t>EGM:</w:t>
      </w:r>
    </w:p>
    <w:p>
      <w:pPr>
        <w:pStyle w:val="Heading1"/>
        <w:ind w:hanging="0" w:start="0"/>
        <w:rPr>
          <w:sz w:val="20"/>
        </w:rPr>
      </w:pPr>
      <w:r>
        <w:rPr>
          <w:sz w:val="20"/>
        </w:rPr>
        <w:t>Sales Efforts</w:t>
      </w:r>
    </w:p>
    <w:p>
      <w:pPr>
        <w:pStyle w:val="Normal"/>
        <w:rPr>
          <w:sz w:val="20"/>
        </w:rPr>
      </w:pPr>
      <w:r>
        <w:rPr>
          <w:sz w:val="20"/>
        </w:rPr>
        <w:t>1.  Coordinated commercial bank meetings in New York, London, Tokyo and Houston to market EGM</w:t>
      </w:r>
    </w:p>
    <w:p>
      <w:pPr>
        <w:pStyle w:val="Normal"/>
        <w:rPr>
          <w:sz w:val="20"/>
        </w:rPr>
      </w:pPr>
      <w:r>
        <w:rPr>
          <w:sz w:val="20"/>
        </w:rPr>
        <w:t>2.  Coordinated internal and external road shows to sell the EGM strategy to private equity groups, insurers and re-insurers and investment banks</w:t>
      </w:r>
    </w:p>
    <w:p>
      <w:pPr>
        <w:pStyle w:val="Normal"/>
        <w:rPr>
          <w:sz w:val="20"/>
        </w:rPr>
      </w:pPr>
      <w:r>
        <w:rPr>
          <w:sz w:val="20"/>
        </w:rPr>
        <w:t>3.  Coordinated meetings with shipping companies, strategic equity buyers and private equity groups</w:t>
      </w:r>
    </w:p>
    <w:p>
      <w:pPr>
        <w:pStyle w:val="Normal"/>
        <w:rPr>
          <w:sz w:val="20"/>
        </w:rPr>
      </w:pPr>
      <w:r>
        <w:rPr>
          <w:sz w:val="20"/>
        </w:rPr>
        <w:t xml:space="preserve">4.  Assisted in marketing structured weather, agriculture, coal, lng, shipping and freight products </w:t>
      </w:r>
    </w:p>
    <w:p>
      <w:pPr>
        <w:pStyle w:val="Normal"/>
        <w:rPr>
          <w:sz w:val="20"/>
        </w:rPr>
      </w:pPr>
      <w:r>
        <w:rPr>
          <w:sz w:val="20"/>
        </w:rPr>
        <w:t xml:space="preserve">5.  Worked with the crude and products origination team to develop origination strategies </w:t>
      </w:r>
    </w:p>
    <w:p>
      <w:pPr>
        <w:pStyle w:val="Normal"/>
        <w:rPr>
          <w:sz w:val="20"/>
        </w:rPr>
      </w:pPr>
      <w:r>
        <w:rPr>
          <w:sz w:val="20"/>
        </w:rPr>
        <w:t>6.  Attended sales calls with Dow, Eastman Chemical and Martin Gas</w:t>
      </w:r>
    </w:p>
    <w:p>
      <w:pPr>
        <w:pStyle w:val="Normal"/>
        <w:rPr>
          <w:sz w:val="20"/>
        </w:rPr>
      </w:pPr>
      <w:r>
        <w:rPr>
          <w:sz w:val="20"/>
        </w:rPr>
        <w:t>7.  Assisted the shipping group with introductions and follow-up calls with financial institutions which led to 5 new origination opportunities and one new trade</w:t>
      </w:r>
    </w:p>
    <w:p>
      <w:pPr>
        <w:pStyle w:val="Normal"/>
        <w:rPr>
          <w:sz w:val="20"/>
        </w:rPr>
      </w:pPr>
      <w:r>
        <w:rPr>
          <w:sz w:val="20"/>
        </w:rPr>
        <w:t>8.  Coordinated with EIM, EA, EGA, EES and EBS related to their sales and structuring efforts for inventory financings and cross-commodity opportunities</w:t>
      </w:r>
    </w:p>
    <w:p>
      <w:pPr>
        <w:pStyle w:val="Normal"/>
        <w:rPr>
          <w:sz w:val="20"/>
        </w:rPr>
      </w:pPr>
      <w:r>
        <w:rPr>
          <w:sz w:val="20"/>
        </w:rPr>
        <w:t>9.  Speaker representing EGM to Congressional staffers who in turn represented 6 senators and 3 members of the House agriculture committee</w:t>
      </w:r>
    </w:p>
    <w:p>
      <w:pPr>
        <w:pStyle w:val="Normal"/>
        <w:rPr>
          <w:sz w:val="20"/>
        </w:rPr>
      </w:pPr>
      <w:r>
        <w:rPr>
          <w:sz w:val="20"/>
        </w:rPr>
        <w:t>10.  Speaker representing EGM at the Wholesale Brown Bag series in June 2001</w:t>
      </w:r>
    </w:p>
    <w:p>
      <w:pPr>
        <w:pStyle w:val="Normal"/>
        <w:rPr>
          <w:sz w:val="20"/>
        </w:rPr>
      </w:pPr>
      <w:r>
        <w:rPr>
          <w:sz w:val="20"/>
        </w:rPr>
        <w:t>11.  Assisting AA on-campus recruiting and interviewing at UCLA and INSEAD during 2000 and 2001</w:t>
      </w:r>
    </w:p>
    <w:p>
      <w:pPr>
        <w:pStyle w:val="Heading1"/>
        <w:ind w:hanging="0" w:start="0"/>
        <w:rPr>
          <w:sz w:val="20"/>
        </w:rPr>
      </w:pPr>
      <w:r>
        <w:rPr>
          <w:sz w:val="20"/>
        </w:rPr>
      </w:r>
    </w:p>
    <w:p>
      <w:pPr>
        <w:pStyle w:val="Heading1"/>
        <w:ind w:hanging="0" w:start="0"/>
        <w:rPr>
          <w:sz w:val="20"/>
        </w:rPr>
      </w:pPr>
      <w:r>
        <w:rPr>
          <w:sz w:val="20"/>
        </w:rPr>
        <w:t>Origination</w:t>
      </w:r>
    </w:p>
    <w:p>
      <w:pPr>
        <w:pStyle w:val="Normal"/>
        <w:rPr>
          <w:sz w:val="20"/>
        </w:rPr>
      </w:pPr>
      <w:r>
        <w:rPr>
          <w:sz w:val="20"/>
        </w:rPr>
        <w:t>1.  Working with John Nowlan on a greenfield methanol plant structure to unlock MTM value, project financing and K</w:t>
      </w:r>
    </w:p>
    <w:p>
      <w:pPr>
        <w:pStyle w:val="Normal"/>
        <w:rPr>
          <w:sz w:val="20"/>
        </w:rPr>
      </w:pPr>
      <w:r>
        <w:rPr>
          <w:sz w:val="20"/>
        </w:rPr>
        <w:t>structures ($70MM MTM value)</w:t>
      </w:r>
    </w:p>
    <w:p>
      <w:pPr>
        <w:pStyle w:val="Normal"/>
        <w:rPr>
          <w:sz w:val="20"/>
        </w:rPr>
      </w:pPr>
      <w:r>
        <w:rPr>
          <w:sz w:val="20"/>
        </w:rPr>
        <w:t>2.  Co-leading earnings transaction to sell MTBE and storage facility to EOTT and enter into new intake and offtake</w:t>
      </w:r>
    </w:p>
    <w:p>
      <w:pPr>
        <w:pStyle w:val="Normal"/>
        <w:rPr>
          <w:sz w:val="20"/>
        </w:rPr>
      </w:pPr>
      <w:r>
        <w:rPr>
          <w:sz w:val="20"/>
        </w:rPr>
        <w:t>agreements ($130MM MTM value – 2Q, $50MM MTM 3Q to 4Q)</w:t>
      </w:r>
    </w:p>
    <w:p>
      <w:pPr>
        <w:pStyle w:val="Normal"/>
        <w:rPr>
          <w:sz w:val="20"/>
        </w:rPr>
      </w:pPr>
      <w:r>
        <w:rPr>
          <w:sz w:val="20"/>
        </w:rPr>
        <w:t>3.  Assisted NoxTech deal team to unlock equity value ($5.5MM)</w:t>
      </w:r>
    </w:p>
    <w:p>
      <w:pPr>
        <w:pStyle w:val="Normal"/>
        <w:rPr>
          <w:sz w:val="20"/>
        </w:rPr>
      </w:pPr>
      <w:r>
        <w:rPr>
          <w:sz w:val="20"/>
        </w:rPr>
        <w:t>4.  Responsible for the restructuring and sale of the American Coal Note, the hedging alternatives for EGM’s merchant investments and the remainder of EGM’s merchant debt and equity assets ($2MM MTM value)</w:t>
      </w:r>
    </w:p>
    <w:p>
      <w:pPr>
        <w:pStyle w:val="Normal"/>
        <w:rPr>
          <w:sz w:val="20"/>
        </w:rPr>
      </w:pPr>
      <w:r>
        <w:rPr>
          <w:sz w:val="20"/>
        </w:rPr>
        <w:t>5.  Assisted in structuring inventory finance and accounts receivable factoring deals to meet EGM’s funds flow and ROE targets</w:t>
      </w:r>
    </w:p>
    <w:p>
      <w:pPr>
        <w:pStyle w:val="Normal"/>
        <w:rPr>
          <w:sz w:val="20"/>
        </w:rPr>
      </w:pPr>
      <w:r>
        <w:rPr>
          <w:sz w:val="20"/>
        </w:rPr>
        <w:t>6.  Provided structuring support for internal origination groups related to contract monetizations, prepays and inventory financings</w:t>
      </w:r>
    </w:p>
    <w:p>
      <w:pPr>
        <w:pStyle w:val="Normal"/>
        <w:rPr>
          <w:sz w:val="20"/>
        </w:rPr>
      </w:pPr>
      <w:r>
        <w:rPr>
          <w:sz w:val="20"/>
        </w:rPr>
        <w:t>7.  Responsible for the preferred stock investment and asset sale of Pro Gas Co. (Enron’s residential propane company) to TropiGas (Puerto Rico’s third largest residential propane company) – ($4.0MM income)</w:t>
      </w:r>
    </w:p>
    <w:p>
      <w:pPr>
        <w:pStyle w:val="Normal"/>
        <w:rPr>
          <w:sz w:val="20"/>
        </w:rPr>
      </w:pPr>
      <w:r>
        <w:rPr>
          <w:sz w:val="20"/>
        </w:rPr>
        <w:t>8.  Assisting and coordinating earnings and funds flow transactions for EGM ($10MM income), including Seminole, AIG and Lubrizol</w:t>
      </w:r>
    </w:p>
    <w:p>
      <w:pPr>
        <w:pStyle w:val="Normal"/>
        <w:rPr>
          <w:sz w:val="20"/>
        </w:rPr>
      </w:pPr>
      <w:r>
        <w:rPr>
          <w:sz w:val="20"/>
        </w:rPr>
        <w:t>9.  Coordinating with the heads of each EGM business to facilitate future growth through financial structures</w:t>
      </w:r>
    </w:p>
    <w:p>
      <w:pPr>
        <w:pStyle w:val="Normal"/>
        <w:rPr>
          <w:sz w:val="20"/>
        </w:rPr>
      </w:pPr>
      <w:r>
        <w:rPr>
          <w:sz w:val="20"/>
        </w:rPr>
        <w:t>10.  Assisting the structuring of the project financing and equity sell-down of Jose ProjectCo, BahamasCo and Dolphin in the Middle East – Represents more than $300MM income potential</w:t>
      </w:r>
    </w:p>
    <w:p>
      <w:pPr>
        <w:pStyle w:val="Normal"/>
        <w:rPr>
          <w:sz w:val="20"/>
        </w:rPr>
      </w:pPr>
      <w:r>
        <w:rPr>
          <w:sz w:val="20"/>
        </w:rPr>
        <w:t>11.  Coordinated transition of Dolphin to London and assisted in follow-up with Michael Brown</w:t>
      </w:r>
    </w:p>
    <w:p>
      <w:pPr>
        <w:pStyle w:val="Normal"/>
        <w:rPr>
          <w:sz w:val="20"/>
        </w:rPr>
      </w:pPr>
      <w:r>
        <w:rPr>
          <w:sz w:val="20"/>
        </w:rPr>
        <w:t>12.  Assisting the structuring and sale of three insurance/reinsurance transactions, including rating agency presentations</w:t>
      </w:r>
    </w:p>
    <w:p>
      <w:pPr>
        <w:pStyle w:val="Normal"/>
        <w:rPr>
          <w:sz w:val="20"/>
        </w:rPr>
      </w:pPr>
      <w:r>
        <w:rPr>
          <w:sz w:val="20"/>
        </w:rPr>
        <w:t>13.  Assisting the structuring of a $10MM weather prepay for the 3Q 2001</w:t>
      </w:r>
    </w:p>
    <w:p>
      <w:pPr>
        <w:pStyle w:val="Normal"/>
        <w:rPr>
          <w:sz w:val="20"/>
        </w:rPr>
      </w:pPr>
      <w:r>
        <w:rPr>
          <w:sz w:val="20"/>
        </w:rPr>
        <w:t xml:space="preserve">14.  Assisted in the structuring of a bridge financing for an ethanol and glycerin plant (ultimately the transaction was killed due to not enough time and information, MTM potential $5MM) </w:t>
      </w:r>
    </w:p>
    <w:p>
      <w:pPr>
        <w:pStyle w:val="Normal"/>
        <w:rPr>
          <w:sz w:val="20"/>
        </w:rPr>
      </w:pPr>
      <w:r>
        <w:rPr>
          <w:sz w:val="20"/>
        </w:rPr>
        <w:t>15.  Supported new idea generation within the finance and structuring group.  The primary opportunity to date has been an extension for Gary Hickerson’s agriculture group – floriculture and horticulture, which was an idea by one of our analysts, Shelia Benke (pronounced Sheila)</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2001-02-16T16:00:00Z</dcterms:created>
  <dc:creator>Valued Sony Customer</dc:creator>
  <dc:description/>
  <dc:language>en-CA</dc:language>
  <cp:lastModifiedBy>llawyer</cp:lastModifiedBy>
  <cp:lastPrinted>2001-06-02T13:15:00Z</cp:lastPrinted>
  <dcterms:modified xsi:type="dcterms:W3CDTF">2001-06-02T15:49:00Z</dcterms:modified>
  <cp:revision>18</cp:revision>
  <dc:subject/>
  <dc:title>Review of 2000 Accomplishments</dc:title>
</cp:coreProperties>
</file>