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12/99]</w:t>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rFonts w:cs="Arial Narrow" w:ascii="Arial Narrow" w:hAnsi="Arial Narrow"/>
          <w:b/>
          <w:sz w:val="18"/>
        </w:rPr>
        <w:t>1</w:t>
      </w:r>
      <w:r>
        <w:rPr>
          <w:rFonts w:cs="Arial Narrow" w:ascii="Arial Narrow" w:hAnsi="Arial Narrow"/>
          <w:sz w:val="18"/>
        </w:rPr>
        <w:t xml:space="preserve">.  IF </w:t>
      </w:r>
      <w:r>
        <w:rPr>
          <w:rFonts w:cs="Arial Narrow" w:ascii="Arial Narrow" w:hAnsi="Arial Narrow"/>
          <w:b/>
          <w:sz w:val="18"/>
        </w:rPr>
        <w:t xml:space="preserve">HOUSTON PIPE LINE COMPANY </w:t>
      </w:r>
      <w:r>
        <w:rPr>
          <w:rFonts w:cs="Arial Narrow" w:ascii="Arial Narrow" w:hAnsi="Arial Narrow"/>
          <w:sz w:val="18"/>
        </w:rPr>
        <w:t>IS A PARTY TO THE TRANSACTION, ADD THE FOLLOWING:</w:t>
      </w:r>
    </w:p>
    <w:p>
      <w:pPr>
        <w:pStyle w:val="Normal"/>
        <w:jc w:val="both"/>
        <w:rPr>
          <w:rFonts w:ascii="Arial Narrow" w:hAnsi="Arial Narrow" w:cs="Arial Narrow"/>
          <w:sz w:val="18"/>
        </w:rPr>
      </w:pPr>
      <w:r>
        <w:rPr>
          <w:rFonts w:cs="Arial Narrow" w:ascii="Arial Narrow" w:hAnsi="Arial Narrow"/>
          <w:b/>
          <w:sz w:val="18"/>
          <w:u w:val="single"/>
        </w:rPr>
        <w:t>12.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2001-05-29T22:38:00Z</dcterms:created>
  <dc:creator>jdobern</dc:creator>
  <dc:description/>
  <dc:language>en-CA</dc:language>
  <cp:lastModifiedBy>gnemec</cp:lastModifiedBy>
  <cp:lastPrinted>2001-03-13T11:53:00Z</cp:lastPrinted>
  <dcterms:modified xsi:type="dcterms:W3CDTF">2001-05-29T22:38:00Z</dcterms:modified>
  <cp:revision>2</cp:revision>
  <dc:subject/>
  <dc:title>ENFOLIO* FIRM GENERAL TERMS &amp; CONDITIONS      </dc:title>
</cp:coreProperties>
</file>