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w:b/>
          <w:bCs/>
        </w:rPr>
      </w:pPr>
      <w:r>
        <w:rPr>
          <w:rFonts w:cs="Arial" w:ascii="Arial Narrow" w:hAnsi="Arial Narrow"/>
          <w:b/>
          <w:bCs/>
        </w:rPr>
        <w:t>FIRM GAS GENERAL TERMS &amp; CONDITIONS ("GTC")</w:t>
      </w:r>
    </w:p>
    <w:p>
      <w:pPr>
        <w:pStyle w:val="Normal"/>
        <w:jc w:val="center"/>
        <w:rPr>
          <w:rFonts w:ascii="Arial Narrow" w:hAnsi="Arial Narrow" w:cs="Arial"/>
          <w:b/>
          <w:bCs/>
          <w:sz w:val="20"/>
        </w:rPr>
      </w:pPr>
      <w:r>
        <w:rPr>
          <w:rFonts w:cs="Arial" w:ascii="Arial Narrow" w:hAnsi="Arial Narrow"/>
          <w:b/>
          <w:bCs/>
          <w:sz w:val="20"/>
        </w:rPr>
      </w:r>
    </w:p>
    <w:p>
      <w:pPr>
        <w:pStyle w:val="Normal"/>
        <w:tabs>
          <w:tab w:val="clear" w:pos="720"/>
          <w:tab w:val="left" w:pos="360" w:leader="none"/>
        </w:tabs>
        <w:jc w:val="both"/>
        <w:rPr/>
      </w:pPr>
      <w:r>
        <w:rPr>
          <w:rFonts w:cs="Arial" w:ascii="Arial Narrow" w:hAnsi="Arial Narrow"/>
          <w:b/>
          <w:bCs/>
          <w:sz w:val="20"/>
          <w:szCs w:val="20"/>
          <w:u w:val="single"/>
        </w:rPr>
        <w:t>1. Transactions</w:t>
      </w:r>
      <w:r>
        <w:rPr>
          <w:rFonts w:cs="Arial" w:ascii="Arial Narrow" w:hAnsi="Arial Narrow"/>
          <w:sz w:val="20"/>
          <w:szCs w:val="20"/>
        </w:rPr>
        <w:t>.  UBS AG, a bank organized under the laws of Switzerland ("</w:t>
      </w:r>
      <w:r>
        <w:rPr>
          <w:rFonts w:cs="Arial" w:ascii="Arial Narrow" w:hAnsi="Arial Narrow"/>
          <w:sz w:val="20"/>
          <w:szCs w:val="20"/>
          <w:u w:val="single"/>
        </w:rPr>
        <w:t>UBS</w:t>
      </w:r>
      <w:r>
        <w:rPr>
          <w:rFonts w:cs="Arial" w:ascii="Arial Narrow" w:hAnsi="Arial Narrow"/>
          <w:sz w:val="20"/>
          <w:szCs w:val="20"/>
        </w:rPr>
        <w:t>"), and counterparty from time to time may engage in transactions pursuant to this GTC and confirmations of transactions ("</w:t>
      </w:r>
      <w:r>
        <w:rPr>
          <w:rFonts w:cs="Arial" w:ascii="Arial Narrow" w:hAnsi="Arial Narrow"/>
          <w:sz w:val="20"/>
          <w:szCs w:val="20"/>
          <w:u w:val="single"/>
        </w:rPr>
        <w:t>Confirmations</w:t>
      </w:r>
      <w:r>
        <w:rPr>
          <w:rFonts w:cs="Arial" w:ascii="Arial Narrow" w:hAnsi="Arial Narrow"/>
          <w:sz w:val="20"/>
          <w:szCs w:val="20"/>
        </w:rPr>
        <w:t>") referencing this GTC, which may be issued at the discretion of UBS (each a "</w:t>
      </w:r>
      <w:r>
        <w:rPr>
          <w:rFonts w:cs="Arial" w:ascii="Arial Narrow" w:hAnsi="Arial Narrow"/>
          <w:sz w:val="20"/>
          <w:szCs w:val="20"/>
          <w:u w:val="single"/>
        </w:rPr>
        <w:t>Transaction</w:t>
      </w:r>
      <w:r>
        <w:rPr>
          <w:rFonts w:cs="Arial" w:ascii="Arial Narrow" w:hAnsi="Arial Narrow"/>
          <w:sz w:val="20"/>
          <w:szCs w:val="20"/>
        </w:rPr>
        <w:t>" and collectively, the "</w:t>
      </w:r>
      <w:r>
        <w:rPr>
          <w:rFonts w:cs="Arial" w:ascii="Arial Narrow" w:hAnsi="Arial Narrow"/>
          <w:sz w:val="20"/>
          <w:szCs w:val="20"/>
          <w:u w:val="single"/>
        </w:rPr>
        <w:t>Transactions</w:t>
      </w:r>
      <w:r>
        <w:rPr>
          <w:rFonts w:cs="Arial" w:ascii="Arial Narrow" w:hAnsi="Arial Narrow"/>
          <w:sz w:val="20"/>
          <w:szCs w:val="20"/>
        </w:rPr>
        <w:t xml:space="preserve">").  Transactions may be formed in a telephone conversation between the parties that may be recorded by UBS whereby an offer and acceptance shall constitute the valid and enforceable agreement of the parties subject to this GTC.  </w:t>
      </w:r>
      <w:r>
        <w:rPr>
          <w:rFonts w:cs="Arial" w:ascii="Arial Narrow" w:hAnsi="Arial Narrow"/>
          <w:sz w:val="20"/>
        </w:rPr>
        <w:t xml:space="preserve">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w:t>
      </w:r>
      <w:r>
        <w:rPr>
          <w:rFonts w:cs="Arial" w:ascii="Arial Narrow" w:hAnsi="Arial Narrow"/>
          <w:sz w:val="20"/>
          <w:szCs w:val="20"/>
        </w:rPr>
        <w:t xml:space="preserve">  Definitions applicable to certain capitalized terms herein used are set forth in </w:t>
      </w:r>
      <w:r>
        <w:rPr>
          <w:rFonts w:cs="Arial" w:ascii="Arial Narrow" w:hAnsi="Arial Narrow"/>
          <w:sz w:val="20"/>
          <w:szCs w:val="20"/>
          <w:u w:val="single"/>
        </w:rPr>
        <w:t>Section 16</w:t>
      </w:r>
      <w:r>
        <w:rPr>
          <w:rFonts w:cs="Arial" w:ascii="Arial Narrow" w:hAnsi="Arial Narrow"/>
          <w:sz w:val="20"/>
          <w:szCs w:val="20"/>
        </w:rPr>
        <w:t xml:space="preserve">.  All Transactions hereunder and all transactions made pursuant to the Firm Gas General Terms &amp; Conditions (Online), but transacted on the Website therein defined, shall be considered a single master agreement until such time as the foregoing are hereafter governed by a master agreement between the parties as may be therein set forth.  </w:t>
      </w:r>
      <w:r>
        <w:rPr>
          <w:rFonts w:cs="Arial" w:ascii="Arial Narrow" w:hAnsi="Arial Narrow"/>
          <w:sz w:val="20"/>
        </w:rPr>
        <w:t>In the event of any inconsistency between the Transaction (as may be evidenced by a Confirmation thereof, if any), and this GTC or any master agreement that may govern the Transaction as set forth in the preceding sentence, the terms of the Transaction shall govern.  In entering into this Transaction UBS is acting through the branch specified in any applicable Transaction or Confirmation.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b/>
          <w:bCs/>
          <w:sz w:val="20"/>
          <w:szCs w:val="20"/>
          <w:u w:val="single"/>
        </w:rPr>
        <w:t>2. Quantity Obligations, Liquidated Damages and Transaction Termination</w:t>
      </w:r>
      <w:r>
        <w:rPr>
          <w:rFonts w:cs="Arial" w:ascii="Arial Narrow" w:hAnsi="Arial Narrow"/>
          <w:sz w:val="20"/>
          <w:szCs w:val="20"/>
        </w:rPr>
        <w:t xml:space="preserve">.  The </w:t>
      </w:r>
      <w:r>
        <w:rPr>
          <w:rFonts w:cs="Arial" w:ascii="Arial Narrow" w:hAnsi="Arial Narrow"/>
          <w:b/>
          <w:bCs/>
          <w:sz w:val="20"/>
          <w:szCs w:val="20"/>
        </w:rPr>
        <w:t>Daily Contract Quantity</w:t>
      </w:r>
      <w:r>
        <w:rPr>
          <w:rFonts w:cs="Arial" w:ascii="Arial Narrow" w:hAnsi="Arial Narrow"/>
          <w:sz w:val="20"/>
          <w:szCs w:val="20"/>
        </w:rPr>
        <w:t xml:space="preserve"> shall be scheduled on a firm basis by </w:t>
      </w:r>
      <w:r>
        <w:rPr>
          <w:rFonts w:cs="Arial" w:ascii="Arial Narrow" w:hAnsi="Arial Narrow"/>
          <w:b/>
          <w:bCs/>
          <w:sz w:val="20"/>
          <w:szCs w:val="20"/>
        </w:rPr>
        <w:t xml:space="preserve">Seller </w:t>
      </w:r>
      <w:r>
        <w:rPr>
          <w:rFonts w:cs="Arial" w:ascii="Arial Narrow" w:hAnsi="Arial Narrow"/>
          <w:sz w:val="20"/>
          <w:szCs w:val="20"/>
        </w:rPr>
        <w:t xml:space="preserve">and </w:t>
      </w:r>
      <w:r>
        <w:rPr>
          <w:rFonts w:cs="Arial" w:ascii="Arial Narrow" w:hAnsi="Arial Narrow"/>
          <w:b/>
          <w:bCs/>
          <w:sz w:val="20"/>
          <w:szCs w:val="20"/>
        </w:rPr>
        <w:t xml:space="preserve">Buyer </w:t>
      </w:r>
      <w:r>
        <w:rPr>
          <w:rFonts w:cs="Arial" w:ascii="Arial Narrow" w:hAnsi="Arial Narrow"/>
          <w:sz w:val="20"/>
          <w:szCs w:val="20"/>
        </w:rPr>
        <w:t xml:space="preserve">at the </w:t>
      </w:r>
      <w:r>
        <w:rPr>
          <w:rFonts w:cs="Arial" w:ascii="Arial Narrow" w:hAnsi="Arial Narrow"/>
          <w:b/>
          <w:bCs/>
          <w:sz w:val="20"/>
          <w:szCs w:val="20"/>
        </w:rPr>
        <w:t>Delivery Point(s)</w:t>
      </w:r>
      <w:r>
        <w:rPr>
          <w:rFonts w:cs="Arial" w:ascii="Arial Narrow" w:hAnsi="Arial Narrow"/>
          <w:sz w:val="20"/>
          <w:szCs w:val="20"/>
        </w:rPr>
        <w:t xml:space="preserve"> during the </w:t>
      </w:r>
      <w:r>
        <w:rPr>
          <w:rFonts w:cs="Arial" w:ascii="Arial Narrow" w:hAnsi="Arial Narrow"/>
          <w:b/>
          <w:bCs/>
          <w:sz w:val="20"/>
          <w:szCs w:val="20"/>
        </w:rPr>
        <w:t>Period of Delivery</w:t>
      </w:r>
      <w:r>
        <w:rPr>
          <w:rFonts w:cs="Arial" w:ascii="Arial Narrow" w:hAnsi="Arial Narrow"/>
          <w:sz w:val="20"/>
          <w:szCs w:val="20"/>
        </w:rPr>
        <w:t xml:space="preserve"> and at the </w:t>
      </w:r>
      <w:r>
        <w:rPr>
          <w:rFonts w:cs="Arial" w:ascii="Arial Narrow" w:hAnsi="Arial Narrow"/>
          <w:b/>
          <w:bCs/>
          <w:sz w:val="20"/>
          <w:szCs w:val="20"/>
        </w:rPr>
        <w:t xml:space="preserve">Contract Price </w:t>
      </w:r>
      <w:r>
        <w:rPr>
          <w:rFonts w:cs="Arial" w:ascii="Arial Narrow" w:hAnsi="Arial Narrow"/>
          <w:sz w:val="20"/>
          <w:szCs w:val="20"/>
        </w:rPr>
        <w:t>as such terms are designated in each Transaction.  Unless excused by Force Majeure or the other party's failure to perform its obligations hereunder, if on any day a party fails to schedule on a firm basis the Daily Contract Quantity, then such occurrence shall constitute a "</w:t>
      </w:r>
      <w:r>
        <w:rPr>
          <w:rFonts w:cs="Arial" w:ascii="Arial Narrow" w:hAnsi="Arial Narrow"/>
          <w:sz w:val="20"/>
          <w:szCs w:val="20"/>
          <w:u w:val="single"/>
        </w:rPr>
        <w:t>Deficiency Breach</w:t>
      </w:r>
      <w:r>
        <w:rPr>
          <w:rFonts w:cs="Arial" w:ascii="Arial Narrow" w:hAnsi="Arial Narrow"/>
          <w:sz w:val="20"/>
          <w:szCs w:val="20"/>
        </w:rPr>
        <w:t>" and the "</w:t>
      </w:r>
      <w:r>
        <w:rPr>
          <w:rFonts w:cs="Arial" w:ascii="Arial Narrow" w:hAnsi="Arial Narrow"/>
          <w:sz w:val="20"/>
          <w:szCs w:val="20"/>
          <w:u w:val="single"/>
        </w:rPr>
        <w:t>Deficiency Quantity</w:t>
      </w:r>
      <w:r>
        <w:rPr>
          <w:rFonts w:cs="Arial" w:ascii="Arial Narrow" w:hAnsi="Arial Narrow"/>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sum of the product of the Deficiency Quantity multiplied by the Replacement Price Differential plus $0.15 multiplied by the Deficiency Quantity.  All amounts payable pursuant to this </w:t>
      </w:r>
      <w:r>
        <w:rPr>
          <w:rFonts w:cs="Arial" w:ascii="Arial Narrow" w:hAnsi="Arial Narrow"/>
          <w:sz w:val="20"/>
          <w:szCs w:val="20"/>
          <w:u w:val="single"/>
        </w:rPr>
        <w:t>Section 2</w:t>
      </w:r>
      <w:r>
        <w:rPr>
          <w:rFonts w:cs="Arial" w:ascii="Arial Narrow" w:hAnsi="Arial Narrow"/>
          <w:sz w:val="20"/>
          <w:szCs w:val="20"/>
        </w:rPr>
        <w:t xml:space="preserve"> shall be due and payable within five Business Days following the receipt of a statement therefor, </w:t>
      </w:r>
      <w:r>
        <w:rPr>
          <w:rFonts w:cs="Arial" w:ascii="Arial Narrow" w:hAnsi="Arial Narrow"/>
          <w:sz w:val="20"/>
        </w:rPr>
        <w:t xml:space="preserve">which amounts shall accrue interest at the Interest Rate from the date due until paid.  </w:t>
      </w:r>
      <w:r>
        <w:rPr>
          <w:rFonts w:cs="Arial Narrow" w:ascii="Arial Narrow" w:hAnsi="Arial Narrow"/>
          <w:sz w:val="20"/>
        </w:rPr>
        <w:t xml:space="preserve">In addition to the foregoing, if a party </w:t>
      </w:r>
      <w:r>
        <w:rPr>
          <w:rFonts w:cs="Arial" w:ascii="Arial Narrow" w:hAnsi="Arial Narrow"/>
          <w:sz w:val="20"/>
          <w:szCs w:val="20"/>
        </w:rPr>
        <w:t>fails to schedule the Daily Contract Quantity for a cumulative period of 15 or more days in a 12 month period in any one Transaction unless excused by Force Majeure or the other party's failure to perform its obligations hereunder (a "</w:t>
      </w:r>
      <w:r>
        <w:rPr>
          <w:rFonts w:cs="Arial" w:ascii="Arial Narrow" w:hAnsi="Arial Narrow"/>
          <w:sz w:val="20"/>
          <w:szCs w:val="20"/>
          <w:u w:val="single"/>
        </w:rPr>
        <w:t>Major Scheduling Event</w:t>
      </w:r>
      <w:r>
        <w:rPr>
          <w:rFonts w:cs="Arial" w:ascii="Arial Narrow" w:hAnsi="Arial Narrow"/>
          <w:sz w:val="20"/>
          <w:szCs w:val="20"/>
        </w:rPr>
        <w:t>")</w:t>
      </w:r>
      <w:r>
        <w:rPr>
          <w:rFonts w:cs="Arial Narrow" w:ascii="Arial Narrow" w:hAnsi="Arial Narrow"/>
          <w:sz w:val="20"/>
        </w:rPr>
        <w:t xml:space="preserve">, the other party may at its election made by written notice provided no later than 60 days after the occurrence of such Major Scheduling Event, designate an Early Termination Date in accordance with the provisions of </w:t>
      </w:r>
      <w:r>
        <w:rPr>
          <w:rFonts w:cs="Arial Narrow" w:ascii="Arial Narrow" w:hAnsi="Arial Narrow"/>
          <w:sz w:val="20"/>
          <w:u w:val="single"/>
        </w:rPr>
        <w:t>Section 3</w:t>
      </w:r>
      <w:r>
        <w:rPr>
          <w:rFonts w:cs="Arial Narrow" w:ascii="Arial Narrow" w:hAnsi="Arial Narrow"/>
          <w:sz w:val="20"/>
        </w:rPr>
        <w:t xml:space="preserve"> applicable only to the Transaction, and such notifying party shall determine the Termination Payment applicable to the Transaction, and the parties shall make payment of the Termination Payment each in accordance with </w:t>
      </w:r>
      <w:r>
        <w:rPr>
          <w:rFonts w:cs="Arial Narrow" w:ascii="Arial Narrow" w:hAnsi="Arial Narrow"/>
          <w:sz w:val="20"/>
          <w:u w:val="single"/>
        </w:rPr>
        <w:t>Section 3</w:t>
      </w:r>
      <w:r>
        <w:rPr>
          <w:rFonts w:cs="Arial Narrow" w:ascii="Arial Narrow" w:hAnsi="Arial Narrow"/>
          <w:sz w:val="20"/>
        </w:rPr>
        <w:t xml:space="preserve">.   </w:t>
      </w:r>
    </w:p>
    <w:p>
      <w:pPr>
        <w:pStyle w:val="Normal"/>
        <w:jc w:val="both"/>
        <w:rPr>
          <w:rFonts w:cs="Arial"/>
        </w:rPr>
      </w:pPr>
      <w:r>
        <w:rPr>
          <w:rFonts w:eastAsia="Arial Narrow" w:cs="Arial Narrow" w:ascii="Arial Narrow" w:hAnsi="Arial Narrow"/>
          <w:sz w:val="20"/>
          <w:szCs w:val="20"/>
        </w:rPr>
        <w:t xml:space="preserve">  </w:t>
      </w:r>
    </w:p>
    <w:p>
      <w:pPr>
        <w:pStyle w:val="Normal"/>
        <w:tabs>
          <w:tab w:val="clear" w:pos="720"/>
          <w:tab w:val="left" w:pos="360" w:leader="none"/>
        </w:tabs>
        <w:jc w:val="both"/>
        <w:rPr/>
      </w:pPr>
      <w:r>
        <w:rPr>
          <w:rFonts w:cs="Arial" w:ascii="Arial Narrow" w:hAnsi="Arial Narrow"/>
          <w:b/>
          <w:bCs/>
          <w:sz w:val="20"/>
          <w:szCs w:val="20"/>
          <w:u w:val="single"/>
        </w:rPr>
        <w:t>3. Events of Default and Early Termination</w:t>
      </w:r>
      <w:r>
        <w:rPr>
          <w:rFonts w:cs="Arial" w:ascii="Arial Narrow" w:hAnsi="Arial Narrow"/>
          <w:sz w:val="20"/>
          <w:szCs w:val="20"/>
        </w:rPr>
        <w:t xml:space="preserve">.  </w:t>
      </w:r>
      <w:r>
        <w:rPr>
          <w:rFonts w:cs="Arial"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cs="Arial" w:ascii="Arial Narrow" w:hAnsi="Arial Narrow"/>
          <w:sz w:val="20"/>
          <w:u w:val="single"/>
        </w:rPr>
        <w:t>Early Termination Date</w:t>
      </w:r>
      <w:r>
        <w:rPr>
          <w:rFonts w:cs="Arial" w:ascii="Arial Narrow" w:hAnsi="Arial Narrow"/>
          <w:sz w:val="20"/>
        </w:rPr>
        <w:t xml:space="preserve">").  On the Early Termination Date the obligations under all Transactions with respect to all Periods of Delivery that would have ended on or after the Early Termination Date shall be terminated.  </w:t>
      </w:r>
      <w:r>
        <w:rPr>
          <w:rFonts w:cs="Arial" w:ascii="Arial Narrow" w:hAnsi="Arial Narrow"/>
          <w:sz w:val="20"/>
          <w:szCs w:val="20"/>
        </w:rPr>
        <w:t>On or as soon as reasonably practicable following the occurrence of an Early Termination Date</w:t>
      </w:r>
      <w:r>
        <w:rPr>
          <w:rFonts w:cs="Arial" w:ascii="Arial Narrow" w:hAnsi="Arial Narrow"/>
          <w:sz w:val="20"/>
        </w:rPr>
        <w:t>, the non-defaulting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and receivables hereunder then owed by and to it, with respect to all Transactions into a single net amount and notify the Defaulting Party of the net amount owed or owing (the "</w:t>
      </w:r>
      <w:r>
        <w:rPr>
          <w:rFonts w:cs="Arial" w:ascii="Arial Narrow" w:hAnsi="Arial Narrow"/>
          <w:sz w:val="20"/>
          <w:u w:val="single"/>
        </w:rPr>
        <w:t>Termination Payment</w:t>
      </w:r>
      <w:r>
        <w:rPr>
          <w:rFonts w:cs="Arial" w:ascii="Arial Narrow" w:hAnsi="Arial Narrow"/>
          <w:sz w:val="20"/>
        </w:rPr>
        <w:t xml:space="preserve">").  If the non-defaulting party's aggregate Losses and Costs and receivables hereunder owed to it exceed its aggregate Gains and receivables hereunder owed by it,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and receivables hereunder owed by it exceed its Losses and Costs and receivables hereunder owed to it, subject to the rights of setoff set forth in </w:t>
      </w:r>
      <w:r>
        <w:rPr>
          <w:rFonts w:cs="Arial" w:ascii="Arial Narrow" w:hAnsi="Arial Narrow"/>
          <w:sz w:val="20"/>
          <w:u w:val="single"/>
        </w:rPr>
        <w:t>Section 5</w:t>
      </w:r>
      <w:r>
        <w:rPr>
          <w:rFonts w:cs="Arial" w:ascii="Arial Narrow" w:hAnsi="Arial Narrow"/>
          <w:sz w:val="20"/>
        </w:rPr>
        <w:t>, the non-defaulting party shall pay the Termination Payment to the Defaulting Party within five Business Days of such determination.  In addition to all other amounts payable hereunder, the Defaulting Party shall reimburse the non-defaulting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jc w:val="both"/>
        <w:rPr>
          <w:rFonts w:cs="Arial"/>
        </w:rPr>
      </w:pPr>
      <w:r>
        <w:rPr>
          <w:rFonts w:eastAsia="Arial Narrow" w:cs="Arial Narrow" w:ascii="Arial Narrow" w:hAnsi="Arial Narrow"/>
          <w:sz w:val="20"/>
        </w:rPr>
        <w:t xml:space="preserve">  </w:t>
      </w:r>
    </w:p>
    <w:p>
      <w:pPr>
        <w:pStyle w:val="Normal"/>
        <w:jc w:val="both"/>
        <w:rPr>
          <w:rFonts w:ascii="Arial Narrow" w:hAnsi="Arial Narrow" w:cs="Arial"/>
          <w:sz w:val="20"/>
          <w:szCs w:val="20"/>
        </w:rPr>
      </w:pPr>
      <w:r>
        <w:rPr>
          <w:rFonts w:cs="Arial" w:ascii="Arial Narrow" w:hAnsi="Arial Narrow"/>
          <w:b/>
          <w:bCs/>
          <w:sz w:val="20"/>
          <w:szCs w:val="20"/>
          <w:u w:val="single"/>
        </w:rPr>
        <w:t>4. Force Majeure</w:t>
      </w:r>
      <w:r>
        <w:rPr>
          <w:rFonts w:cs="Arial" w:ascii="Arial Narrow" w:hAnsi="Arial Narrow"/>
          <w:sz w:val="20"/>
          <w:szCs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cs="Arial" w:ascii="Arial Narrow" w:hAnsi="Arial Narrow"/>
          <w:sz w:val="20"/>
          <w:szCs w:val="20"/>
          <w:u w:val="single"/>
        </w:rPr>
        <w:t>Claiming Party</w:t>
      </w:r>
      <w:r>
        <w:rPr>
          <w:rFonts w:cs="Arial" w:ascii="Arial Narrow" w:hAnsi="Arial Narrow"/>
          <w:sz w:val="20"/>
          <w:szCs w:val="20"/>
        </w:rPr>
        <w:t>").  No provision herein shall require or permit either party to schedule gas in excess of the Daily Contract Quantity or at points other than the Delivery Point(s).  T</w:t>
      </w:r>
      <w:r>
        <w:rPr>
          <w:rFonts w:cs="Arial Narrow" w:ascii="Arial Narrow" w:hAnsi="Arial Narrow"/>
          <w:sz w:val="20"/>
        </w:rPr>
        <w:t xml:space="preserve">he non-claiming party may immediately take such action as it deems necessary at its expense for a period of up to 60 days from the inception of the Force Majeure and the non-claiming party shall not be required to resume its obligations to the Claiming Party with respect to the part of the Transaction that the Claiming Party has claimed is subject to Force Majeure during such period.  Notwithstanding the foregoing, as soon as all or part of the Force Majeure ceases, the Claiming Party shall notify the non-claiming party who shall have the option to require the Claiming Party to resume all or part of its obligations under the Transaction at such time.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cs="Arial Narrow" w:ascii="Arial Narrow" w:hAnsi="Arial Narrow"/>
          <w:sz w:val="20"/>
          <w:u w:val="single"/>
        </w:rPr>
        <w:t>Section 3</w:t>
      </w:r>
      <w:r>
        <w:rPr>
          <w:rFonts w:cs="Arial Narrow" w:ascii="Arial Narrow" w:hAnsi="Arial Narrow"/>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cs="Arial Narrow" w:ascii="Arial Narrow" w:hAnsi="Arial Narrow"/>
          <w:sz w:val="20"/>
          <w:u w:val="single"/>
        </w:rPr>
        <w:t>Section 3</w:t>
      </w:r>
      <w:r>
        <w:rPr>
          <w:rFonts w:cs="Arial Narrow" w:ascii="Arial Narrow" w:hAnsi="Arial Narrow"/>
          <w:sz w:val="20"/>
        </w:rPr>
        <w:t xml:space="preserve">.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5. Setoff</w:t>
      </w:r>
      <w:r>
        <w:rPr>
          <w:rFonts w:cs="Arial" w:ascii="Arial Narrow" w:hAnsi="Arial Narrow"/>
          <w:sz w:val="20"/>
          <w:szCs w:val="20"/>
        </w:rPr>
        <w:t xml:space="preserve">.  </w:t>
      </w:r>
      <w:r>
        <w:rPr>
          <w:rFonts w:cs="Arial" w:ascii="Arial Narrow" w:hAnsi="Arial Narrow"/>
          <w:sz w:val="20"/>
        </w:rPr>
        <w:t>Upon the designation of an Early Termination Date, the non-defaulting party ("</w:t>
      </w:r>
      <w:r>
        <w:rPr>
          <w:rFonts w:cs="Arial" w:ascii="Arial Narrow" w:hAnsi="Arial Narrow"/>
          <w:sz w:val="20"/>
          <w:u w:val="single"/>
        </w:rPr>
        <w:t>X</w:t>
      </w:r>
      <w:r>
        <w:rPr>
          <w:rFonts w:cs="Arial" w:ascii="Arial Narrow" w:hAnsi="Arial Narrow"/>
          <w:sz w:val="20"/>
        </w:rPr>
        <w:t>") may, at its option and in its discretion, setoff, against any amounts Owed to the Defaulting Party ("</w:t>
      </w:r>
      <w:r>
        <w:rPr>
          <w:rFonts w:cs="Arial" w:ascii="Arial Narrow" w:hAnsi="Arial Narrow"/>
          <w:sz w:val="20"/>
          <w:u w:val="single"/>
        </w:rPr>
        <w:t>Y</w:t>
      </w:r>
      <w:r>
        <w:rPr>
          <w:rFonts w:cs="Arial"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Narrow" w:hAnsi="Arial Narrow"/>
          <w:sz w:val="20"/>
          <w:u w:val="single"/>
        </w:rPr>
        <w:t>Section 5</w:t>
      </w:r>
      <w:r>
        <w:rPr>
          <w:rFonts w:cs="Arial"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cs="Arial" w:ascii="Arial Narrow" w:hAnsi="Arial Narrow"/>
          <w:sz w:val="20"/>
          <w:u w:val="single"/>
        </w:rPr>
        <w:t>Section 5</w:t>
      </w:r>
      <w:r>
        <w:rPr>
          <w:rFonts w:cs="Arial"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Narrow" w:hAnsi="Arial Narrow"/>
          <w:sz w:val="20"/>
          <w:u w:val="single"/>
        </w:rPr>
        <w:t>Section 5</w:t>
      </w:r>
      <w:r>
        <w:rPr>
          <w:rFonts w:cs="Arial"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Narrow" w:hAnsi="Arial Narrow"/>
          <w:sz w:val="20"/>
          <w:u w:val="single"/>
        </w:rPr>
        <w:t>Section 5</w:t>
      </w:r>
      <w:r>
        <w:rPr>
          <w:rFonts w:cs="Arial" w:ascii="Arial Narrow" w:hAnsi="Arial Narrow"/>
          <w:sz w:val="20"/>
        </w:rPr>
        <w:t xml:space="preserve">, as agent on behalf of its Affiliates, which Affiliates shall receive the benefits of this </w:t>
      </w:r>
      <w:r>
        <w:rPr>
          <w:rFonts w:cs="Arial" w:ascii="Arial Narrow" w:hAnsi="Arial Narrow"/>
          <w:sz w:val="20"/>
          <w:u w:val="single"/>
        </w:rPr>
        <w:t>Section 5</w:t>
      </w:r>
      <w:r>
        <w:rPr>
          <w:rFonts w:cs="Arial" w:ascii="Arial Narrow" w:hAnsi="Arial Narrow"/>
          <w:sz w:val="20"/>
        </w:rPr>
        <w:t xml:space="preserve"> and otherwise be bound as if such Affiliates had entered into this GTC as its relates to </w:t>
      </w:r>
      <w:r>
        <w:rPr>
          <w:rFonts w:cs="Arial" w:ascii="Arial Narrow" w:hAnsi="Arial Narrow"/>
          <w:sz w:val="20"/>
          <w:u w:val="single"/>
        </w:rPr>
        <w:t>Section 5</w:t>
      </w:r>
      <w:r>
        <w:rPr>
          <w:rFonts w:cs="Arial" w:ascii="Arial Narrow" w:hAnsi="Arial Narrow"/>
          <w:sz w:val="20"/>
        </w:rPr>
        <w:t xml:space="preserve">.  Notwithstanding any provision to the contrary contained in this GTC, the non-defaulting party shall not be required to pay to the Defaulting Party any amount under </w:t>
      </w:r>
      <w:r>
        <w:rPr>
          <w:rFonts w:cs="Arial" w:ascii="Arial Narrow" w:hAnsi="Arial Narrow"/>
          <w:sz w:val="20"/>
          <w:u w:val="single"/>
        </w:rPr>
        <w:t>Section 5</w:t>
      </w:r>
      <w:r>
        <w:rPr>
          <w:rFonts w:cs="Arial"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u w:val="single"/>
        </w:rPr>
        <w:t>6. Payments and Pricing</w:t>
      </w:r>
      <w:r>
        <w:rPr>
          <w:rFonts w:cs="Arial" w:ascii="Arial Narrow" w:hAnsi="Arial Narrow"/>
          <w:sz w:val="20"/>
        </w:rPr>
        <w:t xml:space="preserve">.  By the 10th day of each month Seller shall provide Buyer a written statement covering the preceding month.  Billing and payment will be based on scheduled quantities.  </w:t>
      </w:r>
      <w:r>
        <w:rPr>
          <w:rFonts w:cs="Arial" w:ascii="Arial Narrow" w:hAnsi="Arial Narrow"/>
          <w:sz w:val="20"/>
          <w:szCs w:val="20"/>
        </w:rPr>
        <w:t xml:space="preserve">Differences between scheduled quantities and actual quantities delivered and received hereunder will be corrected or settled in cash or gas or by offset as the parties agree.  </w:t>
      </w:r>
      <w:r>
        <w:rPr>
          <w:rFonts w:cs="Arial" w:ascii="Arial Narrow" w:hAnsi="Arial Narrow"/>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Narrow" w:hAnsi="Arial Narrow"/>
          <w:sz w:val="20"/>
          <w:u w:val="single"/>
        </w:rPr>
        <w:t>Section 6</w:t>
      </w:r>
      <w:r>
        <w:rPr>
          <w:rFonts w:cs="Arial" w:ascii="Arial Narrow" w:hAnsi="Arial Narrow"/>
          <w:sz w:val="20"/>
        </w:rPr>
        <w:t xml:space="preserve"> are due by the 25th day of the month in which the statement therefor was received (the "</w:t>
      </w:r>
      <w:r>
        <w:rPr>
          <w:rFonts w:cs="Arial" w:ascii="Arial Narrow" w:hAnsi="Arial Narrow"/>
          <w:sz w:val="20"/>
          <w:u w:val="single"/>
        </w:rPr>
        <w:t>Payment Date</w:t>
      </w:r>
      <w:r>
        <w:rPr>
          <w:rFonts w:cs="Arial"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UBS determining the average of two or more bona fide third party quotes.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7. Taxes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 xml:space="preserve">The Contract Price includes full reimbursement for, and </w:t>
      </w:r>
      <w:r>
        <w:rPr>
          <w:rFonts w:cs="Arial" w:ascii="Arial Narrow" w:hAnsi="Arial Narrow"/>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Narrow" w:hAnsi="Arial Narrow"/>
          <w:sz w:val="20"/>
          <w:szCs w:val="20"/>
        </w:rPr>
        <w:t xml:space="preserve">The Contract Price does not include reimbursement for, and </w:t>
      </w:r>
      <w:r>
        <w:rPr>
          <w:rFonts w:cs="Arial" w:ascii="Arial Narrow" w:hAnsi="Arial Narrow"/>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szCs w:val="20"/>
          <w:u w:val="single"/>
        </w:rPr>
        <w:t>8. Title, Risk of Loss and Indemnity</w:t>
      </w:r>
      <w:r>
        <w:rPr>
          <w:rFonts w:cs="Arial" w:ascii="Arial Narrow" w:hAnsi="Arial Narrow"/>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Narrow" w:hAnsi="Arial Narrow"/>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Narrow" w:hAnsi="Arial Narrow"/>
          <w:sz w:val="20"/>
          <w:szCs w:val="20"/>
        </w:rPr>
        <w:t xml:space="preserve">  Title to the gas scheduled hereunder shall pass from Seller to Buyer at the Delivery Point(s).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u w:val="single"/>
        </w:rPr>
        <w:t>9. Operations and Delivery</w:t>
      </w:r>
      <w:r>
        <w:rPr>
          <w:rFonts w:cs="Arial" w:ascii="Arial Narrow" w:hAnsi="Arial Narrow"/>
          <w:sz w:val="20"/>
        </w:rPr>
        <w:t>.</w:t>
      </w:r>
      <w:r>
        <w:rPr>
          <w:rFonts w:cs="Arial" w:ascii="Arial Narrow" w:hAnsi="Arial Narrow"/>
          <w:b/>
          <w:bCs/>
          <w:sz w:val="20"/>
        </w:rPr>
        <w:t xml:space="preserve">  </w:t>
      </w:r>
      <w:r>
        <w:rPr>
          <w:rFonts w:cs="Arial" w:ascii="Arial Narrow" w:hAnsi="Arial Narrow"/>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Narrow" w:hAnsi="Arial Narrow"/>
          <w:sz w:val="20"/>
          <w:u w:val="single"/>
        </w:rPr>
        <w:t>OFO</w:t>
      </w:r>
      <w:r>
        <w:rPr>
          <w:rFonts w:cs="Arial"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rFonts w:ascii="Arial Narrow" w:hAnsi="Arial Narrow" w:cs="Arial"/>
          <w:sz w:val="20"/>
        </w:rPr>
      </w:pPr>
      <w:r>
        <w:rPr>
          <w:rFonts w:cs="Arial" w:ascii="Arial Narrow" w:hAnsi="Arial Narrow"/>
          <w:b/>
          <w:bCs/>
          <w:sz w:val="20"/>
          <w:szCs w:val="20"/>
          <w:u w:val="single"/>
        </w:rPr>
        <w:t>10. Relationship Between Parties</w:t>
      </w:r>
      <w:r>
        <w:rPr>
          <w:rFonts w:cs="Arial" w:ascii="Arial Narrow" w:hAnsi="Arial Narrow"/>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Narrow" w:hAnsi="Arial Narrow" w:cs="Arial"/>
          <w:sz w:val="20"/>
          <w:szCs w:val="20"/>
        </w:rPr>
      </w:pPr>
      <w:r>
        <w:rPr>
          <w:rFonts w:cs="Arial" w:ascii="Arial Narrow" w:hAnsi="Arial Narrow"/>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11. Confidentiality</w:t>
      </w:r>
      <w:r>
        <w:rPr>
          <w:rFonts w:cs="Arial" w:ascii="Arial Narrow" w:hAnsi="Arial Narrow"/>
          <w:sz w:val="20"/>
          <w:szCs w:val="20"/>
        </w:rPr>
        <w:t xml:space="preserve">.  </w:t>
      </w:r>
      <w:r>
        <w:rPr>
          <w:rFonts w:cs="Arial" w:ascii="Arial Narrow" w:hAnsi="Arial Narrow"/>
          <w:sz w:val="20"/>
        </w:rPr>
        <w:t>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12. Damages</w:t>
      </w:r>
      <w:r>
        <w:rPr>
          <w:rFonts w:cs="Arial" w:ascii="Arial Narrow" w:hAnsi="Arial Narrow"/>
          <w:sz w:val="20"/>
          <w:szCs w:val="20"/>
        </w:rPr>
        <w:t xml:space="preserve">.  </w:t>
      </w:r>
      <w:r>
        <w:rPr>
          <w:rFonts w:cs="Arial" w:ascii="Arial Narrow" w:hAnsi="Arial Narrow"/>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jc w:val="both"/>
        <w:rPr>
          <w:rFonts w:ascii="Arial Narrow" w:hAnsi="Arial Narrow" w:cs="Arial"/>
          <w:color w:val="000000"/>
          <w:sz w:val="20"/>
          <w:szCs w:val="20"/>
        </w:rPr>
      </w:pPr>
      <w:r>
        <w:rPr>
          <w:rFonts w:cs="Arial" w:ascii="Arial Narrow" w:hAnsi="Arial Narrow"/>
          <w:b/>
          <w:bCs/>
          <w:sz w:val="20"/>
          <w:szCs w:val="20"/>
          <w:u w:val="single"/>
        </w:rPr>
        <w:t>13. Securities Representation/Canadian Delivery Point(s)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In respect of those Transactions in which the Delivery Point is located in Canada e</w:t>
      </w:r>
      <w:r>
        <w:rPr>
          <w:rFonts w:cs="Arial" w:ascii="Arial Narrow" w:hAnsi="Arial Narrow"/>
          <w:color w:val="000000"/>
          <w:sz w:val="20"/>
          <w:szCs w:val="20"/>
        </w:rPr>
        <w:t xml:space="preserve">ach party represents to the other party that </w:t>
      </w:r>
      <w:r>
        <w:rPr>
          <w:rFonts w:cs="Arial" w:ascii="Arial Narrow" w:hAnsi="Arial Narrow"/>
          <w:sz w:val="20"/>
        </w:rPr>
        <w:t xml:space="preserve">(i) the Transaction shall constitute an "OTC Derivative" as defined in the </w:t>
      </w:r>
      <w:r>
        <w:rPr>
          <w:rFonts w:cs="Arial" w:ascii="Arial Narrow" w:hAnsi="Arial Narrow"/>
          <w:i/>
          <w:sz w:val="20"/>
        </w:rPr>
        <w:t>Securities Act</w:t>
      </w:r>
      <w:r>
        <w:rPr>
          <w:rFonts w:cs="Arial" w:ascii="Arial Narrow" w:hAnsi="Arial Narrow"/>
          <w:sz w:val="20"/>
        </w:rPr>
        <w:t xml:space="preserve"> (Alberta) and the </w:t>
      </w:r>
      <w:r>
        <w:rPr>
          <w:rFonts w:cs="Arial" w:ascii="Arial Narrow" w:hAnsi="Arial Narrow"/>
          <w:i/>
          <w:sz w:val="20"/>
        </w:rPr>
        <w:t>Securities Act</w:t>
      </w:r>
      <w:r>
        <w:rPr>
          <w:rFonts w:cs="Arial"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Narrow" w:hAnsi="Arial Narrow" w:cs="Arial"/>
          <w:color w:val="000000"/>
          <w:sz w:val="20"/>
          <w:szCs w:val="20"/>
        </w:rPr>
      </w:pPr>
      <w:r>
        <w:rPr>
          <w:rFonts w:cs="Arial" w:ascii="Arial Narrow" w:hAnsi="Arial Narrow"/>
          <w:color w:val="000000"/>
          <w:sz w:val="20"/>
          <w:szCs w:val="20"/>
        </w:rPr>
      </w:r>
    </w:p>
    <w:p>
      <w:pPr>
        <w:pStyle w:val="Normal"/>
        <w:jc w:val="both"/>
        <w:rPr/>
      </w:pPr>
      <w:r>
        <w:rPr>
          <w:rFonts w:cs="Arial" w:ascii="Arial Narrow" w:hAnsi="Arial Narrow"/>
          <w:b/>
          <w:bCs/>
          <w:color w:val="000000"/>
          <w:sz w:val="20"/>
          <w:szCs w:val="20"/>
          <w:u w:val="single"/>
        </w:rPr>
        <w:t>14. Governing Law</w:t>
      </w:r>
      <w:r>
        <w:rPr>
          <w:rFonts w:cs="Arial" w:ascii="Arial Narrow" w:hAnsi="Arial Narrow"/>
          <w:color w:val="000000"/>
          <w:sz w:val="20"/>
          <w:szCs w:val="20"/>
        </w:rPr>
        <w:t xml:space="preserve">.  </w:t>
      </w:r>
      <w:r>
        <w:rPr>
          <w:rFonts w:cs="Arial" w:ascii="Arial Narrow" w:hAnsi="Arial Narrow"/>
          <w:sz w:val="20"/>
          <w:szCs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cs="Arial" w:ascii="Arial Narrow" w:hAnsi="Arial Narrow"/>
          <w:sz w:val="20"/>
          <w:szCs w:val="20"/>
          <w:u w:val="single"/>
        </w:rPr>
        <w:t>Proceedings</w:t>
      </w:r>
      <w:r>
        <w:rPr>
          <w:rFonts w:cs="Arial" w:ascii="Arial Narrow" w:hAnsi="Arial Narrow"/>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cs="Arial" w:ascii="Arial Narrow" w:hAnsi="Arial Narrow"/>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Narrow" w:hAnsi="Arial Narrow" w:cs="Arial"/>
          <w:b/>
          <w:bCs/>
          <w:color w:val="000000"/>
          <w:sz w:val="20"/>
          <w:szCs w:val="20"/>
        </w:rPr>
      </w:pPr>
      <w:r>
        <w:rPr>
          <w:rFonts w:cs="Arial" w:ascii="Arial Narrow" w:hAnsi="Arial Narrow"/>
          <w:b/>
          <w:bCs/>
          <w:color w:val="000000"/>
          <w:sz w:val="20"/>
          <w:szCs w:val="20"/>
        </w:rPr>
      </w:r>
    </w:p>
    <w:p>
      <w:pPr>
        <w:pStyle w:val="Normal"/>
        <w:tabs>
          <w:tab w:val="clear" w:pos="720"/>
          <w:tab w:val="left" w:pos="360" w:leader="none"/>
        </w:tabs>
        <w:jc w:val="both"/>
        <w:rPr/>
      </w:pPr>
      <w:r>
        <w:rPr>
          <w:rFonts w:cs="Arial" w:ascii="Arial Narrow" w:hAnsi="Arial Narrow"/>
          <w:b/>
          <w:bCs/>
          <w:color w:val="000000"/>
          <w:sz w:val="20"/>
          <w:szCs w:val="20"/>
          <w:u w:val="single"/>
        </w:rPr>
        <w:t>15. Representations and Other Matters</w:t>
      </w:r>
      <w:r>
        <w:rPr>
          <w:rFonts w:cs="Arial" w:ascii="Arial Narrow" w:hAnsi="Arial Narrow"/>
          <w:color w:val="000000"/>
          <w:sz w:val="20"/>
          <w:szCs w:val="20"/>
        </w:rPr>
        <w:t xml:space="preserve">.  </w:t>
      </w:r>
      <w:r>
        <w:rPr>
          <w:rFonts w:cs="Arial"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and each Transaction hereunder shall constitute a "forward contract" (other than Transactions hereunder with a maturity of two days or less), in each case within the meaning of the Code; and there is not pending or, to its knowledge, threatened against it any action, suit or proceeding at law or in equity or before any court, tribunal, governmental body, agency or official or any arbitrator that is likely to affect the legality, validity or enforceability of this GTC, any Transaction, or the ability to perform the obligations thereunder.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rFonts w:ascii="Arial Narrow" w:hAnsi="Arial Narrow" w:cs="Arial"/>
          <w:sz w:val="20"/>
        </w:rPr>
      </w:pPr>
      <w:r>
        <w:rPr>
          <w:rFonts w:cs="Arial"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and any Confirmation thereof contain the entire agreement between the parties and supersede all prior oral or written communications or agreements relating to the subject matter.  </w:t>
      </w:r>
      <w:r>
        <w:rPr>
          <w:rFonts w:cs="Arial Narrow" w:ascii="Arial Narrow" w:hAnsi="Arial Narrow"/>
          <w:sz w:val="20"/>
        </w:rPr>
        <w:t xml:space="preserve">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cs="Arial" w:ascii="Arial Narrow" w:hAnsi="Arial Narrow"/>
          <w:sz w:val="20"/>
          <w:u w:val="single"/>
        </w:rPr>
        <w:t>Regulatory Event</w:t>
      </w:r>
      <w:r>
        <w:rPr>
          <w:rFonts w:cs="Arial"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16.  Certain Definitions</w:t>
      </w:r>
      <w:r>
        <w:rPr>
          <w:rFonts w:cs="Arial" w:ascii="Arial Narrow" w:hAnsi="Arial Narrow"/>
          <w:sz w:val="20"/>
        </w:rPr>
        <w:t>.  Certain capitalized terms used in this GTC shall have the following meanings:</w:t>
      </w:r>
    </w:p>
    <w:p>
      <w:pPr>
        <w:pStyle w:val="Normal"/>
        <w:jc w:val="both"/>
        <w:rPr/>
      </w:pPr>
      <w:r>
        <w:rPr>
          <w:rFonts w:cs="Arial" w:ascii="Arial Narrow" w:hAnsi="Arial Narrow"/>
          <w:sz w:val="20"/>
        </w:rPr>
        <w:t>"</w:t>
      </w:r>
      <w:r>
        <w:rPr>
          <w:rFonts w:cs="Arial" w:ascii="Arial Narrow" w:hAnsi="Arial Narrow"/>
          <w:sz w:val="20"/>
          <w:u w:val="single"/>
        </w:rPr>
        <w:t>Affiliate</w:t>
      </w:r>
      <w:r>
        <w:rPr>
          <w:rFonts w:cs="Arial"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Bankruptcy Event</w:t>
      </w:r>
      <w:r>
        <w:rPr>
          <w:rFonts w:cs="Arial"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iCs/>
          <w:sz w:val="20"/>
          <w:u w:val="single"/>
        </w:rPr>
        <w:t>Business Day</w:t>
      </w:r>
      <w:r>
        <w:rPr>
          <w:rFonts w:cs="Arial"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Code</w:t>
      </w:r>
      <w:r>
        <w:rPr>
          <w:rFonts w:cs="Arial" w:ascii="Arial Narrow" w:hAnsi="Arial Narrow"/>
          <w:sz w:val="20"/>
        </w:rPr>
        <w:t>" means the United States Bankruptcy Code, 11 U.S.C. Secs. 101-1330, as may be amended from time to time.</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Costs</w:t>
      </w:r>
      <w:r>
        <w:rPr>
          <w:rFonts w:cs="Arial" w:ascii="Arial Narrow" w:hAnsi="Arial Narrow"/>
          <w:sz w:val="20"/>
        </w:rPr>
        <w:t xml:space="preserve">" means, with respect to a party, brokerage fees, commissions and other similar transaction costs and expenses reasonably incurred by such a party in entering into new arrangements that replace a Transaction. </w:t>
      </w:r>
    </w:p>
    <w:p>
      <w:pPr>
        <w:pStyle w:val="Normal"/>
        <w:jc w:val="both"/>
        <w:rPr>
          <w:rFonts w:ascii="Arial Narrow" w:hAnsi="Arial Narrow" w:cs="Arial"/>
          <w:sz w:val="20"/>
        </w:rPr>
      </w:pPr>
      <w:r>
        <w:rPr>
          <w:rFonts w:cs="Arial" w:ascii="Arial Narrow" w:hAnsi="Arial Narrow"/>
          <w:sz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Event of Default</w:t>
      </w:r>
      <w:r>
        <w:rPr>
          <w:rFonts w:cs="Arial" w:ascii="Arial Narrow" w:hAnsi="Arial Narrow"/>
          <w:sz w:val="20"/>
        </w:rPr>
        <w:t>" means with respect to a party (the "</w:t>
      </w:r>
      <w:r>
        <w:rPr>
          <w:rFonts w:cs="Arial" w:ascii="Arial Narrow" w:hAnsi="Arial Narrow"/>
          <w:sz w:val="20"/>
          <w:u w:val="single"/>
        </w:rPr>
        <w:t>Defaulting Party</w:t>
      </w:r>
      <w:r>
        <w:rPr>
          <w:rFonts w:cs="Arial"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GTC; (v) a Bankruptcy Event occurs with respect to the Defaulting Party; (vi) a Merger Event occurs with respect to the Defaulting Party; </w:t>
      </w:r>
      <w:r>
        <w:rPr>
          <w:rFonts w:cs="Arial" w:ascii="Arial Narrow" w:hAnsi="Arial Narrow"/>
          <w:sz w:val="20"/>
          <w:szCs w:val="20"/>
        </w:rPr>
        <w:t xml:space="preserve">(vii) </w:t>
      </w:r>
      <w:r>
        <w:rPr>
          <w:rFonts w:cs="Arial" w:ascii="Arial Narrow" w:hAnsi="Arial Narrow"/>
          <w:sz w:val="20"/>
        </w:rPr>
        <w:t xml:space="preserve">an event of default occurs (howsoever determined) with respect to the Defaulting Party under any </w:t>
      </w:r>
      <w:r>
        <w:rPr>
          <w:rFonts w:cs="Arial" w:ascii="Arial Narrow" w:hAnsi="Arial Narrow"/>
          <w:sz w:val="20"/>
          <w:szCs w:val="20"/>
        </w:rPr>
        <w:t>transaction or agreement between UBS and counterparty under any forward contract, swap agreement or commodity contract, in each case as defined in the Code, or any indebtedness for borrowed money, and there occurs a liquidation of, an acceleration of obligations under, or an early termination of, all transactions thereunder or the agreement;</w:t>
      </w:r>
      <w:r>
        <w:rPr>
          <w:rFonts w:cs="Arial" w:ascii="Arial Narrow" w:hAnsi="Arial Narrow"/>
          <w:sz w:val="20"/>
          <w:szCs w:val="22"/>
        </w:rPr>
        <w:t xml:space="preserve"> or (viii) an event of default occurs (howsoever determined) with respect to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(viii)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szCs w:val="20"/>
        </w:rPr>
        <w:t>"</w:t>
      </w:r>
      <w:r>
        <w:rPr>
          <w:rFonts w:cs="Arial" w:ascii="Arial Narrow" w:hAnsi="Arial Narrow"/>
          <w:sz w:val="20"/>
          <w:szCs w:val="20"/>
          <w:u w:val="single"/>
        </w:rPr>
        <w:t>Force Majeure</w:t>
      </w:r>
      <w:r>
        <w:rPr>
          <w:rFonts w:cs="Arial" w:ascii="Arial Narrow" w:hAnsi="Arial Narrow"/>
          <w:sz w:val="20"/>
          <w:szCs w:val="20"/>
        </w:rPr>
        <w:t>"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Force Majeure.  To the extent set forth above, Force Majeure shall include an event of Force Majeure occurring with respect to the obligations and facilities of transporters.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Gains</w:t>
      </w:r>
      <w:r>
        <w:rPr>
          <w:rFonts w:cs="Arial" w:ascii="Arial Narrow" w:hAnsi="Arial Narrow"/>
          <w:sz w:val="20"/>
        </w:rPr>
        <w:t xml:space="preserve">" means, with respect to a party, an amount equal to the present value of the economic benefit (exclusive of costs), if any, to it resulting from the termination of its obligations with respect to a Transaction, determined in a commercially reasonable manner.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Interest Rate</w:t>
      </w:r>
      <w:r>
        <w:rPr>
          <w:rFonts w:cs="Arial" w:ascii="Arial Narrow" w:hAnsi="Arial Narrow"/>
          <w:sz w:val="20"/>
        </w:rPr>
        <w:t xml:space="preserve">" means a per annum rate of interest equal to the prime lending rate as may from time to time be published in </w:t>
      </w:r>
      <w:r>
        <w:rPr>
          <w:rFonts w:cs="Arial" w:ascii="Arial Narrow" w:hAnsi="Arial Narrow"/>
          <w:i/>
          <w:iCs/>
          <w:sz w:val="20"/>
        </w:rPr>
        <w:t>The Wall Street Journal</w:t>
      </w:r>
      <w:r>
        <w:rPr>
          <w:rFonts w:cs="Arial" w:ascii="Arial Narrow" w:hAnsi="Arial Narrow"/>
          <w:sz w:val="20"/>
        </w:rPr>
        <w:t xml:space="preserve"> under "Money Rates" plus two percent; provided, the Interest Rate may never exceed the maximum lawful rate under applicable law.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Losses</w:t>
      </w:r>
      <w:r>
        <w:rPr>
          <w:rFonts w:cs="Arial" w:ascii="Arial Narrow" w:hAnsi="Arial Narrow"/>
          <w:sz w:val="20"/>
        </w:rPr>
        <w:t xml:space="preserve">" means, with respect to a party, an amount equal to the present value of the economic loss (exclusive of Costs), if any, to it resulting from the termination of its obligations with respect to a Transaction.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Market Disruption Event</w:t>
      </w:r>
      <w:r>
        <w:rPr>
          <w:rFonts w:cs="Arial"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Narrow" w:hAnsi="Arial Narrow"/>
          <w:sz w:val="20"/>
          <w:u w:val="single"/>
        </w:rPr>
        <w:t>Exchange</w:t>
      </w:r>
      <w:r>
        <w:rPr>
          <w:rFonts w:cs="Arial"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Merger Event</w:t>
      </w:r>
      <w:r>
        <w:rPr>
          <w:rFonts w:cs="Arial"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resulting entity's creditworthiness is materially weaker than that of such party or other entity immediately prior to such 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Owed</w:t>
      </w:r>
      <w:r>
        <w:rPr>
          <w:rFonts w:cs="Arial" w:ascii="Arial Narrow" w:hAnsi="Arial Narrow"/>
          <w:sz w:val="20"/>
        </w:rPr>
        <w:t xml:space="preserve">" means any amounts owed or otherwise accrued and payable (regardless of whether such amounts have been or could be invoiced) as of the Early Termination Date.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szCs w:val="20"/>
        </w:rPr>
        <w:t>"</w:t>
      </w:r>
      <w:r>
        <w:rPr>
          <w:rFonts w:cs="Arial" w:ascii="Arial Narrow" w:hAnsi="Arial Narrow"/>
          <w:sz w:val="20"/>
          <w:szCs w:val="20"/>
          <w:u w:val="single"/>
        </w:rPr>
        <w:t>Replacement Price Differential</w:t>
      </w:r>
      <w:r>
        <w:rPr>
          <w:rFonts w:cs="Arial" w:ascii="Arial Narrow" w:hAnsi="Arial Narrow"/>
          <w:sz w:val="20"/>
          <w:szCs w:val="20"/>
        </w:rPr>
        <w:t xml:space="preserve">" means (i) in the event of a Seller's Deficiency Breach, the positive difference, if any, obtained by subtracting the Contract Price from the Spot Price (below defined) for the day in which the default occurred, and (ii) in the event of a Buyer's Deficiency Breach, the positive difference, if any, obtained by subtracting the Spot Price for the day in which the default occurred from the Contract Price.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szCs w:val="20"/>
        </w:rPr>
        <w:t>"</w:t>
      </w:r>
      <w:r>
        <w:rPr>
          <w:rFonts w:cs="Arial" w:ascii="Arial Narrow" w:hAnsi="Arial Narrow"/>
          <w:sz w:val="20"/>
          <w:szCs w:val="20"/>
          <w:u w:val="single"/>
        </w:rPr>
        <w:t>Spot Price</w:t>
      </w:r>
      <w:r>
        <w:rPr>
          <w:rFonts w:cs="Arial" w:ascii="Arial Narrow" w:hAnsi="Arial Narrow"/>
          <w:sz w:val="20"/>
          <w:szCs w:val="20"/>
        </w:rPr>
        <w:t xml:space="preserve">" means, subject to </w:t>
      </w:r>
      <w:r>
        <w:rPr>
          <w:rFonts w:cs="Arial" w:ascii="Arial Narrow" w:hAnsi="Arial Narrow"/>
          <w:sz w:val="20"/>
          <w:szCs w:val="20"/>
          <w:u w:val="single"/>
        </w:rPr>
        <w:t>Section 6</w:t>
      </w:r>
      <w:r>
        <w:rPr>
          <w:rFonts w:cs="Arial" w:ascii="Arial Narrow" w:hAnsi="Arial Narrow"/>
          <w:sz w:val="20"/>
          <w:szCs w:val="20"/>
        </w:rPr>
        <w:t xml:space="preserve">, the "Daily Midpoint" price set forth in </w:t>
      </w:r>
      <w:r>
        <w:rPr>
          <w:rFonts w:cs="Arial" w:ascii="Arial Narrow" w:hAnsi="Arial Narrow"/>
          <w:sz w:val="20"/>
          <w:szCs w:val="20"/>
          <w:u w:val="single"/>
        </w:rPr>
        <w:t>Gas Daily</w:t>
      </w:r>
      <w:r>
        <w:rPr>
          <w:rFonts w:cs="Arial" w:ascii="Arial Narrow" w:hAnsi="Arial Narrow"/>
          <w:sz w:val="20"/>
          <w:szCs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Taxes</w:t>
      </w:r>
      <w:r>
        <w:rPr>
          <w:rFonts w:cs="Arial"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Threshold Amount</w:t>
      </w:r>
      <w:r>
        <w:rPr>
          <w:rFonts w:cs="Arial" w:ascii="Arial Narrow" w:hAnsi="Arial Narrow"/>
          <w:sz w:val="20"/>
        </w:rPr>
        <w:t>" means an amount equal to two percent of shareholders' equity (howsoever described) as shown on the most recent annual audited statements of the relevant entity.</w:t>
      </w:r>
    </w:p>
    <w:p>
      <w:pPr>
        <w:pStyle w:val="Normal"/>
        <w:jc w:val="both"/>
        <w:rPr>
          <w:rFonts w:ascii="Arial Narrow" w:hAnsi="Arial Narrow" w:cs="Arial"/>
          <w:sz w:val="20"/>
          <w:szCs w:val="20"/>
        </w:rPr>
      </w:pPr>
      <w:r>
        <w:rPr>
          <w:rFonts w:cs="Arial" w:ascii="Arial Narrow" w:hAnsi="Arial Narrow"/>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w:sz w:val="20"/>
      </w:rPr>
    </w:pPr>
    <w:r>
      <w:rPr>
        <w:rStyle w:val="PageNumber"/>
        <w:rFonts w:cs="Arial" w:ascii="Arial Narrow" w:hAnsi="Arial Narrow"/>
        <w:sz w:val="20"/>
      </w:rPr>
      <w:fldChar w:fldCharType="begin"/>
    </w:r>
    <w:r>
      <w:rPr>
        <w:rStyle w:val="PageNumber"/>
        <w:sz w:val="20"/>
        <w:rFonts w:cs="Arial" w:ascii="Arial Narrow" w:hAnsi="Arial Narrow"/>
      </w:rPr>
      <w:instrText xml:space="preserve"> PAGE </w:instrText>
    </w:r>
    <w:r>
      <w:rPr>
        <w:rStyle w:val="PageNumber"/>
        <w:sz w:val="20"/>
        <w:rFonts w:cs="Arial" w:ascii="Arial Narrow" w:hAnsi="Arial Narrow"/>
      </w:rPr>
      <w:fldChar w:fldCharType="separate"/>
    </w:r>
    <w:r>
      <w:rPr>
        <w:rStyle w:val="PageNumber"/>
        <w:sz w:val="20"/>
        <w:rFonts w:cs="Arial" w:ascii="Arial Narrow" w:hAnsi="Arial Narrow"/>
      </w:rPr>
      <w:t>10</w:t>
    </w:r>
    <w:r>
      <w:rPr>
        <w:rStyle w:val="PageNumber"/>
        <w:sz w:val="20"/>
        <w:rFonts w:cs="Arial" w:ascii="Arial Narrow" w:hAnsi="Arial Narrow"/>
      </w:rPr>
      <w:fldChar w:fldCharType="end"/>
    </w:r>
  </w:p>
  <w:p>
    <w:pPr>
      <w:pStyle w:val="Footer"/>
      <w:rPr>
        <w:rFonts w:ascii="Arial" w:hAnsi="Arial" w:cs="Arial"/>
        <w:sz w:val="18"/>
      </w:rPr>
    </w:pPr>
    <w:r>
      <w:rPr>
        <w:rFonts w:cs="Arial" w:ascii="Arial" w:hAnsi="Arial"/>
        <w:sz w:val="18"/>
      </w:rPr>
    </w:r>
  </w:p>
  <w:p>
    <w:pPr>
      <w:pStyle w:val="Footer"/>
      <w:rPr>
        <w:rFonts w:ascii="Arial Narrow" w:hAnsi="Arial Narrow" w:cs="Arial"/>
        <w:sz w:val="18"/>
      </w:rPr>
    </w:pPr>
    <w:r>
      <w:rPr>
        <w:rFonts w:cs="Arial" w:ascii="Arial Narrow" w:hAnsi="Arial Narrow"/>
        <w:sz w:val="18"/>
      </w:rPr>
      <w:t>Firm Gas GTC otc d January 2002</w:t>
    </w:r>
  </w:p>
  <w:p>
    <w:pPr>
      <w:pStyle w:val="Footer"/>
      <w:rPr>
        <w:rFonts w:ascii="Arial" w:hAnsi="Arial" w:cs="Arial"/>
        <w:sz w:val="18"/>
      </w:rPr>
    </w:pPr>
    <w:r>
      <w:rPr>
        <w:rFonts w:cs="Arial" w:ascii="Arial" w:hAnsi="Arial"/>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2002-02-05T18:13:00Z</dcterms:created>
  <dc:creator>sdickso</dc:creator>
  <dc:description/>
  <dc:language>en-CA</dc:language>
  <cp:lastModifiedBy>fvicker</cp:lastModifiedBy>
  <cp:lastPrinted>2002-02-01T16:05:00Z</cp:lastPrinted>
  <dcterms:modified xsi:type="dcterms:W3CDTF">2002-02-05T18:13:00Z</dcterms:modified>
  <cp:revision>2</cp:revision>
  <dc:subject/>
  <dc:title>ENA Natgas Firm GTC</dc:title>
</cp:coreProperties>
</file>