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GENERAL TERMS &amp; CONDITIONS (GAS)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xml:space="preserve">.  </w:t>
      </w:r>
      <w:r>
        <w:rPr>
          <w:rFonts w:cs="Arial" w:ascii="Arial" w:hAnsi="Arial"/>
          <w:b/>
          <w:bCs/>
          <w:sz w:val="20"/>
          <w:szCs w:val="20"/>
        </w:rPr>
        <w:t>[NETCO]</w:t>
      </w:r>
      <w:r>
        <w:rPr>
          <w:rFonts w:cs="Arial" w:ascii="Arial" w:hAnsi="Arial"/>
          <w:sz w:val="20"/>
          <w:szCs w:val="20"/>
        </w:rPr>
        <w:t xml:space="preserve"> ("</w:t>
      </w:r>
      <w:r>
        <w:rPr>
          <w:rFonts w:cs="Arial" w:ascii="Arial" w:hAnsi="Arial"/>
          <w:sz w:val="20"/>
          <w:szCs w:val="20"/>
          <w:u w:val="single"/>
        </w:rPr>
        <w:t>Company</w:t>
      </w:r>
      <w:r>
        <w:rPr>
          <w:rFonts w:cs="Arial" w:ascii="Arial" w:hAnsi="Arial"/>
          <w:sz w:val="20"/>
          <w:szCs w:val="20"/>
        </w:rPr>
        <w:t>") and counterparty from time to time may engage in transactions pursuant to this GTC and the terms set forth in the internet-based electronic trading facility established by Company referencing this GTC (the "</w:t>
      </w:r>
      <w:r>
        <w:rPr>
          <w:rFonts w:cs="Arial" w:ascii="Arial" w:hAnsi="Arial"/>
          <w:sz w:val="20"/>
          <w:szCs w:val="20"/>
          <w:u w:val="single"/>
        </w:rPr>
        <w:t>Website</w:t>
      </w:r>
      <w:r>
        <w:rPr>
          <w:rFonts w:cs="Arial" w:ascii="Arial" w:hAnsi="Arial"/>
          <w:sz w:val="20"/>
          <w:szCs w:val="20"/>
        </w:rPr>
        <w:t>") submitted by counterparty and accepted by Company (each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 xml:space="preserve">").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or to provide credit support pursuant to </w:t>
      </w:r>
      <w:r>
        <w:rPr>
          <w:rFonts w:cs="Arial" w:ascii="Arial" w:hAnsi="Arial"/>
          <w:sz w:val="20"/>
          <w:u w:val="single"/>
        </w:rPr>
        <w:t>Section 16</w:t>
      </w:r>
      <w:r>
        <w:rPr>
          <w:rFonts w:cs="Arial" w:ascii="Arial" w:hAnsi="Arial"/>
          <w:sz w:val="20"/>
        </w:rPr>
        <w:t>, in each case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material covenant set forth herein other than the covenants set forth in item (i) above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rFonts w:cs="Arial" w:ascii="Arial" w:hAnsi="Arial"/>
          <w:sz w:val="20"/>
          <w:u w:val="single"/>
        </w:rPr>
        <w:t>Bankruptcy Event of Default</w:t>
      </w:r>
      <w:r>
        <w:rPr>
          <w:rFonts w:cs="Arial"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(vi) </w:t>
      </w:r>
      <w:r>
        <w:rPr>
          <w:rFonts w:cs="Arial" w:ascii="Arial" w:hAnsi="Arial"/>
          <w:sz w:val="20"/>
          <w:szCs w:val="20"/>
        </w:rPr>
        <w:t>the Defaulting Party's failure to schedule the Daily Contract Quantity for a cumulative period of 45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(vii) </w:t>
      </w:r>
      <w:r>
        <w:rPr>
          <w:rFonts w:cs="Arial" w:ascii="Arial" w:hAnsi="Arial"/>
          <w:sz w:val="20"/>
        </w:rPr>
        <w:t xml:space="preserve">an event of default occurs (howsoever determined) under any </w:t>
      </w:r>
      <w:r>
        <w:rPr>
          <w:rFonts w:cs="Arial" w:ascii="Arial" w:hAnsi="Arial"/>
          <w:sz w:val="20"/>
          <w:szCs w:val="20"/>
        </w:rPr>
        <w:t>transaction consummated under the Spot General Terms &amp; Conditions (Gas) between Company and counterparty (the "</w:t>
      </w:r>
      <w:r>
        <w:rPr>
          <w:rFonts w:cs="Arial" w:ascii="Arial" w:hAnsi="Arial"/>
          <w:sz w:val="20"/>
          <w:szCs w:val="20"/>
          <w:u w:val="single"/>
        </w:rPr>
        <w:t>Spot GTC</w:t>
      </w:r>
      <w:r>
        <w:rPr>
          <w:rFonts w:cs="Arial" w:ascii="Arial" w:hAnsi="Arial"/>
          <w:sz w:val="20"/>
          <w:szCs w:val="20"/>
        </w:rPr>
        <w:t>"), if any, or any transaction consummated under Base Contract For Short-Term Sale and Purchase of Natural Gas (GISB Form) between Company and counterparty (the "</w:t>
      </w:r>
      <w:r>
        <w:rPr>
          <w:rFonts w:cs="Arial" w:ascii="Arial" w:hAnsi="Arial"/>
          <w:sz w:val="20"/>
          <w:szCs w:val="20"/>
          <w:u w:val="single"/>
        </w:rPr>
        <w:t>GISB Contract</w:t>
      </w:r>
      <w:r>
        <w:rPr>
          <w:rFonts w:cs="Arial" w:ascii="Arial" w:hAnsi="Arial"/>
          <w:sz w:val="20"/>
          <w:szCs w:val="20"/>
        </w:rPr>
        <w:t xml:space="preserve">"), if any, or any other transaction between Company and counterparty for the purchase or sale of natural gas; (viii) the guarantor of the Defaulting Party fails to perform any covenant set forth in any guaranty agreement provided pursuant to </w:t>
      </w:r>
      <w:r>
        <w:rPr>
          <w:rFonts w:cs="Arial" w:ascii="Arial" w:hAnsi="Arial"/>
          <w:sz w:val="20"/>
          <w:szCs w:val="20"/>
          <w:u w:val="single"/>
        </w:rPr>
        <w:t>Section 16</w:t>
      </w:r>
      <w:r>
        <w:rPr>
          <w:rFonts w:cs="Arial" w:ascii="Arial" w:hAnsi="Arial"/>
          <w:sz w:val="20"/>
          <w:szCs w:val="20"/>
        </w:rPr>
        <w:t xml:space="preserve">, any representation or warranty made by the guarantor in such guaranty agreement shall prove to have been false or misleading in any material respect, or the guarantor shall take or suffer any actions set forth in item (iv) above as applied to it; or (ix) </w:t>
      </w:r>
      <w:r>
        <w:rPr>
          <w:rFonts w:cs="Arial" w:ascii="Arial" w:hAnsi="Arial"/>
          <w:sz w:val="20"/>
          <w:szCs w:val="22"/>
        </w:rPr>
        <w:t xml:space="preserve">the issuer of a letter of credit provided pursuant to </w:t>
      </w:r>
      <w:r>
        <w:rPr>
          <w:rFonts w:cs="Arial" w:ascii="Arial" w:hAnsi="Arial"/>
          <w:sz w:val="20"/>
          <w:szCs w:val="22"/>
          <w:u w:val="single"/>
        </w:rPr>
        <w:t>Section 16</w:t>
      </w:r>
      <w:r>
        <w:rPr>
          <w:rFonts w:cs="Arial" w:ascii="Arial" w:hAnsi="Arial"/>
          <w:sz w:val="20"/>
          <w:szCs w:val="22"/>
        </w:rPr>
        <w:t xml:space="preserve"> 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w:t>
      </w:r>
      <w:r>
        <w:rPr>
          <w:rFonts w:cs="Arial" w:ascii="Arial" w:hAnsi="Arial"/>
          <w:sz w:val="20"/>
          <w:szCs w:val="20"/>
        </w:rPr>
        <w:t>or shall take or suffer any actions set forth in item (iv) above as applied to it,</w:t>
      </w:r>
      <w:r>
        <w:rPr>
          <w:rFonts w:cs="Arial" w:ascii="Arial" w:hAnsi="Arial"/>
          <w:sz w:val="20"/>
          <w:szCs w:val="22"/>
        </w:rPr>
        <w:t xml:space="preserve"> or such letter of credit shall expire or terminate, or shall fail or cease to be in full force and effect at any time during the term of the Transaction for which it is issued without having been replaced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(below defined) of X under this GTC, the Spot GTC, the GISB Contract, or under any other agreement(s), instrument(s) or undertaking(s), any amounts Owed in Dollars or any other currency by Y to X or any of X's Affiliates under this GTC, the Spot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w:t>
      </w:r>
      <w:r>
        <w:rPr>
          <w:rFonts w:cs="Arial" w:ascii="Arial" w:hAnsi="Arial"/>
          <w:sz w:val="20"/>
          <w:u w:val="single"/>
        </w:rPr>
        <w:t>Section 5</w:t>
      </w:r>
      <w:r>
        <w:rPr>
          <w:rFonts w:cs="Arial" w:ascii="Arial" w:hAnsi="Arial"/>
          <w:sz w:val="20"/>
        </w:rPr>
        <w:t xml:space="preserve"> are an integral part of the GTC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the Spot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6. Payments</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Buyer and Seller are each required to pay an amount in the same month pursuant to Transactions under this GTC, the Spot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pPr>
      <w:r>
        <w:rPr>
          <w:rFonts w:cs="Arial" w:ascii="Arial" w:hAnsi="Arial"/>
          <w:b/>
          <w:bCs/>
          <w:sz w:val="20"/>
          <w:szCs w:val="20"/>
          <w:u w:val="single"/>
        </w:rPr>
        <w:t>10. Arbitration</w:t>
      </w:r>
      <w:r>
        <w:rPr>
          <w:rFonts w:cs="Arial" w:ascii="Arial" w:hAnsi="Arial"/>
          <w:sz w:val="20"/>
          <w:szCs w:val="20"/>
        </w:rPr>
        <w:t xml:space="preserve">.  </w:t>
      </w:r>
      <w:r>
        <w:rPr>
          <w:rFonts w:cs="Arial" w:ascii="Arial" w:hAnsi="Arial"/>
          <w:sz w:val="20"/>
        </w:rPr>
        <w:t>Any dispute relating to this GTC shall be resolved by binding arbitration conducted in accordance with the Commercial Arbitration Rules of the American Arbitration Association ("</w:t>
      </w:r>
      <w:r>
        <w:rPr>
          <w:rFonts w:cs="Arial" w:ascii="Arial" w:hAnsi="Arial"/>
          <w:sz w:val="20"/>
          <w:u w:val="single"/>
        </w:rPr>
        <w:t>AAA</w:t>
      </w:r>
      <w:r>
        <w:rPr>
          <w:rFonts w:cs="Arial" w:ascii="Arial" w:hAnsi="Arial"/>
          <w:sz w:val="20"/>
        </w:rPr>
        <w:t>") and governed by the Federal Arbitration Act ("</w:t>
      </w:r>
      <w:r>
        <w:rPr>
          <w:rFonts w:cs="Arial" w:ascii="Arial" w:hAnsi="Arial"/>
          <w:sz w:val="20"/>
          <w:u w:val="single"/>
        </w:rPr>
        <w:t>FAA</w:t>
      </w:r>
      <w:r>
        <w:rPr>
          <w:rFonts w:cs="Arial" w:ascii="Arial" w:hAnsi="Arial"/>
          <w:sz w:val="20"/>
        </w:rPr>
        <w:t xml:space="preserve">").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t>
      </w:r>
      <w:r>
        <w:rPr>
          <w:rFonts w:cs="Arial" w:ascii="Arial" w:hAnsi="Arial"/>
          <w:sz w:val="20"/>
          <w:szCs w:val="20"/>
        </w:rPr>
        <w:t>whether such damages may be available under the laws of any Canadian Province for those Transactions in which the Delivery Point is located in Canada.</w:t>
      </w:r>
      <w:r>
        <w:rPr>
          <w:rFonts w:cs="Arial" w:ascii="Arial" w:hAnsi="Arial"/>
          <w:sz w:val="20"/>
        </w:rPr>
        <w:t xml:space="preserve">  The arbitration shall be conducted in Houston, Texas and such arbitration, and any related award shall be considered confidential and subject to the confidentiality requirements applicable to this GTC.</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t>
      </w:r>
    </w:p>
    <w:p>
      <w:pPr>
        <w:pStyle w:val="Normal"/>
        <w:jc w:val="both"/>
        <w:rPr>
          <w:rFonts w:ascii="Arial" w:hAnsi="Arial" w:cs="Arial"/>
          <w:color w:val="000000"/>
          <w:sz w:val="20"/>
          <w:szCs w:val="20"/>
        </w:rPr>
      </w:pPr>
      <w:r>
        <w:rPr>
          <w:rFonts w:cs="Arial" w:ascii="Arial" w:hAnsi="Arial"/>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 xml:space="preserve">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w:hAnsi="Arial"/>
          <w:sz w:val="20"/>
          <w:u w:val="single"/>
        </w:rPr>
        <w:t>Section 16</w:t>
      </w:r>
      <w:r>
        <w:rPr>
          <w:rFonts w:cs="Arial" w:ascii="Arial" w:hAnsi="Arial"/>
          <w:sz w:val="20"/>
        </w:rPr>
        <w:t xml:space="preserve"> or the ability to perform the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any of its obligations thereunder, and (iv) any guaranty or other credit support arrangement provided pursuant to </w:t>
      </w:r>
      <w:r>
        <w:rPr>
          <w:rFonts w:cs="Arial" w:ascii="Arial" w:hAnsi="Arial"/>
          <w:sz w:val="20"/>
          <w:u w:val="single"/>
        </w:rPr>
        <w:t>Section 16</w:t>
      </w:r>
      <w:r>
        <w:rPr>
          <w:rFonts w:cs="Arial"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16.  Credit Support Arrangements</w:t>
      </w:r>
      <w:r>
        <w:rPr>
          <w:rFonts w:cs="Arial" w:ascii="Arial" w:hAnsi="Arial"/>
          <w:sz w:val="20"/>
        </w:rPr>
        <w:t xml:space="preserve">.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 </w:t>
      </w:r>
    </w:p>
    <w:p>
      <w:pPr>
        <w:pStyle w:val="Normal"/>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Firm Gas GTC Collateral Support January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2002-01-10T16:12:00Z</dcterms:created>
  <dc:creator>sdickso</dc:creator>
  <dc:description/>
  <dc:language>en-CA</dc:language>
  <cp:lastModifiedBy>mcook</cp:lastModifiedBy>
  <cp:lastPrinted>2002-01-10T12:41:00Z</cp:lastPrinted>
  <dcterms:modified xsi:type="dcterms:W3CDTF">2002-01-11T16:40:00Z</dcterms:modified>
  <cp:revision>18</cp:revision>
  <dc:subject/>
  <dc:title>ENA Natgas Firm GTC</dc:title>
</cp:coreProperties>
</file>