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October 17,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closest in proximity to the Delivery Point(s)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The Notifying Party shall calculate its damages, including its associated costs and attorneys' fees, resulting from the termination of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time that the Transaction is agreed to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The undersigned agree that from and after October ______, 2001, firm physical natural gas transactions between them entered into through EnronOnline shall be governed by the foregoing General Terms &amp; Conditions.</w:t>
      </w:r>
    </w:p>
    <w:p>
      <w:pPr>
        <w:pStyle w:val="NormalWeb"/>
        <w:rPr>
          <w:rFonts w:ascii="Arial" w:hAnsi="Arial" w:cs="Arial"/>
          <w:sz w:val="20"/>
        </w:rPr>
      </w:pPr>
      <w:r>
        <w:rPr>
          <w:rFonts w:cs="Arial" w:ascii="Arial" w:hAnsi="Arial"/>
          <w:sz w:val="20"/>
        </w:rPr>
        <w:t>Counterparty</w:t>
        <w:tab/>
        <w:tab/>
        <w:tab/>
        <w:tab/>
        <w:tab/>
        <w:tab/>
        <w:t>Enron North America Corp.</w:t>
      </w:r>
    </w:p>
    <w:p>
      <w:pPr>
        <w:pStyle w:val="NormalWeb"/>
        <w:rPr>
          <w:rFonts w:ascii="Arial" w:hAnsi="Arial" w:cs="Arial"/>
          <w:sz w:val="20"/>
        </w:rPr>
      </w:pPr>
      <w:r>
        <w:rPr>
          <w:rFonts w:cs="Arial" w:ascii="Arial" w:hAnsi="Arial"/>
          <w:sz w:val="20"/>
        </w:rPr>
        <w:t>By: _________________________________</w:t>
        <w:tab/>
        <w:tab/>
        <w:t>By: __________________________</w:t>
      </w:r>
    </w:p>
    <w:p>
      <w:pPr>
        <w:pStyle w:val="NormalWeb"/>
        <w:rPr>
          <w:rFonts w:ascii="Arial" w:hAnsi="Arial" w:cs="Arial"/>
          <w:sz w:val="20"/>
        </w:rPr>
      </w:pPr>
      <w:r>
        <w:rPr>
          <w:rFonts w:cs="Arial" w:ascii="Arial" w:hAnsi="Arial"/>
          <w:sz w:val="20"/>
        </w:rPr>
        <w:t>Title ________________________________</w:t>
        <w:tab/>
        <w:tab/>
        <w:t>Title _________________________</w:t>
      </w:r>
    </w:p>
    <w:p>
      <w:pPr>
        <w:pStyle w:val="NormalWeb"/>
        <w:rPr>
          <w:rFonts w:ascii="Arial" w:hAnsi="Arial" w:cs="Arial"/>
          <w:sz w:val="20"/>
        </w:rPr>
      </w:pPr>
      <w:r>
        <w:rPr>
          <w:rFonts w:cs="Arial" w:ascii="Arial" w:hAnsi="Arial"/>
          <w:sz w:val="20"/>
        </w:rPr>
        <w:t>Date_________________________________</w:t>
        <w:tab/>
        <w:tab/>
        <w:t>Date _________________________</w:t>
      </w:r>
    </w:p>
    <w:p>
      <w:pPr>
        <w:pStyle w:val="NormalWeb"/>
        <w:rPr>
          <w:rFonts w:ascii="Arial" w:hAnsi="Arial" w:cs="Arial"/>
          <w:sz w:val="20"/>
        </w:rPr>
      </w:pPr>
      <w:r>
        <w:rPr>
          <w:rFonts w:cs="Arial" w:ascii="Arial" w:hAnsi="Arial"/>
          <w:sz w:val="20"/>
        </w:rPr>
      </w:r>
    </w:p>
    <w:p>
      <w:pPr>
        <w:pStyle w:val="NormalWeb"/>
        <w:spacing w:before="280" w:after="280"/>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Firm Version 2 without Collateral</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2001-10-17T17:38:00Z</dcterms:created>
  <dc:creator>sdickso</dc:creator>
  <dc:description/>
  <dc:language>en-CA</dc:language>
  <cp:lastModifiedBy>sdickso</cp:lastModifiedBy>
  <cp:lastPrinted>2001-10-17T15:14:00Z</cp:lastPrinted>
  <dcterms:modified xsi:type="dcterms:W3CDTF">2001-10-17T17:55:00Z</dcterms:modified>
  <cp:revision>4</cp:revision>
  <dc:subject/>
  <dc:title>ENA Natgas Firm GTC</dc:title>
</cp:coreProperties>
</file>