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15" w:type="dxa"/>
        <w:tblLayout w:type="fixed"/>
        <w:tblCellMar>
          <w:top w:w="75" w:type="dxa"/>
          <w:start w:w="75" w:type="dxa"/>
          <w:bottom w:w="75" w:type="dxa"/>
          <w:end w:w="75" w:type="dxa"/>
        </w:tblCellMar>
      </w:tblPr>
      <w:tblGrid>
        <w:gridCol w:w="8640"/>
      </w:tblGrid>
      <w:tr>
        <w:trPr/>
        <w:tc>
          <w:tcPr>
            <w:tcW w:w="8640" w:type="dxa"/>
            <w:tcBorders/>
            <w:shd w:fill="FFFFFF" w:val="clear"/>
            <w:vAlign w:val="center"/>
          </w:tcPr>
          <w:p>
            <w:pPr>
              <w:pStyle w:val="NormalWeb"/>
              <w:spacing w:before="100" w:after="100"/>
              <w:jc w:val="center"/>
              <w:rPr>
                <w:b/>
                <w:bCs/>
              </w:rPr>
            </w:pPr>
            <w:r>
              <w:rPr>
                <w:b/>
                <w:bCs/>
              </w:rPr>
              <w:t xml:space="preserve">FIRM GENERAL TERMS &amp; CONDITIONS ("GTC") </w:t>
            </w:r>
          </w:p>
          <w:p>
            <w:pPr>
              <w:pStyle w:val="NormalWeb"/>
              <w:rPr>
                <w:b/>
                <w:bCs/>
                <w:u w:val="single"/>
              </w:rPr>
            </w:pPr>
            <w:r>
              <w:rPr>
                <w:b/>
                <w:bCs/>
                <w:u w:val="single"/>
              </w:rPr>
              <w:t> </w:t>
            </w:r>
          </w:p>
          <w:p>
            <w:pPr>
              <w:pStyle w:val="NormalWeb"/>
              <w:rPr/>
            </w:pPr>
            <w:r>
              <w:rPr>
                <w:b/>
                <w:bCs/>
                <w:u w:val="single"/>
              </w:rPr>
              <w:t>1. Transactions</w:t>
            </w:r>
            <w:r>
              <w:rPr/>
              <w:t xml:space="preserve">. The parties shall engage in Transactions pursuant to this GTC and the terms, set forth in the website referencing this GTC, submitted by Counterparty and accepted by Enron. In the event that the Delivery Point(s) for a transaction is located in the state of Texas, "Enron" shall mean Houston Pipe Line Company. For Transactions in which the Delivery Point(s) is not within the state of Texas, "Enron" shall mean Enron North America Corp. All Transactions between the parties shall be considered a single master agreement governed by this GTC. The </w:t>
            </w:r>
            <w:r>
              <w:rPr>
                <w:b/>
                <w:bCs/>
              </w:rPr>
              <w:t>Daily Contract Quantity</w:t>
            </w:r>
            <w:r>
              <w:rPr/>
              <w:t xml:space="preserve"> shall be scheduled by </w:t>
            </w:r>
            <w:r>
              <w:rPr>
                <w:b/>
                <w:bCs/>
              </w:rPr>
              <w:t xml:space="preserve">Seller </w:t>
            </w:r>
            <w:r>
              <w:rPr/>
              <w:t xml:space="preserve">and </w:t>
            </w:r>
            <w:r>
              <w:rPr>
                <w:b/>
                <w:bCs/>
              </w:rPr>
              <w:t xml:space="preserve">Buyer </w:t>
            </w:r>
            <w:r>
              <w:rPr/>
              <w:t xml:space="preserve">at the </w:t>
            </w:r>
            <w:r>
              <w:rPr>
                <w:b/>
                <w:bCs/>
              </w:rPr>
              <w:t>Delivery Point(s)</w:t>
            </w:r>
            <w:r>
              <w:rPr/>
              <w:t xml:space="preserve"> during the </w:t>
            </w:r>
            <w:r>
              <w:rPr>
                <w:b/>
                <w:bCs/>
              </w:rPr>
              <w:t>Period of Delivery</w:t>
            </w:r>
            <w:r>
              <w:rPr/>
              <w:t xml:space="preserve"> and at the </w:t>
            </w:r>
            <w:r>
              <w:rPr>
                <w:b/>
                <w:bCs/>
              </w:rPr>
              <w:t xml:space="preserve">Contract Price </w:t>
            </w:r>
            <w:r>
              <w:rPr/>
              <w:t xml:space="preserve">as provided in each transaction. </w:t>
            </w:r>
          </w:p>
          <w:p>
            <w:pPr>
              <w:pStyle w:val="NormalWeb"/>
              <w:rPr/>
            </w:pPr>
            <w:r>
              <w:rPr>
                <w:b/>
                <w:bCs/>
                <w:u w:val="single"/>
              </w:rPr>
              <w:t>2. Quantity Obligations</w:t>
            </w:r>
            <w:r>
              <w:rPr/>
              <w:t>. All gas shall be scheduled at the Delivery Point(s) on a firm basis and in the Daily Contract Quantity. If on any day a party fails to schedule the Daily Contract Quantity, then such occurrence shall constitute a "</w:t>
            </w:r>
            <w:r>
              <w:rPr>
                <w:u w:val="single"/>
              </w:rPr>
              <w:t>Default</w:t>
            </w:r>
            <w:r>
              <w:rPr/>
              <w:t>" and the "</w:t>
            </w:r>
            <w:r>
              <w:rPr>
                <w:u w:val="single"/>
              </w:rPr>
              <w:t>Default Quantity</w:t>
            </w:r>
            <w:r>
              <w:rPr/>
              <w:t xml:space="preserve">" shall be the numerical difference between the Daily Contract Quantity and the amount of gas scheduled. Upon Default, the defaulting party shall pay to the other party an amount equal to the </w:t>
            </w:r>
            <w:r>
              <w:rPr>
                <w:u w:val="single"/>
              </w:rPr>
              <w:t>sum</w:t>
            </w:r>
            <w:r>
              <w:rPr/>
              <w:t xml:space="preserve"> of the product of the Default Quantity multiplied by the Replacement Price Differential </w:t>
            </w:r>
            <w:r>
              <w:rPr>
                <w:u w:val="single"/>
              </w:rPr>
              <w:t>plus</w:t>
            </w:r>
            <w:r>
              <w:rPr/>
              <w:t xml:space="preserve"> liquidated damages equal to $0.15 multiplied by the Default Quantity. "</w:t>
            </w:r>
            <w:r>
              <w:rPr>
                <w:u w:val="single"/>
              </w:rPr>
              <w:t>Replacement Price Differential</w:t>
            </w:r>
            <w:r>
              <w:rPr/>
              <w:t xml:space="preserve">" means (i) in the event of a Seller's Deficiency Default, the positive difference, if any, obtained by subtracting the Contract Price </w:t>
            </w:r>
            <w:r>
              <w:rPr>
                <w:u w:val="single"/>
              </w:rPr>
              <w:t>from</w:t>
            </w:r>
            <w:r>
              <w:rPr/>
              <w:t xml:space="preserve"> the Spot Price for the day in which the default occurred, and (ii) in the event of a Buyer's Deficiency Default, the positive difference, if any, obtained by subtracting the Spot Price for the day in which the default occurred </w:t>
            </w:r>
            <w:r>
              <w:rPr>
                <w:u w:val="single"/>
              </w:rPr>
              <w:t>from</w:t>
            </w:r>
            <w:r>
              <w:rPr/>
              <w:t xml:space="preserve"> the Contract Price. "</w:t>
            </w:r>
            <w:r>
              <w:rPr>
                <w:u w:val="single"/>
              </w:rPr>
              <w:t>Spot Price</w:t>
            </w:r>
            <w:r>
              <w:rPr/>
              <w:t xml:space="preserve">" means the "Daily Midpoint" price set forth in </w:t>
            </w:r>
            <w:r>
              <w:rPr>
                <w:u w:val="single"/>
              </w:rPr>
              <w:t>Gas Daily</w:t>
            </w:r>
            <w:r>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b/>
                <w:bCs/>
                <w:u w:val="single"/>
              </w:rPr>
              <w:t>3. Early Termination</w:t>
            </w:r>
            <w:r>
              <w:rPr/>
              <w:t>. If a Triggering Event occurs with respect to either party during a Period of Delivery, the other party (the "</w:t>
            </w:r>
            <w:r>
              <w:rPr>
                <w:u w:val="single"/>
              </w:rPr>
              <w:t>Notifying Party</w:t>
            </w:r>
            <w:r>
              <w:rPr/>
              <w:t>") may upon three days written notice to the first party establish a date on which any or all Transactions governed by this GTC will terminate ("</w:t>
            </w:r>
            <w:r>
              <w:rPr>
                <w:u w:val="single"/>
              </w:rPr>
              <w:t>Early Termination Date</w:t>
            </w:r>
            <w:r>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u w:val="single"/>
              </w:rPr>
              <w:t>Termination Payment</w:t>
            </w:r>
            <w:r>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u w:val="single"/>
              </w:rPr>
              <w:t>Triggering Event</w:t>
            </w:r>
            <w:r>
              <w:rPr/>
              <w:t>" means, with respect to a party (the "</w:t>
            </w:r>
            <w:r>
              <w:rPr>
                <w:u w:val="single"/>
              </w:rPr>
              <w:t>Affected Party</w:t>
            </w:r>
            <w:r>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Web"/>
              <w:rPr/>
            </w:pPr>
            <w:r>
              <w:rPr>
                <w:b/>
                <w:bCs/>
                <w:u w:val="single"/>
              </w:rPr>
              <w:t>4. Other Events</w:t>
            </w:r>
            <w:r>
              <w:rPr/>
              <w:t>. If the Affected Party's activities become subject to regulation of any kind (other than with respect to New Taxes) to a different extent than that existing at the Firm Confirmation date (the "</w:t>
            </w:r>
            <w:r>
              <w:rPr>
                <w:u w:val="single"/>
              </w:rPr>
              <w:t>Confirm Date</w:t>
            </w:r>
            <w:r>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Web"/>
              <w:rPr/>
            </w:pPr>
            <w:r>
              <w:rPr>
                <w:b/>
                <w:bCs/>
                <w:u w:val="single"/>
              </w:rPr>
              <w:t>5. Operations and Delivery</w:t>
            </w:r>
            <w:r>
              <w:rPr/>
              <w:t>.</w:t>
            </w:r>
            <w:r>
              <w:rPr>
                <w:b/>
                <w:bCs/>
              </w:rPr>
              <w:t xml:space="preserve"> </w:t>
            </w:r>
            <w:r>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u w:val="single"/>
              </w:rPr>
              <w:t>Force Majeure</w:t>
            </w:r>
            <w:r>
              <w:rPr/>
              <w:t>, shall require or permit either party to schedule gas at a point other than a Delivery Point or in excess of the Daily Contract Quantity. If either party receives an order from a transporter requiring action in connection with a transaction (the "</w:t>
            </w:r>
            <w:r>
              <w:rPr>
                <w:u w:val="single"/>
              </w:rPr>
              <w:t>OFO</w:t>
            </w:r>
            <w:r>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Web"/>
              <w:rPr/>
            </w:pPr>
            <w:r>
              <w:rPr>
                <w:b/>
                <w:bCs/>
                <w:u w:val="single"/>
              </w:rPr>
              <w:t>6. Payments</w:t>
            </w:r>
            <w:r>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Web"/>
              <w:rPr/>
            </w:pPr>
            <w:r>
              <w:rPr>
                <w:b/>
                <w:bCs/>
                <w:u w:val="single"/>
              </w:rPr>
              <w:t>7. Taxes</w:t>
            </w:r>
            <w:r>
              <w:rPr/>
              <w:t>.</w:t>
            </w:r>
            <w:r>
              <w:rPr>
                <w:b/>
                <w:bCs/>
              </w:rPr>
              <w:t xml:space="preserve"> </w:t>
            </w:r>
            <w:r>
              <w:rPr/>
              <w:t>The Contract Price includes full reimbursement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u w:val="single"/>
              </w:rPr>
              <w:t>New Tax</w:t>
            </w:r>
            <w:r>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Web"/>
              <w:rPr/>
            </w:pPr>
            <w:r>
              <w:rPr>
                <w:b/>
                <w:bCs/>
                <w:u w:val="single"/>
              </w:rPr>
              <w:t>8. Force Majeure</w:t>
            </w:r>
            <w:r>
              <w:rPr/>
              <w:t xml:space="preserve">. Except with respect to payment obligations, in the event either party is rendered unable, wholly or in part, by </w:t>
            </w:r>
            <w:r>
              <w:rPr>
                <w:u w:val="single"/>
              </w:rPr>
              <w:t>Force Majeure</w:t>
            </w:r>
            <w:r>
              <w:rPr/>
              <w:t xml:space="preserve"> to carry out its obligations, it is agreed that upon such party's giving notice of such </w:t>
            </w:r>
            <w:r>
              <w:rPr>
                <w:u w:val="single"/>
              </w:rPr>
              <w:t>Force Majeure</w:t>
            </w:r>
            <w:r>
              <w:rPr/>
              <w:t xml:space="preserve"> to the other party as soon as reasonably possible (to be confirmed in writing), the obligations of such party, to the extent they are affected by such event, shall be suspended from the inception and during the continuance of the </w:t>
            </w:r>
            <w:r>
              <w:rPr>
                <w:u w:val="single"/>
              </w:rPr>
              <w:t>Force Majeure</w:t>
            </w:r>
            <w:r>
              <w:rPr/>
              <w:t xml:space="preserve"> for a period of up to 60 days. The party receiving notice of </w:t>
            </w:r>
            <w:r>
              <w:rPr>
                <w:u w:val="single"/>
              </w:rPr>
              <w:t>Force Majeure</w:t>
            </w:r>
            <w:r>
              <w:rPr/>
              <w:t xml:space="preserve"> may immediately take such action as it deems necessary at its expense for the entire 60 day period or any part thereof. "</w:t>
            </w:r>
            <w:r>
              <w:rPr>
                <w:b/>
                <w:bCs/>
                <w:i/>
                <w:iCs/>
                <w:u w:val="single"/>
              </w:rPr>
              <w:t>Force Majeure</w:t>
            </w:r>
            <w:r>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services of transporters.</w:t>
            </w:r>
          </w:p>
          <w:p>
            <w:pPr>
              <w:pStyle w:val="NormalWeb"/>
              <w:rPr/>
            </w:pPr>
            <w:r>
              <w:rPr>
                <w:b/>
                <w:bCs/>
                <w:u w:val="single"/>
              </w:rPr>
              <w:t>9. Title, Risk of Loss and Indemnity</w:t>
            </w:r>
            <w:r>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b/>
                <w:bCs/>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t xml:space="preserve"> Title to the gas scheduled hereunder shall pass from Seller to Buyer at the Delivery Point(s). Differences between scheduled quantities and actual quantities delivered and received hereunder ("</w:t>
            </w:r>
            <w:r>
              <w:rPr>
                <w:u w:val="single"/>
              </w:rPr>
              <w:t>Imbalances</w:t>
            </w:r>
            <w:r>
              <w:rPr/>
              <w:t xml:space="preserve">") will be corrected or settled in cash or gas or by offset as the parties agree. </w:t>
            </w:r>
          </w:p>
          <w:p>
            <w:pPr>
              <w:pStyle w:val="NormalWeb"/>
              <w:rPr/>
            </w:pPr>
            <w:r>
              <w:rPr>
                <w:b/>
                <w:bCs/>
                <w:u w:val="single"/>
              </w:rPr>
              <w:t>10. Arbitration.</w:t>
            </w:r>
            <w:r>
              <w:rPr/>
              <w:t xml:space="preserve"> Any dispute relating to this Agreement shall be resolved by binding, self-administered arbitration pursuant to the Commercial Arbitration Rules of the </w:t>
            </w:r>
            <w:r>
              <w:rPr>
                <w:u w:val="single"/>
              </w:rPr>
              <w:t>American Arbitration Association ("AAA")</w:t>
            </w:r>
            <w:r>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Web"/>
              <w:rPr/>
            </w:pPr>
            <w:r>
              <w:rPr>
                <w:b/>
                <w:bCs/>
                <w:u w:val="single"/>
              </w:rPr>
              <w:t>11. Damages/Law</w:t>
            </w:r>
            <w:r>
              <w:rPr>
                <w:b/>
                <w:bCs/>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Web"/>
              <w:rPr/>
            </w:pPr>
            <w:r>
              <w:rPr>
                <w:b/>
                <w:bCs/>
                <w:u w:val="single"/>
              </w:rPr>
              <w:t>12. Warranties</w:t>
            </w:r>
            <w:r>
              <w:rPr/>
              <w:t>. The following representations and warranties shall apply to Transactions in which Enron is Houston Pipe Line Company under the stated conditions: (i) if Enron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Enron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Web"/>
              <w:rPr/>
            </w:pPr>
            <w:r>
              <w:rPr>
                <w:b/>
                <w:bCs/>
                <w:u w:val="single"/>
              </w:rPr>
              <w:t>13. Collateral Arrangements.</w:t>
            </w:r>
            <w:r>
              <w:rPr>
                <w:b/>
                <w:bCs/>
              </w:rPr>
              <w:t xml:space="preserve"> </w:t>
            </w:r>
            <w:r>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Web"/>
              <w:spacing w:before="100" w:after="100"/>
              <w:rPr/>
            </w:pPr>
            <w:r>
              <w:rPr>
                <w:b/>
                <w:bCs/>
                <w:u w:val="single"/>
              </w:rPr>
              <w:t>14. Securities Representation.</w:t>
            </w:r>
            <w:r>
              <w:rPr>
                <w:b/>
                <w:bCs/>
              </w:rPr>
              <w:t xml:space="preserve"> </w:t>
            </w:r>
            <w:r>
              <w:rPr/>
              <w:t xml:space="preserve">The following provision shall apply for those Transactions in which the Delivery Point(s) is located in Canada: Each party, with respect to itself, hereby represents and warrants to the other party, that (a) this transaction shall constitute a "commodity contract" as defined in the </w:t>
            </w:r>
            <w:r>
              <w:rPr>
                <w:i/>
                <w:iCs/>
              </w:rPr>
              <w:t>Securities</w:t>
            </w:r>
            <w:r>
              <w:rPr/>
              <w:t xml:space="preserve"> </w:t>
            </w:r>
            <w:r>
              <w:rPr>
                <w:i/>
                <w:iCs/>
              </w:rPr>
              <w:t>Act</w:t>
            </w:r>
            <w:r>
              <w:rPr/>
              <w:t xml:space="preserve"> (Alberta), the </w:t>
            </w:r>
            <w:r>
              <w:rPr>
                <w:i/>
                <w:iCs/>
              </w:rPr>
              <w:t>Securities Act</w:t>
            </w:r>
            <w:r>
              <w:rPr/>
              <w:t xml:space="preserve"> (British Columbia) and pursuant to the securities laws of any other jurisdictions having application to the transaction and (b) it is a "Qualified Party" within the meaning of paragraph 9.1 of the Alberta Securities Commission Order Doc.#394043 and paragraph 1.1 of the draft British Columbia Securities Commission Blanket Order BOR#91-501, in either case, as amended, restated, replaced or re-enacted from time to time, and pursuant to any equivalent order or other enactment made pursuant to the securities laws of any other jurisdictions having application to the transaction.</w:t>
            </w:r>
          </w:p>
        </w:tc>
      </w:tr>
      <w:tr>
        <w:trPr/>
        <w:tc>
          <w:tcPr>
            <w:tcW w:w="8640" w:type="dxa"/>
            <w:tcBorders/>
            <w:shd w:fill="FFFFFF" w:val="clear"/>
            <w:vAlign w:val="center"/>
          </w:tcPr>
          <w:p>
            <w:pPr>
              <w:pStyle w:val="z-TopofForm"/>
              <w:rPr/>
            </w:pPr>
            <w:r>
              <w:rPr/>
              <w:t>Top of Form</w:t>
            </w:r>
          </w:p>
          <w:p>
            <w:pPr>
              <w:pStyle w:val="Normal"/>
              <w:jc w:val="center"/>
              <w:rPr>
                <w:rFonts w:ascii="Arial" w:hAnsi="Arial" w:cs="Arial"/>
                <w:sz w:val="20"/>
                <w:szCs w:val="20"/>
              </w:rPr>
            </w:pPr>
            <w:r>
              <w:rPr>
                <w:rFonts w:cs="Arial" w:ascii="Arial" w:hAnsi="Arial"/>
                <w:sz w:val="20"/>
                <w:szCs w:val="20"/>
              </w:rPr>
              <w:object w:dxaOrig="660" w:dyaOrig="4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pt;height:22.5pt" filled="f" o:ole="">
                  <v:imagedata r:id="rId3" o:title=""/>
                </v:shape>
                <o:OLEObject Type="Embed" ProgID="" ShapeID="ole_rId2" DrawAspect="Content" ObjectID="_839893818" r:id="rId2"/>
              </w:object>
            </w:r>
          </w:p>
          <w:p>
            <w:pPr>
              <w:pStyle w:val="z-BottomofForm"/>
              <w:rPr/>
            </w:pPr>
            <w:r>
              <w:rPr/>
              <w:t>Bottom of Form</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color w:val="000000"/>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color w:val="000000"/>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2001-08-07T13:08:00Z</dcterms:created>
  <dc:creator>Christopher Walker</dc:creator>
  <dc:description/>
  <dc:language>en-CA</dc:language>
  <cp:lastModifiedBy>Christopher Walker</cp:lastModifiedBy>
  <dcterms:modified xsi:type="dcterms:W3CDTF">2001-08-07T13:09:00Z</dcterms:modified>
  <cp:revision>1</cp:revision>
  <dc:subject/>
  <dc:title>FIRM GENERAL TERMS &amp; CONDITIONS ("GTC") </dc:title>
</cp:coreProperties>
</file>