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end"/>
        <w:rPr>
          <w:rFonts w:ascii="Arial" w:hAnsi="Arial" w:cs="Arial"/>
          <w:b/>
          <w:sz w:val="20"/>
        </w:rPr>
      </w:pPr>
      <w:r>
        <w:rPr>
          <w:rFonts w:cs="Arial" w:ascii="Arial" w:hAnsi="Arial"/>
          <w:b/>
          <w:sz w:val="20"/>
        </w:rPr>
        <w:t>Version 1 - 16 February 2000</w:t>
      </w:r>
    </w:p>
    <w:p>
      <w:pPr>
        <w:pStyle w:val="Normal"/>
        <w:jc w:val="center"/>
        <w:rPr>
          <w:rFonts w:ascii="Arial" w:hAnsi="Arial" w:cs="Arial"/>
          <w:b/>
          <w:sz w:val="20"/>
        </w:rPr>
      </w:pPr>
      <w:r>
        <w:rPr>
          <w:rFonts w:cs="Arial" w:ascii="Arial" w:hAnsi="Arial"/>
          <w:b/>
          <w:sz w:val="20"/>
        </w:rPr>
        <w:t>ENRON POWER TRADING LIMITED ("Enron")</w:t>
      </w:r>
    </w:p>
    <w:p>
      <w:pPr>
        <w:pStyle w:val="Normal"/>
        <w:jc w:val="center"/>
        <w:rPr>
          <w:rFonts w:ascii="Arial" w:hAnsi="Arial" w:cs="Arial"/>
          <w:b/>
          <w:sz w:val="20"/>
        </w:rPr>
      </w:pPr>
      <w:r>
        <w:rPr>
          <w:rFonts w:cs="Arial" w:ascii="Arial" w:hAnsi="Arial"/>
          <w:b/>
          <w:sz w:val="20"/>
        </w:rPr>
        <w:t>GENERAL TERMS AND CONDITIONS ("GTC")</w:t>
      </w:r>
    </w:p>
    <w:p>
      <w:pPr>
        <w:pStyle w:val="Normal"/>
        <w:jc w:val="center"/>
        <w:rPr>
          <w:rFonts w:ascii="Arial" w:hAnsi="Arial" w:cs="Arial"/>
          <w:b/>
          <w:sz w:val="20"/>
        </w:rPr>
      </w:pPr>
      <w:r>
        <w:rPr>
          <w:rFonts w:cs="Arial" w:ascii="Arial" w:hAnsi="Arial"/>
          <w:b/>
          <w:sz w:val="20"/>
        </w:rPr>
        <w:t>FINNISH CREDIT PRODUCT</w:t>
      </w:r>
    </w:p>
    <w:p>
      <w:pPr>
        <w:pStyle w:val="Normal"/>
        <w:numPr>
          <w:ilvl w:val="0"/>
          <w:numId w:val="8"/>
        </w:numPr>
        <w:tabs>
          <w:tab w:val="left" w:pos="720" w:leader="none"/>
        </w:tabs>
        <w:jc w:val="both"/>
        <w:outlineLvl w:val="0"/>
        <w:rPr>
          <w:rFonts w:ascii="Arial" w:hAnsi="Arial" w:cs="Arial"/>
          <w:b/>
          <w:sz w:val="20"/>
        </w:rPr>
      </w:pPr>
      <w:r>
        <w:rPr>
          <w:rFonts w:cs="Arial" w:ascii="Arial" w:hAnsi="Arial"/>
          <w:b/>
          <w:sz w:val="20"/>
        </w:rPr>
        <w:t>Transactions</w:t>
      </w:r>
    </w:p>
    <w:p>
      <w:pPr>
        <w:pStyle w:val="Normal"/>
        <w:numPr>
          <w:ilvl w:val="0"/>
          <w:numId w:val="0"/>
        </w:numPr>
        <w:ind w:start="720" w:end="0"/>
        <w:jc w:val="both"/>
        <w:outlineLvl w:val="0"/>
        <w:rPr>
          <w:rFonts w:ascii="Arial" w:hAnsi="Arial" w:cs="Arial"/>
          <w:sz w:val="20"/>
        </w:rPr>
      </w:pPr>
      <w:r>
        <w:rPr>
          <w:rFonts w:cs="Arial" w:ascii="Arial" w:hAnsi="Arial"/>
          <w:sz w:val="20"/>
        </w:rPr>
        <w:t xml:space="preserve">The parties shall engage in transactions on this website for the purchase and sale of the Credit Product ("Transactions") pursuant to these terms and conditions. Transactions will be initiated by you ("Counterparty") offering to buy or sell the Credit Product by clicking on the designated boxes on the website. This website is not, and shall not be construed as, an offer to buy or sell the Credit Product by Enron. Enron may accept or reject Counterparty’s offer at its sole discretion. A Transaction shall be deemed executed at the time that Enron first signifies its acceptance of Counterparty’s offer, accessible on the Enron website server. The parties may also complete a written confirmation by way of record of the terms of each Transaction but in the event of any conflict Enron’s electronic records or paper copies of such electronic records shall prevail. All such Transactions shall constitute a single integrated agreement between the parties, it being acknowledged that the parties are relying upon the fact that all such Transactions will form a single agreement and that the parties would not otherwise enter into any Transactions. </w:t>
      </w:r>
    </w:p>
    <w:p>
      <w:pPr>
        <w:pStyle w:val="Normal"/>
        <w:numPr>
          <w:ilvl w:val="0"/>
          <w:numId w:val="0"/>
        </w:numPr>
        <w:ind w:start="720" w:end="0"/>
        <w:jc w:val="both"/>
        <w:outlineLvl w:val="0"/>
        <w:rPr>
          <w:rFonts w:ascii="Arial" w:hAnsi="Arial" w:cs="Arial"/>
          <w:sz w:val="20"/>
        </w:rPr>
      </w:pPr>
      <w:r>
        <w:rPr>
          <w:rFonts w:cs="Arial" w:ascii="Arial" w:hAnsi="Arial"/>
          <w:sz w:val="20"/>
        </w:rPr>
        <w:t>Each party agrees that it shall not enter into a Transaction where it or any of its Affiliates is the Reference Entity which is the subject of the Transaction and any such purported Transaction entered into by the parties shall be deemed void and unenforceable.</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Representations</w:t>
      </w:r>
    </w:p>
    <w:p>
      <w:pPr>
        <w:pStyle w:val="Normal"/>
        <w:numPr>
          <w:ilvl w:val="0"/>
          <w:numId w:val="0"/>
        </w:numPr>
        <w:ind w:start="720" w:end="0"/>
        <w:jc w:val="both"/>
        <w:outlineLvl w:val="0"/>
        <w:rPr/>
      </w:pPr>
      <w:r>
        <w:rPr>
          <w:rFonts w:cs="Arial" w:ascii="Arial" w:hAnsi="Arial"/>
          <w:sz w:val="20"/>
        </w:rPr>
        <w:t xml:space="preserve">Each of Enron and Counterparty represents and warrants to the other at the time each Transaction is executed that (a) </w:t>
      </w:r>
      <w:r>
        <w:rPr>
          <w:rFonts w:cs="Arial" w:ascii="Arial" w:hAnsi="Arial"/>
          <w:sz w:val="20"/>
          <w:u w:val="single"/>
        </w:rPr>
        <w:t>Status and Capacity</w:t>
      </w:r>
      <w:r>
        <w:rPr>
          <w:rFonts w:cs="Arial" w:ascii="Arial" w:hAnsi="Arial"/>
          <w:sz w:val="20"/>
        </w:rPr>
        <w:t xml:space="preserve">: (i) it is duly organised and validly existing under the laws of the jurisdiction of its organisation or incorporation and, if relevant under such laws, in good standing; and (ii) it has all requisite corporate or governmental or other power and capacity to execute, deliver and perform its obligations under each Transaction; and (b) </w:t>
      </w:r>
      <w:r>
        <w:rPr>
          <w:rFonts w:cs="Arial" w:ascii="Arial" w:hAnsi="Arial"/>
          <w:sz w:val="20"/>
          <w:u w:val="single"/>
        </w:rPr>
        <w:t>Authority</w:t>
      </w:r>
      <w:r>
        <w:rPr>
          <w:rFonts w:cs="Arial" w:ascii="Arial" w:hAnsi="Arial"/>
          <w:sz w:val="20"/>
        </w:rPr>
        <w:t xml:space="preserve">: (i) the execution, delivery and performance of each Transaction has been duly authorised by all necessary corporate, governmental or other organisational action on its part; and (ii) each Transaction is its legally valid and binding obligation, enforceable against it in accordance with its terms; and (c) </w:t>
      </w:r>
      <w:r>
        <w:rPr>
          <w:rFonts w:cs="Arial" w:ascii="Arial" w:hAnsi="Arial"/>
          <w:sz w:val="20"/>
          <w:u w:val="single"/>
        </w:rPr>
        <w:t>Eligible Swap Participant</w:t>
      </w:r>
      <w:r>
        <w:rPr>
          <w:rFonts w:cs="Arial" w:ascii="Arial" w:hAnsi="Arial"/>
          <w:sz w:val="20"/>
        </w:rPr>
        <w:t xml:space="preserve">: (i) it constitutes an "eligible swap participant" as such term is defined in Regulation 35.1(b)(2) of the United States Commodity Futures Trading Commission; and (ii) it is an "accredited investor" as such term is defined in Rule 501 of Regulation D of the United States Securities and Exchange Commission; and (d) </w:t>
      </w:r>
      <w:r>
        <w:rPr>
          <w:rFonts w:cs="Arial" w:ascii="Arial" w:hAnsi="Arial"/>
          <w:sz w:val="20"/>
          <w:u w:val="single"/>
        </w:rPr>
        <w:t>Line of Business</w:t>
      </w:r>
      <w:r>
        <w:rPr>
          <w:rFonts w:cs="Arial" w:ascii="Arial" w:hAnsi="Arial"/>
          <w:sz w:val="20"/>
        </w:rPr>
        <w:t xml:space="preserve">: (i) it is entering into each Transaction (1) in connection with its line of business (including financial intermediation services) or the financing of its business; and (2) for bona fide commercial purposes and not in any event for the purposes of speculating or gaming; and (ii) solely with respect to options, it is a commercial user of, or merchant in, the commodity (i.e. credit risk) subject to each Transaction and it has entered into each Transaction solely for purposes related to its business as such; and (e) </w:t>
      </w:r>
      <w:r>
        <w:rPr>
          <w:rFonts w:cs="Arial" w:ascii="Arial" w:hAnsi="Arial"/>
          <w:sz w:val="20"/>
          <w:u w:val="single"/>
        </w:rPr>
        <w:t>No Reliance</w:t>
      </w:r>
      <w:r>
        <w:rPr>
          <w:rFonts w:cs="Arial" w:ascii="Arial" w:hAnsi="Arial"/>
          <w:sz w:val="20"/>
        </w:rPr>
        <w:t>: (i) the other party to each Transaction (1) is not acting as a fiduciary or financial, investment or commodity trading advisor for it; and (2) has not given to it (directly or indirectly through any other person) any assurance, guarantee or representation whatsoever as to the merits (either legal, regulatory, tax, financial, accounting or otherwise) of each Transaction or the expected performance or result of each Transaction; and (ii) in connection with the negotiation and execution of each Transaction (1) it is acting as a principal (and not as an agent or in any other capacity, fiduciary or otherwise); (2) it is not relying upon any advice, counsel or representations (whether written or oral) of the other party other than the representations expressly set forth in this GTC or the ETA between the parties, or otherwise set out on this website; (3) it has made and will make its own assessment and decisions regarding the entering into of each Transaction based upon its own judgment and upon the advice from such professional advisors as it has deemed, or will deem, necessary to consult; (4) all of its decisions regarding each Transaction have been the result of arm’s length negotiations between the parties; and (5) it has a full understanding of all the terms, conditions and risks (economic and otherwise) of each Transaction, and it is capable of assuming and willing to assume (financially, legally and otherwise) those risks.</w:t>
      </w:r>
    </w:p>
    <w:p>
      <w:pPr>
        <w:pStyle w:val="Normal"/>
        <w:numPr>
          <w:ilvl w:val="0"/>
          <w:numId w:val="0"/>
        </w:numPr>
        <w:ind w:start="720" w:end="0"/>
        <w:outlineLvl w:val="0"/>
        <w:rPr>
          <w:rFonts w:ascii="Arial" w:hAnsi="Arial" w:cs="Arial"/>
          <w:sz w:val="20"/>
        </w:rPr>
      </w:pPr>
      <w:r>
        <w:rPr>
          <w:rFonts w:cs="Arial" w:ascii="Arial" w:hAnsi="Arial"/>
          <w:sz w:val="20"/>
        </w:rPr>
        <w:t>Counterparty acknowledges, agrees and understands that:</w:t>
      </w:r>
    </w:p>
    <w:p>
      <w:pPr>
        <w:pStyle w:val="Normal"/>
        <w:numPr>
          <w:ilvl w:val="0"/>
          <w:numId w:val="0"/>
        </w:numPr>
        <w:ind w:start="720" w:end="0"/>
        <w:jc w:val="both"/>
        <w:outlineLvl w:val="0"/>
        <w:rPr>
          <w:rFonts w:ascii="Arial" w:hAnsi="Arial" w:cs="Arial"/>
          <w:sz w:val="20"/>
        </w:rPr>
      </w:pPr>
      <w:r>
        <w:rPr>
          <w:rFonts w:cs="Arial" w:ascii="Arial" w:hAnsi="Arial"/>
          <w:sz w:val="20"/>
        </w:rPr>
        <w:t>(A)</w:t>
        <w:tab/>
        <w:t>ENRON’S PARTICIPATION IN TRANSACTIONS MAY INVOLVE CERTAIN ACTUAL OR POTENTIAL CONFLICTS OF INTEREST. ENRON TRADES ACTIVELY WITH MANY OF THE REFERENCE ENTITIES AND MAINTAINS OTHER RELATIONSHIPS WITH SUCH ENTITIES. AS A RESULT OF THESE TRADING ACTIVITIES AND RELATIONSHIPS, ENRON MAY HAVE INTERESTS WITH RESPECT TO REFERENCE ENTITIES THAT ARE ADVERSE TO THE INTERESTS OF COUNTERPARTY IN CREDIT PRODUCT TRANSACTIONS. FOR EXAMPLE, IT IS POSSIBLE THAT ENRON WILL, BY EXERCISING ITS RIGHTS UNDER ITS AGREEMENTS WITH A REFERENCE ENTITY, TAKE ACTIONS THAT RESULT IN THE OCCURRENCE OF A BANKRUPTCY EVENT WITH RESPECT TO THAT REFERENCE ENTITY. IF COUNTERPARTY ENTERS INTO A TRANSACTION TO SELL THE CREDIT PRODUCT RELATING TO THAT REFERENCE ENTITY, THE OCCURRENCE OF SUCH BANKRUPTCY EVENT MAY TRIGGER THE COUNTERPARTY’S OBLIGATION TO PAY UNDER THAT TRANSACTION. ENRON EXPECTS TO CONTINUE TO CONDUCT ITS TRADING ACTIVITIES AND ITS RELATIONSHIPS WITH THE REFERENCE ENTITIES IN THE SAME MANNER AS SUCH ACTIVITIES AND RELATIONSHIPS ARE CURRENTLY CONDUCTED AND WILL ACT IN ITS OWN BEST INTERESTS IN CONNECTION WITH SUCH RELATIONSHIPS. IN DOING SO, ENRON MAY OR MAY NOT TAKE INTO ACCOUNT THE INTERESTS OF COUNTERPARTIES TO TRANSACTIONS AND ENRON’S PARTICIPATION IN TRANSACTIONS MAY INVOLVE CERTAIN ACTUAL OR POTENTIAL CONFLICTS OF INTEREST.</w:t>
      </w:r>
    </w:p>
    <w:p>
      <w:pPr>
        <w:pStyle w:val="Normal"/>
        <w:numPr>
          <w:ilvl w:val="0"/>
          <w:numId w:val="0"/>
        </w:numPr>
        <w:ind w:start="720" w:end="0"/>
        <w:jc w:val="both"/>
        <w:outlineLvl w:val="0"/>
        <w:rPr>
          <w:rFonts w:ascii="Arial" w:hAnsi="Arial" w:cs="Arial"/>
          <w:sz w:val="20"/>
        </w:rPr>
      </w:pPr>
      <w:r>
        <w:rPr>
          <w:rFonts w:cs="Arial" w:ascii="Arial" w:hAnsi="Arial"/>
          <w:sz w:val="20"/>
        </w:rPr>
        <w:t>(B)</w:t>
        <w:tab/>
        <w:t>AS A RESULT OF ITS RELATIONSHIPS WITH CERTAIN OF THE REFERENCE ENTITIES, ENRON ROUTINELY RECEIVES INFORMATION REGARDING THE CREDITWORTHINESS OF SUCH ENTITIES. ENRON MAY, BUT WILL NOT BE OBLIGED TO, TAKE SUCH INFORMATION INTO ACCOUNT IN DETERMINING THE PRICES OF THE CREDIT PRODUCTS. IN ADDITION, ENRON WILL NOT PROVIDE ANY SUCH INFORMATION TO COUNTERPARTY. ENRON MAY, HOWEVER, USE SUCH INFORMATION IN CONNECTION WITH ITS OWN ACTIVITIES REGARDING THE REFERENCE ENTITIES. ANY SUCH USE BY ENRON COULD ADVERSELY AFFECT COUNTERPARTIES TO TRANSACTIONS.</w:t>
      </w:r>
    </w:p>
    <w:p>
      <w:pPr>
        <w:pStyle w:val="Normal"/>
        <w:numPr>
          <w:ilvl w:val="0"/>
          <w:numId w:val="0"/>
        </w:numPr>
        <w:ind w:start="720" w:end="0"/>
        <w:jc w:val="both"/>
        <w:outlineLvl w:val="0"/>
        <w:rPr>
          <w:rFonts w:ascii="Arial" w:hAnsi="Arial" w:cs="Arial"/>
          <w:sz w:val="20"/>
        </w:rPr>
      </w:pPr>
      <w:r>
        <w:rPr>
          <w:rFonts w:cs="Arial" w:ascii="Arial" w:hAnsi="Arial"/>
          <w:sz w:val="20"/>
        </w:rPr>
        <w:t>(C)</w:t>
        <w:tab/>
        <w:t>ENRON MAY, FOR ANY REASON, TEMPORARILY OR PERMANENTLY CEASE PROVIDING QUOTATIONS FOR CERTAIN REFERENCE ENTITIES WITHOUT PRIOR NOTICE TO COUNTERPARTY. WITHOUT LIMITATION OF THE FOREGOING, SUCH ACTION MIGHT BE TAKEN IF ENRON BELIEVES IT TO BE REQUIRED OR WARRANTED UNDER APPLICABLE LAWS OR REGULATIONS OR ENRON’S INTERNAL POLICIES AND PROCEDURES, DUE TO MARKET CONDITIONS OR FOR OTHER REASONS. UNDER SUCH CIRCUMSTANCES, COUNTERPARTY MAY BE UNABLE TO ENTER INTO NEW TRANSACTIONS IN CREDIT PRODUCTS OR CLOSE OUT EXISTING POSITIONS IN CREDIT PRODUCTS.</w:t>
      </w:r>
    </w:p>
    <w:p>
      <w:pPr>
        <w:pStyle w:val="Normal"/>
        <w:numPr>
          <w:ilvl w:val="0"/>
          <w:numId w:val="0"/>
        </w:numPr>
        <w:ind w:start="720" w:end="0"/>
        <w:jc w:val="both"/>
        <w:outlineLvl w:val="0"/>
        <w:rPr>
          <w:rFonts w:ascii="Arial" w:hAnsi="Arial" w:cs="Arial"/>
          <w:sz w:val="20"/>
        </w:rPr>
      </w:pPr>
      <w:r>
        <w:rPr>
          <w:rFonts w:cs="Arial" w:ascii="Arial" w:hAnsi="Arial"/>
          <w:sz w:val="20"/>
        </w:rPr>
        <w:t>(D)</w:t>
        <w:tab/>
        <w:t>BID AND OFFER PRICES FOR CREDIT PRODUCTS QUOTED BY ENRON ARE QUOTED SOLELY FOR THE PURPOSE OF ENABLING COUNTERPARTY AND OTHER COUNTERPARTIES OF ENRON TO TRADE SUCH CREDIT PRODUCTS, IN ACCORDANCE WITH THE TERMS AND CONDITIONS SET FORTH IN THIS GTC, AND SHOULD NOT BE USED OR RELIED UPON FOR ANY OTHER PURPOSE INCLUDING, BUT NOT LIMITED TO, VALUATION OF POSITIONS OR EVALUATION OF THE CREDITWORTHINESS OF A REFERENCE ENTITY.</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Payments</w:t>
      </w:r>
    </w:p>
    <w:p>
      <w:pPr>
        <w:pStyle w:val="Normal"/>
        <w:numPr>
          <w:ilvl w:val="0"/>
          <w:numId w:val="0"/>
        </w:numPr>
        <w:ind w:start="720" w:end="0"/>
        <w:jc w:val="both"/>
        <w:outlineLvl w:val="0"/>
        <w:rPr>
          <w:rFonts w:ascii="Arial" w:hAnsi="Arial" w:cs="Arial"/>
          <w:sz w:val="20"/>
        </w:rPr>
      </w:pPr>
      <w:r>
        <w:rPr>
          <w:rFonts w:cs="Arial" w:ascii="Arial" w:hAnsi="Arial"/>
          <w:sz w:val="20"/>
        </w:rPr>
        <w:t>Except as provided below, in respect of any Transaction to buy and sell a Credit Product, the Buyer shall pay to the Seller the Buyer Payment on each Buyer Payment Date. Where the Effective Date is not a Quarter Day (a) in the case of the first Buyer Payment Date, the Buyer shall pay to the Seller a proportion of the Buyer Payment equal to the amount of the Buyer Payment multiplied by a fraction, the numerator of which is the number of days from (and including) the Effective Date to (but excluding) the first Buyer Payment Date and the denominator of which is the number of days from (and including) the Quarter Day immediately preceding the Effective Date to (but excluding) the first Buyer Payment Date; and (b) in the case of the final Buyer Payment Date, the Buyer shall pay the Seller a proportion of the Buyer Payment equal to the amount of the Buyer Payment multiplied by a fraction, the numerator of which is the number of days from (and including) the immediately preceding Buyer Payment Date to (but excluding) the Schedule Termination Date and the denominator of which is the number of days from (and including) the immediately preceding Buyer Payment Date to (but excluding) the Quarter Day immediately following the Scheduled Termination Date.</w:t>
      </w:r>
    </w:p>
    <w:p>
      <w:pPr>
        <w:pStyle w:val="Normal"/>
        <w:numPr>
          <w:ilvl w:val="0"/>
          <w:numId w:val="0"/>
        </w:numPr>
        <w:ind w:start="720" w:end="0"/>
        <w:jc w:val="both"/>
        <w:outlineLvl w:val="0"/>
        <w:rPr>
          <w:rFonts w:ascii="Arial" w:hAnsi="Arial" w:cs="Arial"/>
          <w:sz w:val="20"/>
        </w:rPr>
      </w:pPr>
      <w:r>
        <w:rPr>
          <w:rFonts w:cs="Arial" w:ascii="Arial" w:hAnsi="Arial"/>
          <w:sz w:val="20"/>
        </w:rPr>
        <w:t xml:space="preserve">If on or after the Effective Date and before the Scheduled Termination Date (a) a Bankruptcy Event occurs in respect of the Reference Entity which is the subject of a Transaction; and (b) a valid Bankruptcy Event Notice and Notice of Publicly Available Information is delivered by one party to the other on or before the date falling fourteen calendar days after the Scheduled Termination Date; and (c) the Determination Agent acting in good faith determines that the Bankruptcy Event Notice and the Notice of Publicly Available Information are valid, the Seller shall pay to the Buyer the Seller Payment on the Seller Payment Date. </w:t>
      </w:r>
    </w:p>
    <w:p>
      <w:pPr>
        <w:pStyle w:val="Normal"/>
        <w:numPr>
          <w:ilvl w:val="0"/>
          <w:numId w:val="0"/>
        </w:numPr>
        <w:ind w:start="720" w:end="0"/>
        <w:jc w:val="both"/>
        <w:outlineLvl w:val="0"/>
        <w:rPr>
          <w:rFonts w:ascii="Arial" w:hAnsi="Arial" w:cs="Arial"/>
          <w:sz w:val="20"/>
        </w:rPr>
      </w:pPr>
      <w:r>
        <w:rPr>
          <w:rFonts w:cs="Arial" w:ascii="Arial" w:hAnsi="Arial"/>
          <w:sz w:val="20"/>
        </w:rPr>
        <w:t>Where a Bankruptcy Event occurs before the Trade Date in respect of the Reference Entity which is the subject of a Transaction, such Transaction shall be void. Where a Bankruptcy Event occurs on or after the Trade Date but before the Effective Date in respect of the Reference Entity which is the subject of a Transaction, such Transaction shall automatically terminate on the occurrence of such Bankruptcy Event and neither the Buyer nor the Seller shall be required to make any Buyer Payment or Seller Payment in respect of such Transaction.</w:t>
      </w:r>
    </w:p>
    <w:p>
      <w:pPr>
        <w:pStyle w:val="Normal"/>
        <w:numPr>
          <w:ilvl w:val="0"/>
          <w:numId w:val="0"/>
        </w:numPr>
        <w:ind w:start="720" w:end="0"/>
        <w:jc w:val="both"/>
        <w:outlineLvl w:val="0"/>
        <w:rPr>
          <w:rFonts w:ascii="Arial" w:hAnsi="Arial" w:cs="Arial"/>
          <w:sz w:val="20"/>
        </w:rPr>
      </w:pPr>
      <w:r>
        <w:rPr>
          <w:rFonts w:cs="Arial" w:ascii="Arial" w:hAnsi="Arial"/>
          <w:sz w:val="20"/>
        </w:rPr>
        <w:t xml:space="preserve">Only one valid Bankruptcy Event Notice and Notice of Publicly Available Information may be delivered in respect of a Transaction and such notices may be delivered by either Enron or Counterparty. Each party hereby agrees that the determination of the Determination Agent as to the validity of any such notice shall, in the absence of manifest error, be final. </w:t>
      </w:r>
    </w:p>
    <w:p>
      <w:pPr>
        <w:pStyle w:val="Normal"/>
        <w:numPr>
          <w:ilvl w:val="0"/>
          <w:numId w:val="0"/>
        </w:numPr>
        <w:ind w:start="720" w:end="0"/>
        <w:jc w:val="both"/>
        <w:outlineLvl w:val="0"/>
        <w:rPr>
          <w:rFonts w:ascii="Arial" w:hAnsi="Arial" w:cs="Arial"/>
          <w:sz w:val="20"/>
        </w:rPr>
      </w:pPr>
      <w:r>
        <w:rPr>
          <w:rFonts w:cs="Arial" w:ascii="Arial" w:hAnsi="Arial"/>
          <w:sz w:val="20"/>
        </w:rPr>
        <w:t>Each payment will be made in the Contractual Currency (specified on this website or, if not specified, in U.S. Dollars) without deduction, set-off or counterclaim via wire transfer in immediately available funds prior to noon on the relevant Payment Date. If amounts are not paid when due, they shall bear interest compounded daily until paid in full at the Interest Rate on the basis of the actual number of days elapsed and on the basis of a year of 360 days. If the Payment Dates for two or more Transactions between the parties fall on the same day and payments are to be made in the same currency, and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Collateral</w:t>
      </w:r>
    </w:p>
    <w:p>
      <w:pPr>
        <w:pStyle w:val="BodyTextIndent3"/>
        <w:rPr/>
      </w:pPr>
      <w:r>
        <w:rPr/>
        <w:t>Counterparty shall at Enron’s request from time to time and at Enron’s option either (a) within one Business Day of such request by Enron, provide to Enron a letter of credit in respect of Counterparty’s obligations under any Transaction, in such form and for such amount and from such issuer as is acceptable to Enron in its absolute discretion; or (b) within such period as is specified by Enron, provide for the benefit of Enron a guarantee from such party and in such form and for such amount as is acceptable to Enron in its absolute discretion.</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Events of Default</w:t>
      </w:r>
    </w:p>
    <w:p>
      <w:pPr>
        <w:pStyle w:val="Normal"/>
        <w:numPr>
          <w:ilvl w:val="0"/>
          <w:numId w:val="0"/>
        </w:numPr>
        <w:ind w:start="720" w:end="0"/>
        <w:jc w:val="both"/>
        <w:outlineLvl w:val="0"/>
        <w:rPr>
          <w:rFonts w:ascii="Arial" w:hAnsi="Arial" w:cs="Arial"/>
          <w:sz w:val="20"/>
        </w:rPr>
      </w:pPr>
      <w:r>
        <w:rPr>
          <w:rFonts w:cs="Arial" w:ascii="Arial" w:hAnsi="Arial"/>
          <w:sz w:val="20"/>
        </w:rPr>
        <w:t>An event of default ("Event of Default’) shall mean with respect to a party (the "Defaulting Party") any of the following: (a) the failure by the Defaulting Party to make, when due, any payment required under a Transaction if such failure is not remedied within 2 Business Days after notice of such failure is given to the Defaulting Party; (b) any representation or warranty made by the Defaulting Party in a Transaction shall prove to have been false or misleading in any material respect when made; (c) the breach by the Defaulting Party of any other covenant or agreement set forth in a Transaction (other than the obligation to make payment) and such breach is not cured within 10 Business Days after it is given notice thereof; (d) the institution, with respect to the Defaulting Party, of a bankruptcy, reorganisation, moratorium, receivership, liquidation or similar insolvency proceeding or other relief under any bankruptcy or insolvency law affecting creditors’ rights or a petition is presented or instituted for insolvency proceedings against it, its winding-up or liquidation (other than for the purposes of an amalgamation, merger, consolidation, reconstruction or other arrangement in each case not involving the insolvency of the Defaulting Party) and, if such a proceeding is instituted against the party, it remains undismissed for 30 days; (e) the Defaulting Party in the absence of good faith and bona fide commercial reasons takes any action or omits to take any action which causes or is likely to cause a Bankruptcy Event in respect of a Reference Entity which is the subject of a Transaction; (f) the Defaulting Party consolidates or amalgamates with, or merges into or with, or transfers substantially all of its assets to, another entity and the resulting entity fails to assume all of the obligations of the Defaulting Party under a Transaction; (g) an event of default occurs (howsoever determined) under any Derivative Transaction between the parties; (h) in respect of Counterparty, a change of Control occurs; or (i) Counterparty fails to provide a letter of credit or guarantee in accordance with Section 4 or any default occurs under the terms of such letter of credit or guarantee.</w:t>
      </w:r>
    </w:p>
    <w:p>
      <w:pPr>
        <w:pStyle w:val="Normal"/>
        <w:numPr>
          <w:ilvl w:val="0"/>
          <w:numId w:val="0"/>
        </w:numPr>
        <w:ind w:start="720" w:end="0"/>
        <w:jc w:val="both"/>
        <w:outlineLvl w:val="0"/>
        <w:rPr>
          <w:rFonts w:ascii="Arial" w:hAnsi="Arial" w:cs="Arial"/>
          <w:sz w:val="20"/>
        </w:rPr>
      </w:pPr>
      <w:r>
        <w:rPr>
          <w:rFonts w:cs="Arial" w:ascii="Arial" w:hAnsi="Arial"/>
          <w:sz w:val="20"/>
        </w:rPr>
        <w:t>Each obligation of each party to make payments under this GTC or a Transaction is subject to the condition precedent that no Event of Default with respect to the other party has occurred and is continuing.</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Remedies</w:t>
      </w:r>
    </w:p>
    <w:p>
      <w:pPr>
        <w:pStyle w:val="Normal"/>
        <w:numPr>
          <w:ilvl w:val="0"/>
          <w:numId w:val="0"/>
        </w:numPr>
        <w:ind w:start="720" w:end="0"/>
        <w:jc w:val="both"/>
        <w:outlineLvl w:val="0"/>
        <w:rPr>
          <w:rFonts w:ascii="Arial" w:hAnsi="Arial" w:cs="Arial"/>
          <w:sz w:val="20"/>
        </w:rPr>
      </w:pPr>
      <w:r>
        <w:rPr>
          <w:rFonts w:cs="Arial" w:ascii="Arial" w:hAnsi="Arial"/>
          <w:sz w:val="20"/>
        </w:rPr>
        <w:t>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On the Early Termination Date, all obligations under all Transactions shall be terminated, except as provided below.</w:t>
      </w:r>
    </w:p>
    <w:p>
      <w:pPr>
        <w:pStyle w:val="Normal"/>
        <w:numPr>
          <w:ilvl w:val="0"/>
          <w:numId w:val="0"/>
        </w:numPr>
        <w:ind w:start="720" w:end="0"/>
        <w:jc w:val="both"/>
        <w:outlineLvl w:val="0"/>
        <w:rPr/>
      </w:pPr>
      <w:r>
        <w:rPr>
          <w:rFonts w:cs="Arial" w:ascii="Arial" w:hAnsi="Arial"/>
          <w:sz w:val="20"/>
        </w:rPr>
        <w:t xml:space="preserve">If an Early Termination Date has been designated, the non-defaulting party shall in good faith calculate its Gains or Losses and Costs resulting from the termination of the parties’ obligations under all Transactions with respect to all Payment Dates which would have occurred after the Early Termination Date had the Early Termination Date not occurred. The non-defaulting party shall aggregate such Gains, Losses and Costs with respect to all Transactions into a single net amount and notify the Defaulting Party of the net amount owed or owing. If the non-defaulting party’s aggregate Losses and Costs exceed its aggregate Gains, the Defaulting Party shall, within five Business Days of receipt of such notice, pay the net amount to the non-defaulting party, which amount shall bear interest at the Interest Rate from (and including) the Early Termination Date to (but excluding) the date on which it is paid. If the non-defaulting party’s aggregate Gains exceed its aggregate Losses and Costs, if any, the non-defaulting party shall, within ten Business Days of receipt of such notice, pay the net amount to the Defaulting Party. For the purposes of the above: (a) "Costs" shall mean, with respect to a party, brokerage fees, commissions and other similar transaction costs and expenses reasonably incurred by such party either in terminating any arrangement pursuant to which it has hedged its obligations or entering into new arrangements which replace a Transaction; (b) "Gains" shall mean, with respect to a party, an amount equal to the present value of the economic benefit, if any, (exclusive of Costs) to it resulting from the termination of its obligations with respect to a Transaction, determined in a commercially reasonable manner; and (c) "Losses" shall mean an amount equal to the present value of the economic loss, if any, (exclusive of Costs) to it resulting from the termination of its obligations with respect to a Transaction, determined in a commercially reasonable manner. </w:t>
      </w:r>
      <w:r>
        <w:rPr>
          <w:rFonts w:cs="Arial" w:ascii="Arial" w:hAnsi="Arial"/>
          <w:b/>
          <w:sz w:val="20"/>
        </w:rPr>
        <w:t>NO PARTY SHALL BE REQUIRED TO PAY SPECIAL, EXEMPLARY, PUNITIVE, INCIDENTAL, CONSEQUENTIAL OR INDIRECT DAMAGES (WHETHER OR NOT ARISING FROM A PARTY’S NEGLIGENCE) TO THE OTHER PARTY, EXCEPT TO THE EXTENT THAT THE PAYMENTS REQUIRED TO BE MADE PURSUANT TO A TRANSACTION ARE DEEMED TO BE SUCH DAMAGES. IF AND TO THE EXTENT ANY PAYMENT MADE PURSUANT TO A TRANSACTION IS DEEMED TO CONSTITUTE LIQUIDATED DAMAGES, THE PARTIES ACKNOWLEDGE AND AGREE THAT DAMAGES ARE DIFFICULT OR IMPOSSIBLE TO DETERMINE AND THAT SUCH PAYMENT CONSTITUTES A REASONABLE APPROXIMATION OF THE AMOUNT OF SUCH DAMAGES, AND NOT A PENALTY.</w:t>
      </w:r>
    </w:p>
    <w:p>
      <w:pPr>
        <w:pStyle w:val="Normal"/>
        <w:numPr>
          <w:ilvl w:val="0"/>
          <w:numId w:val="0"/>
        </w:numPr>
        <w:ind w:start="720" w:end="0"/>
        <w:jc w:val="both"/>
        <w:outlineLvl w:val="0"/>
        <w:rPr>
          <w:rFonts w:ascii="Arial" w:hAnsi="Arial" w:cs="Arial"/>
          <w:b/>
          <w:sz w:val="20"/>
        </w:rPr>
      </w:pPr>
      <w:r>
        <w:rPr>
          <w:rFonts w:cs="Arial" w:ascii="Arial" w:hAnsi="Arial"/>
          <w:b/>
          <w:sz w:val="20"/>
        </w:rPr>
        <w:t>NOTHING IN THIS GTC SHALL HAVE THE EFFECT OF LIMITING OR RESTRICTING EITHER PARTY’S LIABILITY ARISING AS A RESULT OF ITS FRAUD. ANY LIMITATIONS OR RESTRICTIONS ON THE LIABILITY OF EITHER PARTY IN THIS GTC SHALL ONLY APPLY TO THE EXTENT PERMITTED BY APPLICABLE LAW.</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Set-off</w:t>
      </w:r>
    </w:p>
    <w:p>
      <w:pPr>
        <w:pStyle w:val="Normal"/>
        <w:numPr>
          <w:ilvl w:val="0"/>
          <w:numId w:val="0"/>
        </w:numPr>
        <w:ind w:start="720" w:end="0"/>
        <w:jc w:val="both"/>
        <w:outlineLvl w:val="0"/>
        <w:rPr>
          <w:rFonts w:ascii="Arial" w:hAnsi="Arial" w:cs="Arial"/>
          <w:sz w:val="20"/>
        </w:rPr>
      </w:pPr>
      <w:r>
        <w:rPr>
          <w:rFonts w:cs="Arial" w:ascii="Arial" w:hAnsi="Arial"/>
          <w:sz w:val="20"/>
        </w:rPr>
        <w:t xml:space="preserve">In the event of an occurrence of an Early Termination Date, if the Defaulting Party would be owed amounts (such amounts calculated after the deduction of any tax withholding) in respect of the obligations under a Transaction relating to such occurrence of an Early Termination Date, the non-defaulting party shall be entitled, at its option and in its discretion, to set-off against such amount any amounts payable (such amounts calculated after the deduction of any tax withholding) by the Defaulting Party to the non-defaulting party or any of its Affiliates under a Transaction or any other agreements, instruments or undertakings between the Defaulting Party and the non-defaulting party or any of its Affiliates. This Section shall be without prejudice and in addition to any right of set off, combination of accounts, lien or other right to which any party is at any time otherwise entitled (whether by operation of law, contract or otherwise). </w:t>
      </w:r>
    </w:p>
    <w:p>
      <w:pPr>
        <w:pStyle w:val="Normal"/>
        <w:numPr>
          <w:ilvl w:val="0"/>
          <w:numId w:val="0"/>
        </w:numPr>
        <w:ind w:start="720" w:end="0"/>
        <w:jc w:val="both"/>
        <w:outlineLvl w:val="0"/>
        <w:rPr>
          <w:rFonts w:ascii="Arial" w:hAnsi="Arial" w:cs="Arial"/>
          <w:sz w:val="20"/>
        </w:rPr>
      </w:pPr>
      <w:r>
        <w:rPr>
          <w:rFonts w:cs="Arial" w:ascii="Arial" w:hAnsi="Arial"/>
          <w:sz w:val="20"/>
        </w:rPr>
        <w:t>Notwithstanding any provision to the contrary contained in this GTC, or otherwise set out on this website, the non-defaulting party shall not be required to pay to the Defaulting Party any amount under a Transaction until the non-defaulting party receives written confirmation satisfactory to it in its reasonable discretion that: (a) all amounts due and payable as of the Early Termination Date by the Defaulting Party under all Transactions with the non-defaulting party or any of its Affiliates have been fully and finally paid, and (b) all other obligations of any kind whatsoever of the Defaulting Party to make any payments to the non-defaulting party or any of its Affiliates under a Transaction or otherwise which are due and payable as of the Early Termination Date hereof have been fully and finally performed.</w:t>
      </w:r>
    </w:p>
    <w:p>
      <w:pPr>
        <w:pStyle w:val="Normal"/>
        <w:numPr>
          <w:ilvl w:val="0"/>
          <w:numId w:val="1"/>
        </w:numPr>
        <w:tabs>
          <w:tab w:val="left" w:pos="720" w:leader="none"/>
        </w:tabs>
        <w:outlineLvl w:val="0"/>
        <w:rPr>
          <w:rFonts w:ascii="Arial" w:hAnsi="Arial" w:cs="Arial"/>
          <w:b/>
          <w:sz w:val="20"/>
        </w:rPr>
      </w:pPr>
      <w:r>
        <w:rPr>
          <w:rFonts w:cs="Arial" w:ascii="Arial" w:hAnsi="Arial"/>
          <w:b/>
          <w:sz w:val="20"/>
        </w:rPr>
        <w:t>Termination</w:t>
      </w:r>
    </w:p>
    <w:p>
      <w:pPr>
        <w:pStyle w:val="Normal"/>
        <w:numPr>
          <w:ilvl w:val="0"/>
          <w:numId w:val="0"/>
        </w:numPr>
        <w:ind w:start="720" w:end="0"/>
        <w:jc w:val="both"/>
        <w:outlineLvl w:val="0"/>
        <w:rPr>
          <w:rFonts w:ascii="Arial" w:hAnsi="Arial" w:cs="Arial"/>
          <w:sz w:val="20"/>
        </w:rPr>
      </w:pPr>
      <w:r>
        <w:rPr>
          <w:rFonts w:cs="Arial" w:ascii="Arial" w:hAnsi="Arial"/>
          <w:sz w:val="20"/>
        </w:rPr>
        <w:t>The obligations of the Buyer to make Buyer Payments under a Transaction shall terminate on the delivery by either party to the other party of a valid Bankruptcy Event Notice and Notice of Publicly Available Information, save that the obligation to make Buyer Payments which become due and payable prior to such termination shall not be affected. All obligations of the parties in respect of a Transaction shall, if they have not already been terminated in accordance with this GTC, terminate on the earlier of: (a) payment by the Seller to the Buyer of the Seller Payment; and (b) if no Bankruptcy Event has occurred before the Scheduled Termination Date in respect of the Reference Entity which is the subject of the Transaction, the Scheduled Termination Date; and (c) if a Bankruptcy Event has occurred before the Scheduled Termination Date in respect of the Reference Entity which is the subject of the Transaction, midnight on the date falling 14 days after the Scheduled Termination Date. Termination of a Transaction or this GTC shall not affect any rights, obligations or liabilities arising under that Transaction or this GTC prior to such termination.</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Miscellaneous</w:t>
      </w:r>
    </w:p>
    <w:p>
      <w:pPr>
        <w:pStyle w:val="Normal"/>
        <w:numPr>
          <w:ilvl w:val="0"/>
          <w:numId w:val="0"/>
        </w:numPr>
        <w:ind w:start="720" w:end="0"/>
        <w:outlineLvl w:val="0"/>
        <w:rPr>
          <w:rFonts w:ascii="Arial" w:hAnsi="Arial" w:cs="Arial"/>
          <w:sz w:val="20"/>
        </w:rPr>
      </w:pPr>
      <w:r>
        <w:rPr>
          <w:rFonts w:cs="Arial" w:ascii="Arial" w:hAnsi="Arial"/>
          <w:sz w:val="20"/>
        </w:rPr>
        <w:t>Each Transaction and this GTC shall be binding upon and inure for the benefit of the parties and their respective successors and permitted assigns. Subject to the following provisions of this Section, neither party shall have the power to assign or otherwise transfer all or any of its rights or obligations under a Transaction without the prior written consent of the other party, which consent shall not be unreasonably withheld or delayed, and any purported assignment or transfer in violation of this provision shall be void and of no force and effect. For the avoidance of doubt, it shall not be unreasonable to withhold consent to a proposed transfer or assignment if the non-transferring or non-assigning party would be required to gross-up its payments to the proposed transferee or assignee or would be required to receive payments from the proposed transferee or assignee net of any withholding or deduction that would not otherwise be required under this GTC or under applicable law in the absence of the proposed assignment or transfer. Enron may, without the consent of Counterparty, (i) assign and/or transfer the whole or any part of its rights or obligations under any Transaction(s) and this GTC to one or more Affiliates and (ii) assign and/or transfer the whole or any part of its rights or obligations under any Transaction(s) and this GTC to any person in connection with a financing transaction (including, without limitation, any monetisation, securitisation or sub-participation of Enron’s rights and/or obligations under any or all of the Transactions entered into pursuant to this GTC).</w:t>
      </w:r>
    </w:p>
    <w:p>
      <w:pPr>
        <w:pStyle w:val="Normal"/>
        <w:numPr>
          <w:ilvl w:val="0"/>
          <w:numId w:val="0"/>
        </w:numPr>
        <w:ind w:start="720" w:end="0"/>
        <w:jc w:val="both"/>
        <w:outlineLvl w:val="0"/>
        <w:rPr>
          <w:rFonts w:ascii="Arial" w:hAnsi="Arial" w:cs="Arial"/>
          <w:sz w:val="20"/>
        </w:rPr>
      </w:pPr>
      <w:r>
        <w:rPr>
          <w:rFonts w:cs="Arial" w:ascii="Arial" w:hAnsi="Arial"/>
          <w:sz w:val="20"/>
        </w:rPr>
        <w:t>The governing law and jurisdiction applicable to each Transaction and this GTC shall be determined according to paragraph 1 of the Schedule to this GTC.</w:t>
      </w:r>
    </w:p>
    <w:p>
      <w:pPr>
        <w:pStyle w:val="Normal"/>
        <w:numPr>
          <w:ilvl w:val="0"/>
          <w:numId w:val="0"/>
        </w:numPr>
        <w:ind w:start="720" w:end="0"/>
        <w:jc w:val="both"/>
        <w:outlineLvl w:val="0"/>
        <w:rPr>
          <w:rFonts w:ascii="Arial" w:hAnsi="Arial" w:cs="Arial"/>
          <w:sz w:val="20"/>
        </w:rPr>
      </w:pPr>
      <w:r>
        <w:rPr>
          <w:rFonts w:cs="Arial" w:ascii="Arial" w:hAnsi="Arial"/>
          <w:sz w:val="20"/>
        </w:rPr>
        <w:t>Enron and Counterparty agree that the words "financial products," shall be inserted in the sixth line of the first paragraph of the ETA after the words "for the trading of products and instruments based on". Notwithstanding Section 3(a) of the ETA, this GTC shall constitute along with all the other provisions of the ETA and any other applicable terms contained on this website, the entire agreement between the parties, and shall supersede all prior oral or written communications or agreements, relating to the Transactions. In the event of any conflict between the ETA and this GTC, this GTC shall prevail.</w:t>
      </w:r>
    </w:p>
    <w:p>
      <w:pPr>
        <w:pStyle w:val="Normal"/>
        <w:numPr>
          <w:ilvl w:val="0"/>
          <w:numId w:val="0"/>
        </w:numPr>
        <w:ind w:start="720" w:end="0"/>
        <w:jc w:val="both"/>
        <w:outlineLvl w:val="0"/>
        <w:rPr>
          <w:rFonts w:ascii="Arial" w:hAnsi="Arial" w:cs="Arial"/>
          <w:sz w:val="20"/>
        </w:rPr>
      </w:pPr>
      <w:r>
        <w:rPr>
          <w:rFonts w:cs="Arial" w:ascii="Arial" w:hAnsi="Arial"/>
          <w:sz w:val="20"/>
        </w:rPr>
        <w:t>Any party in default hereunder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a Transaction.</w:t>
      </w:r>
    </w:p>
    <w:p>
      <w:pPr>
        <w:pStyle w:val="Normal"/>
        <w:numPr>
          <w:ilvl w:val="0"/>
          <w:numId w:val="1"/>
        </w:numPr>
        <w:tabs>
          <w:tab w:val="left" w:pos="720" w:leader="none"/>
        </w:tabs>
        <w:outlineLvl w:val="0"/>
        <w:rPr>
          <w:rFonts w:ascii="Arial" w:hAnsi="Arial" w:cs="Arial"/>
          <w:b/>
          <w:sz w:val="20"/>
        </w:rPr>
      </w:pPr>
      <w:r>
        <w:rPr>
          <w:rFonts w:cs="Arial" w:ascii="Arial" w:hAnsi="Arial"/>
          <w:b/>
          <w:sz w:val="20"/>
        </w:rPr>
        <w:t>Notices</w:t>
      </w:r>
    </w:p>
    <w:p>
      <w:pPr>
        <w:pStyle w:val="Normal"/>
        <w:numPr>
          <w:ilvl w:val="0"/>
          <w:numId w:val="0"/>
        </w:numPr>
        <w:ind w:start="720" w:end="0"/>
        <w:jc w:val="both"/>
        <w:outlineLvl w:val="0"/>
        <w:rPr>
          <w:rFonts w:ascii="Arial" w:hAnsi="Arial" w:cs="Arial"/>
          <w:sz w:val="20"/>
        </w:rPr>
      </w:pPr>
      <w:r>
        <w:rPr>
          <w:rFonts w:cs="Arial" w:ascii="Arial" w:hAnsi="Arial"/>
          <w:sz w:val="20"/>
        </w:rPr>
        <w:t xml:space="preserve">All notices in connection with a Transaction may be given between 9.00 a.m. and 4.00 p.m. on a Business Day by hand delivery (effective upon attempted delivery), overnight mail service (effective upon scheduled weekday delivery day), telex (effective upon receipt of answerback) or telefacsimile (effective upon receipt of evidence, including telefacsimile evidence, that the telefacsimile was received), as specified or as may be subsequently designated by effective notice. If such notice is delivered after 4.00 p.m. on a Business Day, it will be deemed to be delivered on the next following Business Day. </w:t>
      </w:r>
    </w:p>
    <w:p>
      <w:pPr>
        <w:pStyle w:val="Normal"/>
        <w:numPr>
          <w:ilvl w:val="0"/>
          <w:numId w:val="1"/>
        </w:numPr>
        <w:tabs>
          <w:tab w:val="left" w:pos="720" w:leader="none"/>
        </w:tabs>
        <w:outlineLvl w:val="0"/>
        <w:rPr>
          <w:rFonts w:ascii="Arial" w:hAnsi="Arial" w:cs="Arial"/>
          <w:b/>
          <w:sz w:val="20"/>
        </w:rPr>
      </w:pPr>
      <w:r>
        <w:rPr>
          <w:rFonts w:cs="Arial" w:ascii="Arial" w:hAnsi="Arial"/>
          <w:b/>
          <w:sz w:val="20"/>
        </w:rPr>
        <w:t>Amendment</w:t>
      </w:r>
    </w:p>
    <w:p>
      <w:pPr>
        <w:pStyle w:val="Normal"/>
        <w:numPr>
          <w:ilvl w:val="0"/>
          <w:numId w:val="0"/>
        </w:numPr>
        <w:ind w:start="720" w:end="0"/>
        <w:jc w:val="both"/>
        <w:outlineLvl w:val="0"/>
        <w:rPr>
          <w:rFonts w:ascii="Arial" w:hAnsi="Arial" w:cs="Arial"/>
          <w:sz w:val="20"/>
        </w:rPr>
      </w:pPr>
      <w:r>
        <w:rPr>
          <w:rFonts w:cs="Arial" w:ascii="Arial" w:hAnsi="Arial"/>
          <w:sz w:val="20"/>
        </w:rPr>
        <w:t xml:space="preserve">The terms of this GTC may be amended from time to time by Enron without the consent of Counterparty. If Enron amends this GTC without the consent of Counterparty, it will notify Counterparty of the revised terms of the GTC on the website prior to Enron and Counterparty entering into any further Transactions. Any such revised terms will be effective only in respect of Transactions which are entered into by the parties after such notice has been given and by entering into a Transaction after such notice has been given Counterparty shall be deemed to have agreed to be bound by the revised terms. </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Taxes</w:t>
      </w:r>
    </w:p>
    <w:p>
      <w:pPr>
        <w:pStyle w:val="Normal"/>
        <w:numPr>
          <w:ilvl w:val="2"/>
          <w:numId w:val="2"/>
        </w:numPr>
        <w:tabs>
          <w:tab w:val="clear" w:pos="720"/>
          <w:tab w:val="left" w:pos="2160" w:leader="none"/>
        </w:tabs>
        <w:ind w:hanging="360" w:start="2160" w:end="0"/>
        <w:jc w:val="both"/>
        <w:outlineLvl w:val="2"/>
        <w:rPr>
          <w:rFonts w:ascii="Arial" w:hAnsi="Arial" w:cs="Arial"/>
          <w:sz w:val="20"/>
        </w:rPr>
      </w:pPr>
      <w:r>
        <w:rPr>
          <w:rFonts w:cs="Arial" w:ascii="Arial" w:hAnsi="Arial"/>
          <w:sz w:val="20"/>
        </w:rPr>
        <w:t>Payor Representations</w:t>
      </w:r>
    </w:p>
    <w:p>
      <w:pPr>
        <w:pStyle w:val="Normal"/>
        <w:numPr>
          <w:ilvl w:val="0"/>
          <w:numId w:val="0"/>
        </w:numPr>
        <w:ind w:hanging="0" w:start="2160" w:end="0"/>
        <w:jc w:val="both"/>
        <w:outlineLvl w:val="2"/>
        <w:rPr>
          <w:rFonts w:ascii="Arial" w:hAnsi="Arial" w:cs="Arial"/>
          <w:sz w:val="20"/>
        </w:rPr>
      </w:pPr>
      <w:r>
        <w:rPr>
          <w:rFonts w:cs="Arial" w:ascii="Arial" w:hAnsi="Arial"/>
          <w:sz w:val="20"/>
        </w:rPr>
        <w:t>In connection with making all payments under a Transaction, each party makes the following payor representation:</w:t>
      </w:r>
    </w:p>
    <w:p>
      <w:pPr>
        <w:pStyle w:val="Normal"/>
        <w:numPr>
          <w:ilvl w:val="0"/>
          <w:numId w:val="0"/>
        </w:numPr>
        <w:ind w:hanging="0" w:start="2160" w:end="0"/>
        <w:jc w:val="both"/>
        <w:outlineLvl w:val="2"/>
        <w:rPr>
          <w:rFonts w:ascii="Arial" w:hAnsi="Arial" w:cs="Arial"/>
          <w:sz w:val="20"/>
        </w:rPr>
      </w:pPr>
      <w:r>
        <w:rPr>
          <w:rFonts w:cs="Arial" w:ascii="Arial" w:hAnsi="Arial"/>
          <w:sz w:val="20"/>
        </w:rPr>
        <w:t>It is not required by any applicable law, as modified by the practice of any Relevant Jurisdiction, to make any deduction or withholding for or on account of any Tax from any payment (other than any interest payments under a Transaction) to be made by it to the other party under a Transaction. In making this representation, it may rely on the accuracy of the Tax representations and covenants made by the other party.</w:t>
      </w:r>
    </w:p>
    <w:p>
      <w:pPr>
        <w:pStyle w:val="Normal"/>
        <w:numPr>
          <w:ilvl w:val="0"/>
          <w:numId w:val="0"/>
        </w:numPr>
        <w:ind w:hanging="0" w:start="2160" w:end="0"/>
        <w:jc w:val="both"/>
        <w:outlineLvl w:val="2"/>
        <w:rPr>
          <w:rFonts w:ascii="Arial" w:hAnsi="Arial" w:cs="Arial"/>
          <w:sz w:val="20"/>
        </w:rPr>
      </w:pPr>
      <w:r>
        <w:rPr>
          <w:rFonts w:cs="Arial" w:ascii="Arial" w:hAnsi="Arial"/>
          <w:sz w:val="20"/>
        </w:rPr>
        <w:t>For the purposes of this representation, "Relevant Jurisdiction" means any jurisdiction (i) in which the party is incorporated, organised, managed and controlled, or is considered to have a seat, (ii) where a branch or office through which the party is acting for the purposes of the relevant Transaction is located, (iii) in which the party executes the relevant Transaction, or (iv) in relation to any payment, from or through which such payment is made.</w:t>
      </w:r>
    </w:p>
    <w:p>
      <w:pPr>
        <w:pStyle w:val="Normal"/>
        <w:numPr>
          <w:ilvl w:val="2"/>
          <w:numId w:val="2"/>
        </w:numPr>
        <w:tabs>
          <w:tab w:val="clear" w:pos="720"/>
          <w:tab w:val="left" w:pos="2160" w:leader="none"/>
        </w:tabs>
        <w:ind w:hanging="360" w:start="2160" w:end="0"/>
        <w:jc w:val="both"/>
        <w:outlineLvl w:val="2"/>
        <w:rPr>
          <w:rFonts w:ascii="Arial" w:hAnsi="Arial" w:cs="Arial"/>
          <w:sz w:val="20"/>
        </w:rPr>
      </w:pPr>
      <w:r>
        <w:rPr>
          <w:rFonts w:cs="Arial" w:ascii="Arial" w:hAnsi="Arial"/>
          <w:sz w:val="20"/>
        </w:rPr>
        <w:t>Payee Representations</w:t>
      </w:r>
    </w:p>
    <w:p>
      <w:pPr>
        <w:pStyle w:val="Normal"/>
        <w:numPr>
          <w:ilvl w:val="0"/>
          <w:numId w:val="0"/>
        </w:numPr>
        <w:ind w:hanging="0" w:start="2160" w:end="0"/>
        <w:jc w:val="both"/>
        <w:outlineLvl w:val="2"/>
        <w:rPr>
          <w:rFonts w:ascii="Arial" w:hAnsi="Arial" w:cs="Arial"/>
          <w:sz w:val="20"/>
        </w:rPr>
      </w:pPr>
      <w:r>
        <w:rPr>
          <w:rFonts w:cs="Arial" w:ascii="Arial" w:hAnsi="Arial"/>
          <w:sz w:val="20"/>
        </w:rPr>
        <w:t>In connection with receiving all payments under a Transaction, Counterparty makes the following payee representations:</w:t>
      </w:r>
    </w:p>
    <w:p>
      <w:pPr>
        <w:pStyle w:val="Normal"/>
        <w:numPr>
          <w:ilvl w:val="0"/>
          <w:numId w:val="0"/>
        </w:numPr>
        <w:ind w:hanging="0" w:start="2160" w:end="0"/>
        <w:jc w:val="both"/>
        <w:outlineLvl w:val="2"/>
        <w:rPr>
          <w:rFonts w:ascii="Arial" w:hAnsi="Arial" w:cs="Arial"/>
          <w:sz w:val="20"/>
        </w:rPr>
      </w:pPr>
      <w:r>
        <w:rPr>
          <w:rFonts w:cs="Arial" w:ascii="Arial" w:hAnsi="Arial"/>
          <w:sz w:val="20"/>
        </w:rPr>
        <w:t>It is fully eligible for the benefits of the "Business Profits" or "Industrial and Commercial Profits" provision, as the case may be, the "Interest" provision or the "Other Income" provision (if any) of the Counterparty Residence Treaty (if any) with respect to any payment described in such provisions and received or to be received by it in connection with the Transaction, and (unless the Counterparty Branch Jurisdiction (if any) or the Counterparty Residence Jurisdiction is the United Kingdom) no such payment is attributable to a trade or business carried on by it through a permanent establishment in the United Kingdom.</w:t>
      </w:r>
    </w:p>
    <w:p>
      <w:pPr>
        <w:pStyle w:val="Normal"/>
        <w:numPr>
          <w:ilvl w:val="0"/>
          <w:numId w:val="0"/>
        </w:numPr>
        <w:ind w:hanging="0" w:start="2160" w:end="0"/>
        <w:jc w:val="both"/>
        <w:outlineLvl w:val="2"/>
        <w:rPr>
          <w:rFonts w:ascii="Arial" w:hAnsi="Arial" w:cs="Arial"/>
          <w:sz w:val="20"/>
        </w:rPr>
      </w:pPr>
      <w:r>
        <w:rPr>
          <w:rFonts w:cs="Arial" w:ascii="Arial" w:hAnsi="Arial"/>
          <w:sz w:val="20"/>
        </w:rPr>
        <w:t>In connection with receiving all payments under a Transaction, Enron makes the following payee representations:</w:t>
      </w:r>
    </w:p>
    <w:p>
      <w:pPr>
        <w:pStyle w:val="Normal"/>
        <w:numPr>
          <w:ilvl w:val="0"/>
          <w:numId w:val="0"/>
        </w:numPr>
        <w:ind w:hanging="0" w:start="2160" w:end="0"/>
        <w:jc w:val="both"/>
        <w:outlineLvl w:val="2"/>
        <w:rPr>
          <w:rFonts w:ascii="Arial" w:hAnsi="Arial" w:cs="Arial"/>
          <w:sz w:val="20"/>
        </w:rPr>
      </w:pPr>
      <w:r>
        <w:rPr>
          <w:rFonts w:cs="Arial" w:ascii="Arial" w:hAnsi="Arial"/>
          <w:sz w:val="20"/>
        </w:rPr>
        <w:t>It is fully eligible for the benefits of the "Business Profits" or "Industrial and Commercial Profits" provision, as the case may be, the "Interest’ provision or the "Other Income" provision (if any) of the Counterparty Residence Treaty (if any) with respect to any payment described in such provisions and received or to be received by it in connection with the Transaction, and (unless the Counterparty Residence Jurisdiction is the United Kingdom) no such payment is attributable to a trade or business carried on by it through a permanent establishment in the Counterparty Residence Jurisdiction.</w:t>
      </w:r>
    </w:p>
    <w:p>
      <w:pPr>
        <w:pStyle w:val="Normal"/>
        <w:numPr>
          <w:ilvl w:val="0"/>
          <w:numId w:val="0"/>
        </w:numPr>
        <w:ind w:hanging="0" w:start="2160" w:end="0"/>
        <w:jc w:val="both"/>
        <w:outlineLvl w:val="2"/>
        <w:rPr>
          <w:rFonts w:ascii="Arial" w:hAnsi="Arial" w:cs="Arial"/>
          <w:sz w:val="20"/>
        </w:rPr>
      </w:pPr>
      <w:r>
        <w:rPr>
          <w:rFonts w:cs="Arial" w:ascii="Arial" w:hAnsi="Arial"/>
          <w:sz w:val="20"/>
        </w:rPr>
        <w:t>If there is a Counterparty Branch Jurisdiction, it is fully eligible for the benefits of the "Business Profits" or "Industrial and Commercial Profits" provision, as the case may be, the "Interest" provision or the "Other Income" provision (if any) of the Counterparty Branch Treaty (if any) with respect to any payment described in such provision and received or to be received by it in connection with the Transaction, and (unless the Counterparty Branch Jurisdiction is the United Kingdom) no such payment is attributable to a trade or business carried on by it through a permanent establishment in the Counterparty Branch Jurisdiction.</w:t>
      </w:r>
    </w:p>
    <w:p>
      <w:pPr>
        <w:pStyle w:val="Normal"/>
        <w:numPr>
          <w:ilvl w:val="0"/>
          <w:numId w:val="0"/>
        </w:numPr>
        <w:ind w:hanging="0" w:start="2160" w:end="0"/>
        <w:jc w:val="both"/>
        <w:outlineLvl w:val="2"/>
        <w:rPr/>
      </w:pPr>
      <w:r>
        <w:rPr>
          <w:rFonts w:cs="Arial" w:ascii="Arial" w:hAnsi="Arial"/>
          <w:sz w:val="20"/>
        </w:rPr>
        <w:t>"</w:t>
      </w:r>
      <w:r>
        <w:rPr>
          <w:rFonts w:cs="Arial" w:ascii="Arial" w:hAnsi="Arial"/>
          <w:i/>
          <w:sz w:val="20"/>
        </w:rPr>
        <w:t>Counterparty Branch Jurisdiction</w:t>
      </w:r>
      <w:r>
        <w:rPr>
          <w:rFonts w:cs="Arial" w:ascii="Arial" w:hAnsi="Arial"/>
          <w:sz w:val="20"/>
        </w:rPr>
        <w:t>" means the jurisdiction (if any) specified as such by the parties to a Transaction.</w:t>
      </w:r>
    </w:p>
    <w:p>
      <w:pPr>
        <w:pStyle w:val="Normal"/>
        <w:numPr>
          <w:ilvl w:val="0"/>
          <w:numId w:val="0"/>
        </w:numPr>
        <w:ind w:hanging="0" w:start="2160" w:end="0"/>
        <w:jc w:val="both"/>
        <w:outlineLvl w:val="2"/>
        <w:rPr/>
      </w:pPr>
      <w:r>
        <w:rPr>
          <w:rFonts w:cs="Arial" w:ascii="Arial" w:hAnsi="Arial"/>
          <w:sz w:val="20"/>
        </w:rPr>
        <w:t>"</w:t>
      </w:r>
      <w:r>
        <w:rPr>
          <w:rFonts w:cs="Arial" w:ascii="Arial" w:hAnsi="Arial"/>
          <w:i/>
          <w:sz w:val="20"/>
        </w:rPr>
        <w:t>Counterparty Branch Treaty</w:t>
      </w:r>
      <w:r>
        <w:rPr>
          <w:rFonts w:cs="Arial" w:ascii="Arial" w:hAnsi="Arial"/>
          <w:sz w:val="20"/>
        </w:rPr>
        <w:t>" means the income tax treaty between the United Kingdom and the Counterparty Branch Jurisdiction provided that, where there is no such treaty, there shall be no Counterparty Branch Treaty.</w:t>
      </w:r>
    </w:p>
    <w:p>
      <w:pPr>
        <w:pStyle w:val="Normal"/>
        <w:numPr>
          <w:ilvl w:val="0"/>
          <w:numId w:val="0"/>
        </w:numPr>
        <w:ind w:hanging="0" w:start="2160" w:end="0"/>
        <w:jc w:val="both"/>
        <w:outlineLvl w:val="2"/>
        <w:rPr/>
      </w:pPr>
      <w:r>
        <w:rPr>
          <w:rFonts w:cs="Arial" w:ascii="Arial" w:hAnsi="Arial"/>
          <w:sz w:val="20"/>
        </w:rPr>
        <w:t>"</w:t>
      </w:r>
      <w:r>
        <w:rPr>
          <w:rFonts w:cs="Arial" w:ascii="Arial" w:hAnsi="Arial"/>
          <w:i/>
          <w:sz w:val="20"/>
        </w:rPr>
        <w:t>Counterparty Residence Treaty</w:t>
      </w:r>
      <w:r>
        <w:rPr>
          <w:rFonts w:cs="Arial" w:ascii="Arial" w:hAnsi="Arial"/>
          <w:sz w:val="20"/>
        </w:rPr>
        <w:t>" means the income tax treaty between the United Kingdom and the Counterparty Residence Jurisdiction provided that, where there is no such treaty, there shall be no Counterparty Residence Treaty.</w:t>
      </w:r>
    </w:p>
    <w:p>
      <w:pPr>
        <w:pStyle w:val="Normal"/>
        <w:numPr>
          <w:ilvl w:val="0"/>
          <w:numId w:val="0"/>
        </w:numPr>
        <w:ind w:hanging="0" w:start="2160" w:end="0"/>
        <w:jc w:val="both"/>
        <w:outlineLvl w:val="2"/>
        <w:rPr/>
      </w:pPr>
      <w:r>
        <w:rPr>
          <w:rFonts w:cs="Arial" w:ascii="Arial" w:hAnsi="Arial"/>
          <w:sz w:val="20"/>
        </w:rPr>
        <w:t>"</w:t>
      </w:r>
      <w:r>
        <w:rPr>
          <w:rFonts w:cs="Arial" w:ascii="Arial" w:hAnsi="Arial"/>
          <w:i/>
          <w:sz w:val="20"/>
        </w:rPr>
        <w:t>Counterparty Residence Jurisdiction</w:t>
      </w:r>
      <w:r>
        <w:rPr>
          <w:rFonts w:cs="Arial" w:ascii="Arial" w:hAnsi="Arial"/>
          <w:sz w:val="20"/>
        </w:rPr>
        <w:t>" means the jurisdiction specified as such by the parties to a Transaction.</w:t>
      </w:r>
    </w:p>
    <w:p>
      <w:pPr>
        <w:pStyle w:val="Normal"/>
        <w:numPr>
          <w:ilvl w:val="2"/>
          <w:numId w:val="2"/>
        </w:numPr>
        <w:tabs>
          <w:tab w:val="clear" w:pos="720"/>
          <w:tab w:val="left" w:pos="2160" w:leader="none"/>
        </w:tabs>
        <w:ind w:hanging="360" w:start="2160" w:end="0"/>
        <w:jc w:val="both"/>
        <w:outlineLvl w:val="2"/>
        <w:rPr>
          <w:rFonts w:ascii="Arial" w:hAnsi="Arial" w:cs="Arial"/>
          <w:sz w:val="20"/>
        </w:rPr>
      </w:pPr>
      <w:r>
        <w:rPr>
          <w:rFonts w:cs="Arial" w:ascii="Arial" w:hAnsi="Arial"/>
          <w:sz w:val="20"/>
        </w:rPr>
        <w:t>Changes in Representation</w:t>
      </w:r>
    </w:p>
    <w:p>
      <w:pPr>
        <w:pStyle w:val="Normal"/>
        <w:numPr>
          <w:ilvl w:val="0"/>
          <w:numId w:val="0"/>
        </w:numPr>
        <w:ind w:hanging="0" w:start="2160" w:end="0"/>
        <w:jc w:val="both"/>
        <w:outlineLvl w:val="2"/>
        <w:rPr>
          <w:rFonts w:ascii="Arial" w:hAnsi="Arial" w:cs="Arial"/>
          <w:sz w:val="20"/>
        </w:rPr>
      </w:pPr>
      <w:r>
        <w:rPr>
          <w:rFonts w:cs="Arial" w:ascii="Arial" w:hAnsi="Arial"/>
          <w:sz w:val="20"/>
        </w:rPr>
        <w:t>If any representation made under this Section becomes untrue or inaccurate during the term of a Transaction, the party whose representation has changed shall promptly give the other party written notice of such change.</w:t>
      </w:r>
    </w:p>
    <w:p>
      <w:pPr>
        <w:pStyle w:val="Normal"/>
        <w:numPr>
          <w:ilvl w:val="2"/>
          <w:numId w:val="2"/>
        </w:numPr>
        <w:tabs>
          <w:tab w:val="clear" w:pos="720"/>
          <w:tab w:val="left" w:pos="2160" w:leader="none"/>
        </w:tabs>
        <w:ind w:hanging="360" w:start="2160" w:end="0"/>
        <w:jc w:val="both"/>
        <w:outlineLvl w:val="2"/>
        <w:rPr>
          <w:rFonts w:ascii="Arial" w:hAnsi="Arial" w:cs="Arial"/>
          <w:sz w:val="20"/>
        </w:rPr>
      </w:pPr>
      <w:r>
        <w:rPr>
          <w:rFonts w:cs="Arial" w:ascii="Arial" w:hAnsi="Arial"/>
          <w:sz w:val="20"/>
        </w:rPr>
        <w:t>Withholding Tax Exemption Form</w:t>
      </w:r>
    </w:p>
    <w:p>
      <w:pPr>
        <w:pStyle w:val="Normal"/>
        <w:numPr>
          <w:ilvl w:val="0"/>
          <w:numId w:val="0"/>
        </w:numPr>
        <w:ind w:hanging="0" w:start="2160" w:end="0"/>
        <w:jc w:val="both"/>
        <w:outlineLvl w:val="2"/>
        <w:rPr>
          <w:rFonts w:ascii="Arial" w:hAnsi="Arial" w:cs="Arial"/>
          <w:sz w:val="20"/>
        </w:rPr>
      </w:pPr>
      <w:r>
        <w:rPr>
          <w:rFonts w:cs="Arial" w:ascii="Arial" w:hAnsi="Arial"/>
          <w:sz w:val="20"/>
        </w:rPr>
        <w:t>Upon request, each party shall provide the other with (or, if a party has assigned its rights under this GTC or any Transaction, procure the provision of) a properly completed and executed exemption form, certificate or other document that will allow the other party to make any payment hereunder without deduction or withholding for Tax, including, but not limited to, the United States Internal Revenue Service Form W-8, 1001 and/or 4224 and appropriate successor forms thereto.</w:t>
      </w:r>
    </w:p>
    <w:p>
      <w:pPr>
        <w:pStyle w:val="Normal"/>
        <w:numPr>
          <w:ilvl w:val="2"/>
          <w:numId w:val="2"/>
        </w:numPr>
        <w:tabs>
          <w:tab w:val="clear" w:pos="720"/>
          <w:tab w:val="left" w:pos="2160" w:leader="none"/>
        </w:tabs>
        <w:ind w:hanging="360" w:start="2160" w:end="0"/>
        <w:jc w:val="both"/>
        <w:outlineLvl w:val="2"/>
        <w:rPr>
          <w:rFonts w:ascii="Arial" w:hAnsi="Arial" w:cs="Arial"/>
          <w:sz w:val="20"/>
        </w:rPr>
      </w:pPr>
      <w:r>
        <w:rPr>
          <w:rFonts w:cs="Arial" w:ascii="Arial" w:hAnsi="Arial"/>
          <w:sz w:val="20"/>
        </w:rPr>
        <w:t>Gross Up</w:t>
      </w:r>
    </w:p>
    <w:p>
      <w:pPr>
        <w:pStyle w:val="Normal"/>
        <w:numPr>
          <w:ilvl w:val="0"/>
          <w:numId w:val="0"/>
        </w:numPr>
        <w:ind w:hanging="0" w:start="2160" w:end="0"/>
        <w:jc w:val="both"/>
        <w:outlineLvl w:val="2"/>
        <w:rPr>
          <w:rFonts w:ascii="Arial" w:hAnsi="Arial" w:cs="Arial"/>
          <w:sz w:val="20"/>
        </w:rPr>
      </w:pPr>
      <w:r>
        <w:rPr>
          <w:rFonts w:cs="Arial" w:ascii="Arial" w:hAnsi="Arial"/>
          <w:sz w:val="20"/>
        </w:rPr>
        <w:t>All payments under a Transaction will be made without any deduction or withholding for or on account of any Tax, unless such deduction or withholding is required by any applicable law, modified by the practice of any relevant governmental revenue authority then in effect. If a party is so required to deduct or withhold then that party ("X") will:</w:t>
      </w:r>
    </w:p>
    <w:p>
      <w:pPr>
        <w:pStyle w:val="Normal"/>
        <w:numPr>
          <w:ilvl w:val="3"/>
          <w:numId w:val="3"/>
        </w:numPr>
        <w:tabs>
          <w:tab w:val="clear" w:pos="720"/>
          <w:tab w:val="left" w:pos="2880" w:leader="none"/>
        </w:tabs>
        <w:ind w:hanging="360" w:start="2880" w:end="0"/>
        <w:jc w:val="both"/>
        <w:outlineLvl w:val="3"/>
        <w:rPr>
          <w:rFonts w:ascii="Arial" w:hAnsi="Arial" w:cs="Arial"/>
          <w:sz w:val="20"/>
        </w:rPr>
      </w:pPr>
      <w:r>
        <w:rPr>
          <w:rFonts w:cs="Arial" w:ascii="Arial" w:hAnsi="Arial"/>
          <w:sz w:val="20"/>
        </w:rPr>
        <w:t>Promptly notify the other party ("Y") of such requirement; and</w:t>
      </w:r>
    </w:p>
    <w:p>
      <w:pPr>
        <w:pStyle w:val="Normal"/>
        <w:numPr>
          <w:ilvl w:val="3"/>
          <w:numId w:val="3"/>
        </w:numPr>
        <w:tabs>
          <w:tab w:val="clear" w:pos="720"/>
          <w:tab w:val="left" w:pos="2880" w:leader="none"/>
        </w:tabs>
        <w:ind w:hanging="360" w:start="2880" w:end="0"/>
        <w:jc w:val="both"/>
        <w:outlineLvl w:val="3"/>
        <w:rPr>
          <w:rFonts w:ascii="Arial" w:hAnsi="Arial" w:cs="Arial"/>
          <w:sz w:val="20"/>
        </w:rPr>
      </w:pPr>
      <w:r>
        <w:rPr>
          <w:rFonts w:cs="Arial" w:ascii="Arial" w:hAnsi="Arial"/>
          <w:sz w:val="20"/>
        </w:rPr>
        <w:t>Pay the relevant authorities the full amount required to be deducted or withheld (including the full amount required to be deducted or withheld from any additional amount paid by X to Y under this subsection (E)) promptly upon the earlier of determining that such deduction or withholding is required or receiving notice that such amount has been assessed against Y; and</w:t>
      </w:r>
    </w:p>
    <w:p>
      <w:pPr>
        <w:pStyle w:val="Normal"/>
        <w:numPr>
          <w:ilvl w:val="3"/>
          <w:numId w:val="3"/>
        </w:numPr>
        <w:tabs>
          <w:tab w:val="clear" w:pos="720"/>
          <w:tab w:val="left" w:pos="2880" w:leader="none"/>
        </w:tabs>
        <w:ind w:hanging="360" w:start="2880" w:end="0"/>
        <w:jc w:val="both"/>
        <w:outlineLvl w:val="3"/>
        <w:rPr>
          <w:rFonts w:ascii="Arial" w:hAnsi="Arial" w:cs="Arial"/>
          <w:sz w:val="20"/>
        </w:rPr>
      </w:pPr>
      <w:r>
        <w:rPr>
          <w:rFonts w:cs="Arial" w:ascii="Arial" w:hAnsi="Arial"/>
          <w:sz w:val="20"/>
        </w:rPr>
        <w:t>Promptly forward to Y an official receipt (or certified copy thereof) or other documentation reasonably acceptable to Y evidencing such payment to such authorities; and</w:t>
      </w:r>
    </w:p>
    <w:p>
      <w:pPr>
        <w:pStyle w:val="Normal"/>
        <w:numPr>
          <w:ilvl w:val="3"/>
          <w:numId w:val="3"/>
        </w:numPr>
        <w:tabs>
          <w:tab w:val="clear" w:pos="720"/>
          <w:tab w:val="left" w:pos="2880" w:leader="none"/>
        </w:tabs>
        <w:ind w:hanging="360" w:start="2880" w:end="0"/>
        <w:jc w:val="both"/>
        <w:outlineLvl w:val="3"/>
        <w:rPr>
          <w:rFonts w:ascii="Arial" w:hAnsi="Arial" w:cs="Arial"/>
          <w:sz w:val="20"/>
        </w:rPr>
      </w:pPr>
      <w:r>
        <w:rPr>
          <w:rFonts w:cs="Arial" w:ascii="Arial" w:hAnsi="Arial"/>
          <w:sz w:val="20"/>
        </w:rPr>
        <w:t>If such Tax is an Indemnifiable Tax, pay to Y, in addition to the payment which Y is otherwise entitled to under the Transaction, such additional amount as is necessary to ensure that the net amount actually received by Y (free and clear of Indemnifiable Taxes, whether assessed against X or Y) will equal the full amount Y would have received had no such deduction or withholding been required. However, X will not be required to pay any additional amount to Y to the extent that it would not be required to be paid but for: (a) the failure by Y to comply with or perform any agreement contained in subsection (C) or (D); or (b) the failure of a representation made by Y pursuant to subsection (B) to be accurate and true, unless such failure would not have occurred but for a Change in Tax Law.</w:t>
      </w:r>
    </w:p>
    <w:p>
      <w:pPr>
        <w:pStyle w:val="Normal"/>
        <w:numPr>
          <w:ilvl w:val="2"/>
          <w:numId w:val="2"/>
        </w:numPr>
        <w:tabs>
          <w:tab w:val="clear" w:pos="720"/>
          <w:tab w:val="left" w:pos="2160" w:leader="none"/>
        </w:tabs>
        <w:ind w:hanging="360" w:start="2160" w:end="0"/>
        <w:jc w:val="both"/>
        <w:outlineLvl w:val="2"/>
        <w:rPr>
          <w:rFonts w:ascii="Arial" w:hAnsi="Arial" w:cs="Arial"/>
          <w:sz w:val="20"/>
        </w:rPr>
      </w:pPr>
      <w:r>
        <w:rPr>
          <w:rFonts w:cs="Arial" w:ascii="Arial" w:hAnsi="Arial"/>
          <w:sz w:val="20"/>
        </w:rPr>
        <w:t>Liability</w:t>
      </w:r>
    </w:p>
    <w:p>
      <w:pPr>
        <w:pStyle w:val="Normal"/>
        <w:numPr>
          <w:ilvl w:val="0"/>
          <w:numId w:val="0"/>
        </w:numPr>
        <w:ind w:hanging="0" w:start="2160" w:end="0"/>
        <w:jc w:val="both"/>
        <w:outlineLvl w:val="2"/>
        <w:rPr>
          <w:rFonts w:ascii="Arial" w:hAnsi="Arial" w:cs="Arial"/>
          <w:sz w:val="20"/>
        </w:rPr>
      </w:pPr>
      <w:r>
        <w:rPr>
          <w:rFonts w:cs="Arial" w:ascii="Arial" w:hAnsi="Arial"/>
          <w:sz w:val="20"/>
        </w:rPr>
        <w:t>If:</w:t>
      </w:r>
    </w:p>
    <w:p>
      <w:pPr>
        <w:pStyle w:val="Normal"/>
        <w:numPr>
          <w:ilvl w:val="3"/>
          <w:numId w:val="4"/>
        </w:numPr>
        <w:tabs>
          <w:tab w:val="clear" w:pos="720"/>
          <w:tab w:val="left" w:pos="2880" w:leader="none"/>
        </w:tabs>
        <w:ind w:hanging="360" w:start="2880" w:end="0"/>
        <w:jc w:val="both"/>
        <w:outlineLvl w:val="3"/>
        <w:rPr>
          <w:rFonts w:ascii="Arial" w:hAnsi="Arial" w:cs="Arial"/>
          <w:sz w:val="20"/>
        </w:rPr>
      </w:pPr>
      <w:r>
        <w:rPr>
          <w:rFonts w:cs="Arial" w:ascii="Arial" w:hAnsi="Arial"/>
          <w:sz w:val="20"/>
        </w:rPr>
        <w:t>X is required by any applicable law, as modified by the practice of any relevant governmental revenue authority, to make any deduction or withholding for or on account of any Tax in respect of which X would not be required to pay an additional amount to Y under subsection (E)(iv); and</w:t>
      </w:r>
    </w:p>
    <w:p>
      <w:pPr>
        <w:pStyle w:val="Normal"/>
        <w:numPr>
          <w:ilvl w:val="3"/>
          <w:numId w:val="4"/>
        </w:numPr>
        <w:tabs>
          <w:tab w:val="clear" w:pos="720"/>
          <w:tab w:val="left" w:pos="2880" w:leader="none"/>
        </w:tabs>
        <w:ind w:hanging="360" w:start="2880" w:end="0"/>
        <w:jc w:val="both"/>
        <w:outlineLvl w:val="3"/>
        <w:rPr>
          <w:rFonts w:ascii="Arial" w:hAnsi="Arial" w:cs="Arial"/>
          <w:sz w:val="20"/>
        </w:rPr>
      </w:pPr>
      <w:r>
        <w:rPr>
          <w:rFonts w:cs="Arial" w:ascii="Arial" w:hAnsi="Arial"/>
          <w:sz w:val="20"/>
        </w:rPr>
        <w:t>X does not so deduct or withhold; and</w:t>
      </w:r>
    </w:p>
    <w:p>
      <w:pPr>
        <w:pStyle w:val="Normal"/>
        <w:numPr>
          <w:ilvl w:val="3"/>
          <w:numId w:val="4"/>
        </w:numPr>
        <w:tabs>
          <w:tab w:val="clear" w:pos="720"/>
          <w:tab w:val="left" w:pos="2880" w:leader="none"/>
        </w:tabs>
        <w:ind w:hanging="360" w:start="2880" w:end="0"/>
        <w:jc w:val="both"/>
        <w:outlineLvl w:val="3"/>
        <w:rPr>
          <w:rFonts w:ascii="Arial" w:hAnsi="Arial" w:cs="Arial"/>
          <w:sz w:val="20"/>
        </w:rPr>
      </w:pPr>
      <w:r>
        <w:rPr>
          <w:rFonts w:cs="Arial" w:ascii="Arial" w:hAnsi="Arial"/>
          <w:sz w:val="20"/>
        </w:rPr>
        <w:t>A liability resulting from such Tax is assessed directly against X then, except to the extent that Y has satisfied or then satisfies the liability resulting from such Tax, Y will promptly pay to X the amount of such liability (including any related liability for interest, but including any related liability for penalties only if Y failed to comply with or perform any agreement contained in subsection (C) or (D)).</w:t>
      </w:r>
    </w:p>
    <w:p>
      <w:pPr>
        <w:pStyle w:val="Normal"/>
        <w:numPr>
          <w:ilvl w:val="2"/>
          <w:numId w:val="2"/>
        </w:numPr>
        <w:tabs>
          <w:tab w:val="clear" w:pos="720"/>
          <w:tab w:val="left" w:pos="2160" w:leader="none"/>
        </w:tabs>
        <w:ind w:hanging="360" w:start="2160" w:end="0"/>
        <w:jc w:val="both"/>
        <w:outlineLvl w:val="2"/>
        <w:rPr>
          <w:rFonts w:ascii="Arial" w:hAnsi="Arial" w:cs="Arial"/>
          <w:sz w:val="20"/>
        </w:rPr>
      </w:pPr>
      <w:r>
        <w:rPr>
          <w:rFonts w:cs="Arial" w:ascii="Arial" w:hAnsi="Arial"/>
          <w:sz w:val="20"/>
        </w:rPr>
        <w:t>Change in Tax Law</w:t>
      </w:r>
    </w:p>
    <w:p>
      <w:pPr>
        <w:pStyle w:val="Normal"/>
        <w:numPr>
          <w:ilvl w:val="0"/>
          <w:numId w:val="0"/>
        </w:numPr>
        <w:ind w:hanging="0" w:start="2160" w:end="0"/>
        <w:jc w:val="both"/>
        <w:outlineLvl w:val="2"/>
        <w:rPr>
          <w:rFonts w:ascii="Arial" w:hAnsi="Arial" w:cs="Arial"/>
          <w:sz w:val="20"/>
        </w:rPr>
      </w:pPr>
      <w:r>
        <w:rPr>
          <w:rFonts w:cs="Arial" w:ascii="Arial" w:hAnsi="Arial"/>
          <w:sz w:val="20"/>
        </w:rPr>
        <w:t>If, as a result of a Change in Tax Law, Counterparty or Enron will, or there is a substantial likelihood that it will, on the next succeeding payment date:</w:t>
      </w:r>
    </w:p>
    <w:p>
      <w:pPr>
        <w:pStyle w:val="Normal"/>
        <w:numPr>
          <w:ilvl w:val="3"/>
          <w:numId w:val="5"/>
        </w:numPr>
        <w:tabs>
          <w:tab w:val="clear" w:pos="720"/>
          <w:tab w:val="left" w:pos="2880" w:leader="none"/>
        </w:tabs>
        <w:ind w:hanging="360" w:start="2880" w:end="0"/>
        <w:jc w:val="both"/>
        <w:outlineLvl w:val="3"/>
        <w:rPr>
          <w:rFonts w:ascii="Arial" w:hAnsi="Arial" w:cs="Arial"/>
          <w:sz w:val="20"/>
        </w:rPr>
      </w:pPr>
      <w:r>
        <w:rPr>
          <w:rFonts w:cs="Arial" w:ascii="Arial" w:hAnsi="Arial"/>
          <w:sz w:val="20"/>
        </w:rPr>
        <w:t>Be required to pay to the other party an additional amount in respect of an Indemnifiable Tax (except in respect of any interest payable under the Transaction); or</w:t>
      </w:r>
    </w:p>
    <w:p>
      <w:pPr>
        <w:pStyle w:val="Normal"/>
        <w:numPr>
          <w:ilvl w:val="3"/>
          <w:numId w:val="5"/>
        </w:numPr>
        <w:tabs>
          <w:tab w:val="clear" w:pos="720"/>
          <w:tab w:val="left" w:pos="2880" w:leader="none"/>
        </w:tabs>
        <w:ind w:hanging="360" w:start="2880" w:end="0"/>
        <w:jc w:val="both"/>
        <w:outlineLvl w:val="3"/>
        <w:rPr>
          <w:rFonts w:ascii="Arial" w:hAnsi="Arial" w:cs="Arial"/>
          <w:sz w:val="20"/>
        </w:rPr>
      </w:pPr>
      <w:r>
        <w:rPr>
          <w:rFonts w:cs="Arial" w:ascii="Arial" w:hAnsi="Arial"/>
          <w:sz w:val="20"/>
        </w:rPr>
        <w:t>Receive a payment from which an amount is required to be deducted or withheld on account of any Tax (except in respect of any interest payable under the Transaction) and no additional amount is required to be paid in respect of such Tax under subsection (E)(iv) (other than by reason of subsection (E)(iv)(a) or (b)),</w:t>
      </w:r>
    </w:p>
    <w:p>
      <w:pPr>
        <w:pStyle w:val="BodyTextIndent2"/>
        <w:rPr/>
      </w:pPr>
      <w:r>
        <w:rPr/>
        <w:t>then such party may, in its sole discretion, upon two (2) Business Days notice to the other party, designate an Early Termination Date under Section 6 of this GTC. For purposes of calculating Gains, Losses and Costs under Section 6 of this GTC, the party designating the Early Termination Date as a result of a Change in Tax Law shall be treated as the Defaulting Party, and the other party shall be treated as the non-defaulting party.</w:t>
      </w:r>
    </w:p>
    <w:p>
      <w:pPr>
        <w:pStyle w:val="Normal"/>
        <w:numPr>
          <w:ilvl w:val="2"/>
          <w:numId w:val="2"/>
        </w:numPr>
        <w:tabs>
          <w:tab w:val="clear" w:pos="720"/>
          <w:tab w:val="left" w:pos="2160" w:leader="none"/>
        </w:tabs>
        <w:ind w:hanging="360" w:start="2160" w:end="0"/>
        <w:jc w:val="both"/>
        <w:outlineLvl w:val="2"/>
        <w:rPr>
          <w:rFonts w:ascii="Arial" w:hAnsi="Arial" w:cs="Arial"/>
          <w:sz w:val="20"/>
        </w:rPr>
      </w:pPr>
      <w:r>
        <w:rPr>
          <w:rFonts w:cs="Arial" w:ascii="Arial" w:hAnsi="Arial"/>
          <w:sz w:val="20"/>
        </w:rPr>
        <w:t>Miscellaneous</w:t>
      </w:r>
    </w:p>
    <w:p>
      <w:pPr>
        <w:pStyle w:val="Normal"/>
        <w:numPr>
          <w:ilvl w:val="0"/>
          <w:numId w:val="0"/>
        </w:numPr>
        <w:ind w:start="720" w:end="0"/>
        <w:jc w:val="both"/>
        <w:outlineLvl w:val="0"/>
        <w:rPr>
          <w:rFonts w:ascii="Arial" w:hAnsi="Arial" w:cs="Arial"/>
          <w:sz w:val="20"/>
        </w:rPr>
      </w:pPr>
      <w:r>
        <w:rPr>
          <w:rFonts w:cs="Arial" w:ascii="Arial" w:hAnsi="Arial"/>
          <w:sz w:val="20"/>
        </w:rPr>
        <w:t>It shall not be an Event of Default under this GTC if any of the representations or warranties contained in this Section prove to have been false or misleading in any material respect or if a party breaches any agreement or covenant in this Section (other than any agreement or covenant under subsections (E), (F) or (G)).</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Currency Provisions</w:t>
      </w:r>
    </w:p>
    <w:p>
      <w:pPr>
        <w:pStyle w:val="Normal"/>
        <w:numPr>
          <w:ilvl w:val="0"/>
          <w:numId w:val="0"/>
        </w:numPr>
        <w:ind w:start="720" w:end="0"/>
        <w:jc w:val="both"/>
        <w:outlineLvl w:val="0"/>
        <w:rPr>
          <w:rFonts w:ascii="Arial" w:hAnsi="Arial" w:cs="Arial"/>
          <w:sz w:val="20"/>
        </w:rPr>
      </w:pPr>
      <w:r>
        <w:rPr>
          <w:rFonts w:cs="Arial" w:ascii="Arial" w:hAnsi="Arial"/>
          <w:sz w:val="20"/>
        </w:rPr>
        <w:t>Each payment under each Transaction will be made in the Contractual Currency. To the extent permitted by applicable law, if any judgment or order expressed in a currency other than the Contractual Currency is rendered for the payment of any amount owing under a Transaction, the party seeking recovery, after recovery in full of the aggregate amount to which such party is entitled pursuant to the judgment or order, will be entitled to receive immediately from the other party the amount of any shortfall of the Contractual Currency received by such party as a consequence of sums paid in such other currency and will promptly refund to the other party any excess of the Contractual Currency received by such party as a result of sums paid in such other currency if such shortfall or excess arises or results from any variation between the exchange rate (including any premiums and exchange costs) at which the Contractual Currency is converted into the currency of the judgment or order for purposes of the judgment or order and the exchange rate (including any premiums and exchange costs) at which such party is able, acting in a reasonable and good faith manner in converting the currency received into the Contractual Currency, to purchase the Contractual Currency with the amount of the currency of the judgment or order actually received by such party.</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General Definitions</w:t>
      </w:r>
    </w:p>
    <w:p>
      <w:pPr>
        <w:pStyle w:val="Normal"/>
        <w:numPr>
          <w:ilvl w:val="0"/>
          <w:numId w:val="0"/>
        </w:numPr>
        <w:ind w:start="720" w:end="0"/>
        <w:jc w:val="both"/>
        <w:outlineLvl w:val="0"/>
        <w:rPr>
          <w:rFonts w:ascii="Arial" w:hAnsi="Arial" w:cs="Arial"/>
          <w:sz w:val="20"/>
        </w:rPr>
      </w:pPr>
      <w:r>
        <w:rPr>
          <w:rFonts w:cs="Arial" w:ascii="Arial" w:hAnsi="Arial"/>
          <w:sz w:val="20"/>
        </w:rPr>
        <w:t>As used in this GTC:</w:t>
      </w:r>
    </w:p>
    <w:p>
      <w:pPr>
        <w:pStyle w:val="Normal"/>
        <w:numPr>
          <w:ilvl w:val="0"/>
          <w:numId w:val="0"/>
        </w:numPr>
        <w:ind w:start="720" w:end="0"/>
        <w:outlineLvl w:val="0"/>
        <w:rPr/>
      </w:pPr>
      <w:r>
        <w:rPr>
          <w:rFonts w:cs="Arial" w:ascii="Arial" w:hAnsi="Arial"/>
          <w:sz w:val="20"/>
        </w:rPr>
        <w:t>"</w:t>
      </w:r>
      <w:r>
        <w:rPr>
          <w:rFonts w:cs="Arial" w:ascii="Arial" w:hAnsi="Arial"/>
          <w:i/>
          <w:sz w:val="20"/>
        </w:rPr>
        <w:t>Affiliate</w:t>
      </w:r>
      <w:r>
        <w:rPr>
          <w:rFonts w:cs="Arial" w:ascii="Arial" w:hAnsi="Arial"/>
          <w:sz w:val="20"/>
        </w:rPr>
        <w:t>" shall mean in relation to any party, any entity, directly or indirectly in the Control of the party, any entity that Controls, directly or indirectly, the party or any entity directly or indirectly under common Control with the party.</w:t>
      </w:r>
    </w:p>
    <w:p>
      <w:pPr>
        <w:pStyle w:val="Normal"/>
        <w:numPr>
          <w:ilvl w:val="0"/>
          <w:numId w:val="0"/>
        </w:numPr>
        <w:ind w:start="720" w:end="0"/>
        <w:jc w:val="both"/>
        <w:outlineLvl w:val="0"/>
        <w:rPr/>
      </w:pPr>
      <w:r>
        <w:rPr>
          <w:rFonts w:cs="Arial" w:ascii="Arial" w:hAnsi="Arial"/>
          <w:i/>
          <w:sz w:val="20"/>
        </w:rPr>
        <w:t>"Bankruptcy Event"</w:t>
      </w:r>
      <w:r>
        <w:rPr>
          <w:rFonts w:cs="Arial" w:ascii="Arial" w:hAnsi="Arial"/>
          <w:sz w:val="20"/>
        </w:rPr>
        <w:t xml:space="preserve"> shall mean:</w:t>
      </w:r>
    </w:p>
    <w:p>
      <w:pPr>
        <w:pStyle w:val="Normal"/>
        <w:numPr>
          <w:ilvl w:val="0"/>
          <w:numId w:val="0"/>
        </w:numPr>
        <w:ind w:start="720" w:end="0"/>
        <w:jc w:val="both"/>
        <w:outlineLvl w:val="0"/>
        <w:rPr>
          <w:rFonts w:ascii="Arial" w:hAnsi="Arial" w:cs="Arial"/>
          <w:sz w:val="20"/>
        </w:rPr>
      </w:pPr>
      <w:r>
        <w:rPr>
          <w:rFonts w:cs="Arial" w:ascii="Arial" w:hAnsi="Arial"/>
          <w:sz w:val="20"/>
        </w:rPr>
        <w:t>(i)</w:t>
        <w:tab/>
        <w:t>bankruptcy proceedings in respect of the Reference Entity are declared commenced by a court of law pursuant to the Finnish Bankruptcy Code (1868, as amended); or</w:t>
      </w:r>
    </w:p>
    <w:p>
      <w:pPr>
        <w:pStyle w:val="Normal"/>
        <w:numPr>
          <w:ilvl w:val="0"/>
          <w:numId w:val="0"/>
        </w:numPr>
        <w:ind w:start="720" w:end="0"/>
        <w:jc w:val="both"/>
        <w:outlineLvl w:val="0"/>
        <w:rPr>
          <w:rFonts w:ascii="Arial" w:hAnsi="Arial" w:cs="Arial"/>
          <w:sz w:val="20"/>
        </w:rPr>
      </w:pPr>
      <w:r>
        <w:rPr>
          <w:rFonts w:cs="Arial" w:ascii="Arial" w:hAnsi="Arial"/>
          <w:sz w:val="20"/>
        </w:rPr>
        <w:t>(ii)</w:t>
        <w:tab/>
        <w:t>company reorganisation proceedings in respect of the Reference Entity are declared commenced by a court of law pursuant to the Finnish Companies Act on Company Reorganisation (1993, as amended);</w:t>
      </w:r>
    </w:p>
    <w:p>
      <w:pPr>
        <w:pStyle w:val="Normal"/>
        <w:numPr>
          <w:ilvl w:val="0"/>
          <w:numId w:val="0"/>
        </w:numPr>
        <w:ind w:start="720" w:end="0"/>
        <w:jc w:val="both"/>
        <w:outlineLvl w:val="0"/>
        <w:rPr>
          <w:rFonts w:ascii="Arial" w:hAnsi="Arial" w:cs="Arial"/>
          <w:sz w:val="20"/>
        </w:rPr>
      </w:pPr>
      <w:r>
        <w:rPr>
          <w:rFonts w:cs="Arial" w:ascii="Arial" w:hAnsi="Arial"/>
          <w:sz w:val="20"/>
        </w:rPr>
        <w:t>(iii)</w:t>
        <w:tab/>
        <w:t>the Reference Entity is placed into liquidation by a resolution passed by the shareholders of the Reference Entity pursuant to the Finnish Companies Act (1978/, as amended); and</w:t>
      </w:r>
    </w:p>
    <w:p>
      <w:pPr>
        <w:pStyle w:val="Normal"/>
        <w:numPr>
          <w:ilvl w:val="0"/>
          <w:numId w:val="0"/>
        </w:numPr>
        <w:ind w:start="720" w:end="0"/>
        <w:jc w:val="both"/>
        <w:outlineLvl w:val="0"/>
        <w:rPr>
          <w:rFonts w:ascii="Arial" w:hAnsi="Arial" w:cs="Arial"/>
          <w:sz w:val="20"/>
        </w:rPr>
      </w:pPr>
      <w:r>
        <w:rPr>
          <w:rFonts w:cs="Arial" w:ascii="Arial" w:hAnsi="Arial"/>
          <w:sz w:val="20"/>
        </w:rPr>
        <w:t>(iv)</w:t>
        <w:tab/>
        <w:t>the Reference Entity is placed into liquidation by a judgment or order of a Finnish court of law pursuant to the Finnish Companies Act (1978/, as amended).</w:t>
      </w:r>
    </w:p>
    <w:p>
      <w:pPr>
        <w:pStyle w:val="Normal"/>
        <w:numPr>
          <w:ilvl w:val="0"/>
          <w:numId w:val="0"/>
        </w:numPr>
        <w:ind w:start="720" w:end="0"/>
        <w:jc w:val="both"/>
        <w:outlineLvl w:val="0"/>
        <w:rPr/>
      </w:pPr>
      <w:r>
        <w:rPr>
          <w:rFonts w:cs="Arial" w:ascii="Arial" w:hAnsi="Arial"/>
          <w:i/>
          <w:sz w:val="20"/>
        </w:rPr>
        <w:t>"Bankruptcy Event Notice"</w:t>
      </w:r>
      <w:r>
        <w:rPr>
          <w:rFonts w:cs="Arial" w:ascii="Arial" w:hAnsi="Arial"/>
          <w:sz w:val="20"/>
        </w:rPr>
        <w:t xml:space="preserve"> shall mean an irrevocable notice delivered by one party to the other that describes in reasonable detail a Bankruptcy Event occurring on or after the Effective Date and before the Scheduled Termination Date. </w:t>
      </w:r>
    </w:p>
    <w:p>
      <w:pPr>
        <w:pStyle w:val="Normal"/>
        <w:numPr>
          <w:ilvl w:val="0"/>
          <w:numId w:val="0"/>
        </w:numPr>
        <w:ind w:start="720" w:end="0"/>
        <w:jc w:val="both"/>
        <w:outlineLvl w:val="0"/>
        <w:rPr/>
      </w:pPr>
      <w:r>
        <w:rPr>
          <w:rFonts w:cs="Arial" w:ascii="Arial" w:hAnsi="Arial"/>
          <w:i/>
          <w:sz w:val="20"/>
        </w:rPr>
        <w:t xml:space="preserve">"Business Day" </w:t>
      </w:r>
      <w:r>
        <w:rPr>
          <w:rFonts w:cs="Arial" w:ascii="Arial" w:hAnsi="Arial"/>
          <w:sz w:val="20"/>
        </w:rPr>
        <w:t>shall have the meaning set out in Paragraph 2 of the Schedule to this GTC.</w:t>
      </w:r>
    </w:p>
    <w:p>
      <w:pPr>
        <w:pStyle w:val="Normal"/>
        <w:numPr>
          <w:ilvl w:val="0"/>
          <w:numId w:val="0"/>
        </w:numPr>
        <w:ind w:start="720" w:end="0"/>
        <w:jc w:val="both"/>
        <w:outlineLvl w:val="0"/>
        <w:rPr/>
      </w:pPr>
      <w:r>
        <w:rPr>
          <w:rFonts w:cs="Arial" w:ascii="Arial" w:hAnsi="Arial"/>
          <w:i/>
          <w:sz w:val="20"/>
        </w:rPr>
        <w:t>"Buyer"</w:t>
      </w:r>
      <w:r>
        <w:rPr>
          <w:rFonts w:cs="Arial" w:ascii="Arial" w:hAnsi="Arial"/>
          <w:sz w:val="20"/>
        </w:rPr>
        <w:t xml:space="preserve"> shall mean the purchaser of the Credit Product in respect of a Transaction as set out on this website and recorded in Enron’s electronic records in respect of the Transaction.</w:t>
      </w:r>
    </w:p>
    <w:p>
      <w:pPr>
        <w:pStyle w:val="Normal"/>
        <w:numPr>
          <w:ilvl w:val="0"/>
          <w:numId w:val="0"/>
        </w:numPr>
        <w:ind w:start="720" w:end="0"/>
        <w:jc w:val="both"/>
        <w:outlineLvl w:val="0"/>
        <w:rPr/>
      </w:pPr>
      <w:r>
        <w:rPr>
          <w:rFonts w:cs="Arial" w:ascii="Arial" w:hAnsi="Arial"/>
          <w:i/>
          <w:sz w:val="20"/>
        </w:rPr>
        <w:t>"Buyer Payment"</w:t>
      </w:r>
      <w:r>
        <w:rPr>
          <w:rFonts w:cs="Arial" w:ascii="Arial" w:hAnsi="Arial"/>
          <w:sz w:val="20"/>
        </w:rPr>
        <w:t xml:space="preserve"> shall mean the amount to be paid on each Buyer Payment Date by the Buyer to the Seller pursuant to a Transaction as set out on this website and recorded in Enron’s electronic records in respect of the Transaction. </w:t>
      </w:r>
    </w:p>
    <w:p>
      <w:pPr>
        <w:pStyle w:val="Normal"/>
        <w:numPr>
          <w:ilvl w:val="0"/>
          <w:numId w:val="0"/>
        </w:numPr>
        <w:ind w:start="720" w:end="0"/>
        <w:jc w:val="both"/>
        <w:outlineLvl w:val="0"/>
        <w:rPr/>
      </w:pPr>
      <w:r>
        <w:rPr>
          <w:rFonts w:cs="Arial" w:ascii="Arial" w:hAnsi="Arial"/>
          <w:i/>
          <w:sz w:val="20"/>
        </w:rPr>
        <w:t>"Buyer Payment Date"</w:t>
      </w:r>
      <w:r>
        <w:rPr>
          <w:rFonts w:cs="Arial" w:ascii="Arial" w:hAnsi="Arial"/>
          <w:sz w:val="20"/>
        </w:rPr>
        <w:t xml:space="preserve"> shall mean in respect of a Transaction:</w:t>
      </w:r>
    </w:p>
    <w:p>
      <w:pPr>
        <w:pStyle w:val="Normal"/>
        <w:numPr>
          <w:ilvl w:val="0"/>
          <w:numId w:val="0"/>
        </w:numPr>
        <w:ind w:start="720" w:end="0"/>
        <w:jc w:val="both"/>
        <w:outlineLvl w:val="0"/>
        <w:rPr>
          <w:rFonts w:ascii="Arial" w:hAnsi="Arial" w:cs="Arial"/>
          <w:sz w:val="20"/>
        </w:rPr>
      </w:pPr>
      <w:r>
        <w:rPr>
          <w:rFonts w:cs="Arial" w:ascii="Arial" w:hAnsi="Arial"/>
          <w:sz w:val="20"/>
        </w:rPr>
        <w:t>(i)</w:t>
        <w:tab/>
        <w:t xml:space="preserve">in respect of the first payment, the first Quarter Day falling after the Effective Date for that Transaction; </w:t>
      </w:r>
    </w:p>
    <w:p>
      <w:pPr>
        <w:pStyle w:val="Normal"/>
        <w:numPr>
          <w:ilvl w:val="0"/>
          <w:numId w:val="0"/>
        </w:numPr>
        <w:ind w:start="720" w:end="0"/>
        <w:jc w:val="both"/>
        <w:outlineLvl w:val="0"/>
        <w:rPr>
          <w:rFonts w:ascii="Arial" w:hAnsi="Arial" w:cs="Arial"/>
          <w:sz w:val="20"/>
        </w:rPr>
      </w:pPr>
      <w:r>
        <w:rPr>
          <w:rFonts w:cs="Arial" w:ascii="Arial" w:hAnsi="Arial"/>
          <w:sz w:val="20"/>
        </w:rPr>
        <w:t>(ii)</w:t>
        <w:tab/>
        <w:t>in respect of the second and each subsequent payment, each Quarter Day falling before the Scheduled Termination Date; and</w:t>
      </w:r>
    </w:p>
    <w:p>
      <w:pPr>
        <w:pStyle w:val="Normal"/>
        <w:numPr>
          <w:ilvl w:val="0"/>
          <w:numId w:val="0"/>
        </w:numPr>
        <w:ind w:start="720" w:end="0"/>
        <w:jc w:val="both"/>
        <w:outlineLvl w:val="0"/>
        <w:rPr>
          <w:rFonts w:ascii="Arial" w:hAnsi="Arial" w:cs="Arial"/>
          <w:sz w:val="20"/>
        </w:rPr>
      </w:pPr>
      <w:r>
        <w:rPr>
          <w:rFonts w:cs="Arial" w:ascii="Arial" w:hAnsi="Arial"/>
          <w:sz w:val="20"/>
        </w:rPr>
        <w:t>(iii)</w:t>
        <w:tab/>
        <w:t>in respect of the final payment, the Scheduled Termination Date.</w:t>
      </w:r>
    </w:p>
    <w:p>
      <w:pPr>
        <w:pStyle w:val="Normal"/>
        <w:numPr>
          <w:ilvl w:val="0"/>
          <w:numId w:val="0"/>
        </w:numPr>
        <w:ind w:start="720" w:end="0"/>
        <w:jc w:val="both"/>
        <w:outlineLvl w:val="0"/>
        <w:rPr/>
      </w:pPr>
      <w:r>
        <w:rPr>
          <w:rFonts w:cs="Arial" w:ascii="Arial" w:hAnsi="Arial"/>
          <w:i/>
          <w:sz w:val="20"/>
        </w:rPr>
        <w:t xml:space="preserve">"Change in Tax Law" </w:t>
      </w:r>
      <w:r>
        <w:rPr>
          <w:rFonts w:cs="Arial" w:ascii="Arial" w:hAnsi="Arial"/>
          <w:sz w:val="20"/>
        </w:rPr>
        <w:t>shall mean any proposed or final rulemaking published by a taxing authority, or a final decision of a court of competent jurisdiction, after the Trade Date of the relevant Transaction (regardless of whether</w:t>
      </w:r>
      <w:r>
        <w:rPr>
          <w:rFonts w:cs="Arial" w:ascii="Arial" w:hAnsi="Arial"/>
          <w:b/>
          <w:sz w:val="20"/>
        </w:rPr>
        <w:t xml:space="preserve"> </w:t>
      </w:r>
      <w:r>
        <w:rPr>
          <w:rFonts w:cs="Arial" w:ascii="Arial" w:hAnsi="Arial"/>
          <w:sz w:val="20"/>
        </w:rPr>
        <w:t>such rulemaking or final decision is made with respect to a party to a Transaction), or the enactment, promulgation, execution, or ratification of, or any change in or amendment to, any law or regulation (or the application or interpretation of any law, as determined by a court or as determined by the opinion of independent counsel mutually acceptable to Counterparty and Enron) after the Trade Date of the relevant Transaction.</w:t>
      </w:r>
    </w:p>
    <w:p>
      <w:pPr>
        <w:pStyle w:val="Normal"/>
        <w:numPr>
          <w:ilvl w:val="0"/>
          <w:numId w:val="0"/>
        </w:numPr>
        <w:ind w:start="720" w:end="0"/>
        <w:jc w:val="both"/>
        <w:outlineLvl w:val="0"/>
        <w:rPr/>
      </w:pPr>
      <w:r>
        <w:rPr>
          <w:rFonts w:cs="Arial" w:ascii="Arial" w:hAnsi="Arial"/>
          <w:i/>
          <w:sz w:val="20"/>
        </w:rPr>
        <w:t>"Contractual Currency"</w:t>
      </w:r>
      <w:r>
        <w:rPr>
          <w:rFonts w:cs="Arial" w:ascii="Arial" w:hAnsi="Arial"/>
          <w:sz w:val="20"/>
        </w:rPr>
        <w:t xml:space="preserve"> shall mean the currency in which the Buyer Payments and Seller Payment shall be made in respect of a Transaction as set out on this website and recorded in Enron’s electronic records in respect of the Transaction.</w:t>
      </w:r>
    </w:p>
    <w:p>
      <w:pPr>
        <w:pStyle w:val="Normal"/>
        <w:numPr>
          <w:ilvl w:val="0"/>
          <w:numId w:val="0"/>
        </w:numPr>
        <w:ind w:start="720" w:end="0"/>
        <w:jc w:val="both"/>
        <w:outlineLvl w:val="0"/>
        <w:rPr/>
      </w:pPr>
      <w:r>
        <w:rPr>
          <w:rFonts w:cs="Arial" w:ascii="Arial" w:hAnsi="Arial"/>
          <w:i/>
          <w:sz w:val="20"/>
        </w:rPr>
        <w:t>"Control"</w:t>
      </w:r>
      <w:r>
        <w:rPr>
          <w:rFonts w:cs="Arial" w:ascii="Arial" w:hAnsi="Arial"/>
          <w:sz w:val="20"/>
        </w:rPr>
        <w:t xml:space="preserve"> shall mean in respect of an entity the right to exercise more than 50 per cent. of the voting power in that entity and control shall be deemed to exist through (a) the direct or indirect ownership of 50 per cent. or more of the nominal value of the equity or issued share capital or of the shares or of 50 per cent. or more of the shares or equity entitling the holders to vote for the appointment of directors or persons performing similar functions, or (b) the right by any other means to appoint directors or persons performing similar functions who have a majority vote on the board of that entity.</w:t>
      </w:r>
    </w:p>
    <w:p>
      <w:pPr>
        <w:pStyle w:val="Normal"/>
        <w:numPr>
          <w:ilvl w:val="0"/>
          <w:numId w:val="0"/>
        </w:numPr>
        <w:ind w:start="720" w:end="0"/>
        <w:jc w:val="both"/>
        <w:outlineLvl w:val="0"/>
        <w:rPr/>
      </w:pPr>
      <w:r>
        <w:rPr>
          <w:rFonts w:cs="Arial" w:ascii="Arial" w:hAnsi="Arial"/>
          <w:i/>
          <w:sz w:val="20"/>
        </w:rPr>
        <w:t>"Credit Product"</w:t>
      </w:r>
      <w:r>
        <w:rPr>
          <w:rFonts w:cs="Arial" w:ascii="Arial" w:hAnsi="Arial"/>
          <w:sz w:val="20"/>
        </w:rPr>
        <w:t xml:space="preserve"> shall mean in respect of a Transaction the credit protection which the parties to such Transaction buy or sell in respect of the Reference Entity that is subject of such Transaction. </w:t>
      </w:r>
    </w:p>
    <w:p>
      <w:pPr>
        <w:pStyle w:val="Normal"/>
        <w:numPr>
          <w:ilvl w:val="0"/>
          <w:numId w:val="0"/>
        </w:numPr>
        <w:ind w:start="720" w:end="0"/>
        <w:jc w:val="both"/>
        <w:outlineLvl w:val="0"/>
        <w:rPr/>
      </w:pPr>
      <w:r>
        <w:rPr>
          <w:rFonts w:cs="Arial" w:ascii="Arial" w:hAnsi="Arial"/>
          <w:i/>
          <w:sz w:val="20"/>
        </w:rPr>
        <w:t>"Derivative Transaction"</w:t>
      </w:r>
      <w:r>
        <w:rPr>
          <w:rFonts w:cs="Arial" w:ascii="Arial" w:hAnsi="Arial"/>
          <w:sz w:val="20"/>
        </w:rPr>
        <w:t xml:space="preserve"> shall mean any swap, option or other financially-settled derivative transaction between the parties (but, for the avoidance of doubt, shall not include any Transaction).</w:t>
      </w:r>
    </w:p>
    <w:p>
      <w:pPr>
        <w:pStyle w:val="Normal"/>
        <w:numPr>
          <w:ilvl w:val="0"/>
          <w:numId w:val="0"/>
        </w:numPr>
        <w:ind w:start="720" w:end="0"/>
        <w:jc w:val="both"/>
        <w:outlineLvl w:val="0"/>
        <w:rPr/>
      </w:pPr>
      <w:r>
        <w:rPr>
          <w:rFonts w:cs="Arial" w:ascii="Arial" w:hAnsi="Arial"/>
          <w:i/>
          <w:sz w:val="20"/>
        </w:rPr>
        <w:t>"Determination Agent"</w:t>
      </w:r>
      <w:r>
        <w:rPr>
          <w:rFonts w:cs="Arial" w:ascii="Arial" w:hAnsi="Arial"/>
          <w:sz w:val="20"/>
        </w:rPr>
        <w:t xml:space="preserve"> shall mean Enron.</w:t>
      </w:r>
    </w:p>
    <w:p>
      <w:pPr>
        <w:pStyle w:val="Normal"/>
        <w:numPr>
          <w:ilvl w:val="0"/>
          <w:numId w:val="0"/>
        </w:numPr>
        <w:ind w:start="720" w:end="0"/>
        <w:jc w:val="both"/>
        <w:outlineLvl w:val="0"/>
        <w:rPr/>
      </w:pPr>
      <w:r>
        <w:rPr>
          <w:rFonts w:cs="Arial" w:ascii="Arial" w:hAnsi="Arial"/>
          <w:i/>
          <w:sz w:val="20"/>
        </w:rPr>
        <w:t>"Effective Date"</w:t>
      </w:r>
      <w:r>
        <w:rPr>
          <w:rFonts w:cs="Arial" w:ascii="Arial" w:hAnsi="Arial"/>
          <w:sz w:val="20"/>
        </w:rPr>
        <w:t xml:space="preserve"> shall mean 12.01 a.m. on the date falling two Months after the Trade Date. </w:t>
      </w:r>
    </w:p>
    <w:p>
      <w:pPr>
        <w:pStyle w:val="Normal"/>
        <w:numPr>
          <w:ilvl w:val="0"/>
          <w:numId w:val="0"/>
        </w:numPr>
        <w:ind w:start="720" w:end="0"/>
        <w:jc w:val="both"/>
        <w:outlineLvl w:val="0"/>
        <w:rPr/>
      </w:pPr>
      <w:r>
        <w:rPr>
          <w:rFonts w:cs="Arial" w:ascii="Arial" w:hAnsi="Arial"/>
          <w:i/>
          <w:sz w:val="20"/>
        </w:rPr>
        <w:t>"ETA"</w:t>
      </w:r>
      <w:r>
        <w:rPr>
          <w:rFonts w:cs="Arial" w:ascii="Arial" w:hAnsi="Arial"/>
          <w:sz w:val="20"/>
        </w:rPr>
        <w:t xml:space="preserve"> shall mean the electronic trading agreement (as amended or modified) entered into by the parties in respect of Transactions. </w:t>
      </w:r>
    </w:p>
    <w:p>
      <w:pPr>
        <w:pStyle w:val="Normal"/>
        <w:numPr>
          <w:ilvl w:val="0"/>
          <w:numId w:val="0"/>
        </w:numPr>
        <w:ind w:start="720" w:end="0"/>
        <w:jc w:val="both"/>
        <w:outlineLvl w:val="0"/>
        <w:rPr/>
      </w:pPr>
      <w:r>
        <w:rPr>
          <w:rFonts w:cs="Arial" w:ascii="Arial" w:hAnsi="Arial"/>
          <w:i/>
          <w:sz w:val="20"/>
        </w:rPr>
        <w:t>"Indemnifiable Tax"</w:t>
      </w:r>
      <w:r>
        <w:rPr>
          <w:rFonts w:cs="Arial" w:ascii="Arial" w:hAnsi="Arial"/>
          <w:sz w:val="20"/>
        </w:rPr>
        <w:t xml:space="preserve"> shall mean any Tax, other than a Tax that would not be imposed in respect of a payment made under the relevant Transaction but for a present or former connection between the jurisdiction of the government or taxing authority imposing such Tax and the recipient of such payment or a person related to such recipient (including, without limitation, a connection arising from such recipient or related person (i) being or having been a citizen or resident of, (ii) being or having been organised in, (iii) being or having been present or engaged in a trade or business in, or (iv) having or having had a permanent establishment or fixed place of business in, that jurisdiction), but excluding a connection arising solely from that recipient or related person having executed, delivered, enforced or performed obligations or received a payment under the relevant Transaction or letter of credit or guarantee provided pursuant to section 4.</w:t>
      </w:r>
    </w:p>
    <w:p>
      <w:pPr>
        <w:pStyle w:val="Normal"/>
        <w:numPr>
          <w:ilvl w:val="0"/>
          <w:numId w:val="0"/>
        </w:numPr>
        <w:ind w:start="720" w:end="0"/>
        <w:jc w:val="both"/>
        <w:outlineLvl w:val="0"/>
        <w:rPr/>
      </w:pPr>
      <w:r>
        <w:rPr>
          <w:rFonts w:cs="Arial" w:ascii="Arial" w:hAnsi="Arial"/>
          <w:i/>
          <w:sz w:val="20"/>
        </w:rPr>
        <w:t>"Interest Rate"</w:t>
      </w:r>
      <w:r>
        <w:rPr>
          <w:rFonts w:cs="Arial" w:ascii="Arial" w:hAnsi="Arial"/>
          <w:sz w:val="20"/>
        </w:rPr>
        <w:t xml:space="preserve"> shall mean (a) with respect to a non-defaulting party, a per annum rate of interest equal to the one month USD LIBOR as published as of 11.00 a.m. (London Time) by Barclays Bank PLC, and (b) with respect to a Defaulting Party, a per annum rate of interest equal to three percent (3%) over such rate; provided, however, in either case the Interest Rate may never exceed the maximum lawful rate under applicable law.</w:t>
      </w:r>
    </w:p>
    <w:p>
      <w:pPr>
        <w:pStyle w:val="Normal"/>
        <w:numPr>
          <w:ilvl w:val="0"/>
          <w:numId w:val="0"/>
        </w:numPr>
        <w:ind w:start="720" w:end="0"/>
        <w:jc w:val="both"/>
        <w:outlineLvl w:val="0"/>
        <w:rPr/>
      </w:pPr>
      <w:r>
        <w:rPr>
          <w:rFonts w:cs="Arial" w:ascii="Arial" w:hAnsi="Arial"/>
          <w:i/>
          <w:sz w:val="20"/>
        </w:rPr>
        <w:t>"Month"</w:t>
      </w:r>
      <w:r>
        <w:rPr>
          <w:rFonts w:cs="Arial" w:ascii="Arial" w:hAnsi="Arial"/>
          <w:sz w:val="20"/>
        </w:rPr>
        <w:t xml:space="preserve"> shall mean a calendar month. </w:t>
      </w:r>
    </w:p>
    <w:p>
      <w:pPr>
        <w:pStyle w:val="Normal"/>
        <w:numPr>
          <w:ilvl w:val="0"/>
          <w:numId w:val="0"/>
        </w:numPr>
        <w:ind w:start="720" w:end="0"/>
        <w:jc w:val="both"/>
        <w:outlineLvl w:val="0"/>
        <w:rPr/>
      </w:pPr>
      <w:r>
        <w:rPr>
          <w:rFonts w:cs="Arial" w:ascii="Arial" w:hAnsi="Arial"/>
          <w:i/>
          <w:sz w:val="20"/>
        </w:rPr>
        <w:t>"Notice of Publicly Available Information"</w:t>
      </w:r>
      <w:r>
        <w:rPr>
          <w:rFonts w:cs="Arial" w:ascii="Arial" w:hAnsi="Arial"/>
          <w:sz w:val="20"/>
        </w:rPr>
        <w:t xml:space="preserve"> shall mean an irrevocable notice delivered by one party to the other that confirms in reasonable detail the occurrence of a Bankruptcy Event described in a Bankruptcy Event Notice with Publicly Available Information. If a Bankruptcy Event Notice confirms the existence or occurrence of a Bankruptcy Event with Publicly Available Information, such notice will also be deemed to be a Notice of Publicly Available Information. </w:t>
      </w:r>
    </w:p>
    <w:p>
      <w:pPr>
        <w:pStyle w:val="Normal"/>
        <w:numPr>
          <w:ilvl w:val="0"/>
          <w:numId w:val="0"/>
        </w:numPr>
        <w:ind w:start="720" w:end="0"/>
        <w:jc w:val="both"/>
        <w:outlineLvl w:val="0"/>
        <w:rPr/>
      </w:pPr>
      <w:r>
        <w:rPr>
          <w:rFonts w:cs="Arial" w:ascii="Arial" w:hAnsi="Arial"/>
          <w:i/>
          <w:sz w:val="20"/>
        </w:rPr>
        <w:t>"Payment Date"</w:t>
      </w:r>
      <w:r>
        <w:rPr>
          <w:rFonts w:cs="Arial" w:ascii="Arial" w:hAnsi="Arial"/>
          <w:sz w:val="20"/>
        </w:rPr>
        <w:t xml:space="preserve"> shall mean each of the Buyer Payment Date or the Seller Payment Date or both such dates as the context may require. </w:t>
      </w:r>
    </w:p>
    <w:p>
      <w:pPr>
        <w:pStyle w:val="Normal"/>
        <w:numPr>
          <w:ilvl w:val="0"/>
          <w:numId w:val="0"/>
        </w:numPr>
        <w:ind w:start="720" w:end="0"/>
        <w:jc w:val="both"/>
        <w:outlineLvl w:val="0"/>
        <w:rPr/>
      </w:pPr>
      <w:r>
        <w:rPr>
          <w:rFonts w:cs="Arial" w:ascii="Arial" w:hAnsi="Arial"/>
          <w:i/>
          <w:sz w:val="20"/>
        </w:rPr>
        <w:t>"Publicly Available Information"</w:t>
      </w:r>
      <w:r>
        <w:rPr>
          <w:rFonts w:cs="Arial" w:ascii="Arial" w:hAnsi="Arial"/>
          <w:sz w:val="20"/>
        </w:rPr>
        <w:t xml:space="preserve"> shall mean information that reasonably confirms any of the assertions made in a Bankruptcy Event Notice and that has been published in or on (a) not less than two of the following news sources (and any of their successor news sources): Bloomberg Service, Dow Jones Telerate Service, Reuter Monitor Money Rates Services, Dow Jones News Wire, Wall Street Journal, New York Times, Financial Times, Virallinen Lehti, Kauppalehti or Taloussanomat, or (b) any official gazette or bulletin published or maintained by the government or a governmental agency or court agency of the country in which the Reference Entity is incorporated or organised. If the Buyer or any of its Affiliates is cited by any such news source as the sole source for such information, then such information shall not be deemed to be Publicly Available Information. </w:t>
      </w:r>
    </w:p>
    <w:p>
      <w:pPr>
        <w:pStyle w:val="Normal"/>
        <w:numPr>
          <w:ilvl w:val="0"/>
          <w:numId w:val="0"/>
        </w:numPr>
        <w:ind w:start="720" w:end="0"/>
        <w:jc w:val="both"/>
        <w:outlineLvl w:val="0"/>
        <w:rPr/>
      </w:pPr>
      <w:r>
        <w:rPr>
          <w:rFonts w:cs="Arial" w:ascii="Arial" w:hAnsi="Arial"/>
          <w:i/>
          <w:sz w:val="20"/>
        </w:rPr>
        <w:t>"Quarter Day"</w:t>
      </w:r>
      <w:r>
        <w:rPr>
          <w:rFonts w:cs="Arial" w:ascii="Arial" w:hAnsi="Arial"/>
          <w:sz w:val="20"/>
        </w:rPr>
        <w:t xml:space="preserve"> shall mean the last Business Day in March, June, September and December.</w:t>
      </w:r>
    </w:p>
    <w:p>
      <w:pPr>
        <w:pStyle w:val="Normal"/>
        <w:numPr>
          <w:ilvl w:val="0"/>
          <w:numId w:val="0"/>
        </w:numPr>
        <w:ind w:start="720" w:end="0"/>
        <w:jc w:val="both"/>
        <w:outlineLvl w:val="0"/>
        <w:rPr/>
      </w:pPr>
      <w:r>
        <w:rPr>
          <w:rFonts w:cs="Arial" w:ascii="Arial" w:hAnsi="Arial"/>
          <w:i/>
          <w:sz w:val="20"/>
        </w:rPr>
        <w:t>"Reference Entity"</w:t>
      </w:r>
      <w:r>
        <w:rPr>
          <w:rFonts w:cs="Arial" w:ascii="Arial" w:hAnsi="Arial"/>
          <w:sz w:val="20"/>
        </w:rPr>
        <w:t xml:space="preserve"> shall mean the entity in respect of which the Credit Product is being bought and sold as set out on this website and recorded in Enron’s electronic records in respect of a Transaction and any Successor. </w:t>
      </w:r>
    </w:p>
    <w:p>
      <w:pPr>
        <w:pStyle w:val="Normal"/>
        <w:numPr>
          <w:ilvl w:val="0"/>
          <w:numId w:val="0"/>
        </w:numPr>
        <w:ind w:start="720" w:end="0"/>
        <w:jc w:val="both"/>
        <w:outlineLvl w:val="0"/>
        <w:rPr/>
      </w:pPr>
      <w:r>
        <w:rPr>
          <w:rFonts w:cs="Arial" w:ascii="Arial" w:hAnsi="Arial"/>
          <w:i/>
          <w:sz w:val="20"/>
        </w:rPr>
        <w:t>"Scheduled Termination Date"</w:t>
      </w:r>
      <w:r>
        <w:rPr>
          <w:rFonts w:cs="Arial" w:ascii="Arial" w:hAnsi="Arial"/>
          <w:sz w:val="20"/>
        </w:rPr>
        <w:t xml:space="preserve"> shall mean in respect of a Transaction 12.01 on the scheduled termination date set out on this website and recorded in Enron’s electronic records in respect of the Transaction or, if that day is not a Business Day, the immediately preceding Business Day.</w:t>
      </w:r>
    </w:p>
    <w:p>
      <w:pPr>
        <w:pStyle w:val="Normal"/>
        <w:numPr>
          <w:ilvl w:val="0"/>
          <w:numId w:val="0"/>
        </w:numPr>
        <w:ind w:start="720" w:end="0"/>
        <w:jc w:val="both"/>
        <w:outlineLvl w:val="0"/>
        <w:rPr/>
      </w:pPr>
      <w:r>
        <w:rPr>
          <w:rFonts w:cs="Arial" w:ascii="Arial" w:hAnsi="Arial"/>
          <w:i/>
          <w:sz w:val="20"/>
        </w:rPr>
        <w:t>"Seller"</w:t>
      </w:r>
      <w:r>
        <w:rPr>
          <w:rFonts w:cs="Arial" w:ascii="Arial" w:hAnsi="Arial"/>
          <w:sz w:val="20"/>
        </w:rPr>
        <w:t xml:space="preserve"> shall mean the Seller of the Credit Product as set out on this website and recorded in Enron’s electronic records in respect of a Transaction. </w:t>
      </w:r>
    </w:p>
    <w:p>
      <w:pPr>
        <w:pStyle w:val="Normal"/>
        <w:numPr>
          <w:ilvl w:val="0"/>
          <w:numId w:val="0"/>
        </w:numPr>
        <w:ind w:start="720" w:end="0"/>
        <w:jc w:val="both"/>
        <w:outlineLvl w:val="0"/>
        <w:rPr/>
      </w:pPr>
      <w:r>
        <w:rPr>
          <w:rFonts w:cs="Arial" w:ascii="Arial" w:hAnsi="Arial"/>
          <w:i/>
          <w:sz w:val="20"/>
        </w:rPr>
        <w:t>"Seller Payment"</w:t>
      </w:r>
      <w:r>
        <w:rPr>
          <w:rFonts w:cs="Arial" w:ascii="Arial" w:hAnsi="Arial"/>
          <w:sz w:val="20"/>
        </w:rPr>
        <w:t xml:space="preserve"> shall mean the amount to be paid by the Seller in accordance with the terms of the GTC following the occurrence of a Bankruptcy Event as set out on this website and recorded in Enron’s electronic records in respect of a Transaction. </w:t>
      </w:r>
    </w:p>
    <w:p>
      <w:pPr>
        <w:pStyle w:val="Normal"/>
        <w:numPr>
          <w:ilvl w:val="0"/>
          <w:numId w:val="0"/>
        </w:numPr>
        <w:ind w:start="720" w:end="0"/>
        <w:jc w:val="both"/>
        <w:outlineLvl w:val="0"/>
        <w:rPr/>
      </w:pPr>
      <w:r>
        <w:rPr>
          <w:rFonts w:cs="Arial" w:ascii="Arial" w:hAnsi="Arial"/>
          <w:i/>
          <w:sz w:val="20"/>
        </w:rPr>
        <w:t>"Seller Payment Date"</w:t>
      </w:r>
      <w:r>
        <w:rPr>
          <w:rFonts w:cs="Arial" w:ascii="Arial" w:hAnsi="Arial"/>
          <w:sz w:val="20"/>
        </w:rPr>
        <w:t xml:space="preserve"> shall mean the date falling five Business Days after the date on which a valid Bankruptcy Event Notice and a Notice of Publicly Available Information is delivered by one party to the other. </w:t>
      </w:r>
    </w:p>
    <w:p>
      <w:pPr>
        <w:pStyle w:val="Normal"/>
        <w:numPr>
          <w:ilvl w:val="0"/>
          <w:numId w:val="0"/>
        </w:numPr>
        <w:ind w:start="720" w:end="0"/>
        <w:jc w:val="both"/>
        <w:outlineLvl w:val="0"/>
        <w:rPr/>
      </w:pPr>
      <w:r>
        <w:rPr>
          <w:rFonts w:cs="Arial" w:ascii="Arial" w:hAnsi="Arial"/>
          <w:i/>
          <w:sz w:val="20"/>
        </w:rPr>
        <w:t>"Successor"</w:t>
      </w:r>
      <w:r>
        <w:rPr>
          <w:rFonts w:cs="Arial" w:ascii="Arial" w:hAnsi="Arial"/>
          <w:sz w:val="20"/>
        </w:rPr>
        <w:t xml:space="preserve"> shall mean a direct or indirect successor to a Reference Entity that assumes all or substantially all of the obligations of the Reference Entity by way of merger, consolidation, amalgamation, transfer or otherwise, whether by operation of law or pursuant to any agreement, as determined by the Determination Agent.</w:t>
      </w:r>
    </w:p>
    <w:p>
      <w:pPr>
        <w:pStyle w:val="Normal"/>
        <w:numPr>
          <w:ilvl w:val="0"/>
          <w:numId w:val="0"/>
        </w:numPr>
        <w:ind w:start="720" w:end="0"/>
        <w:jc w:val="both"/>
        <w:outlineLvl w:val="0"/>
        <w:rPr/>
      </w:pPr>
      <w:r>
        <w:rPr>
          <w:rFonts w:cs="Arial" w:ascii="Arial" w:hAnsi="Arial"/>
          <w:i/>
          <w:sz w:val="20"/>
        </w:rPr>
        <w:t>"Tax"</w:t>
      </w:r>
      <w:r>
        <w:rPr>
          <w:rFonts w:cs="Arial" w:ascii="Arial" w:hAnsi="Arial"/>
          <w:sz w:val="20"/>
        </w:rPr>
        <w:t xml:space="preserve"> shall mean any present or future tax, levy, impost, duty, charge, assessment or fee of any nature (including any increase in the rate thereof and any interest, penalties and additions thereto) that is imposed by any government or other taxing authority in respect of any payment made under the relevant Transaction, other than a stamp, registration, documentation or similar tax.</w:t>
      </w:r>
    </w:p>
    <w:p>
      <w:pPr>
        <w:pStyle w:val="Normal"/>
        <w:numPr>
          <w:ilvl w:val="0"/>
          <w:numId w:val="0"/>
        </w:numPr>
        <w:ind w:start="720" w:end="0"/>
        <w:jc w:val="both"/>
        <w:outlineLvl w:val="0"/>
        <w:rPr/>
      </w:pPr>
      <w:r>
        <w:rPr>
          <w:rFonts w:cs="Arial" w:ascii="Arial" w:hAnsi="Arial"/>
          <w:i/>
          <w:sz w:val="20"/>
        </w:rPr>
        <w:t xml:space="preserve">"Trade Date" </w:t>
      </w:r>
      <w:r>
        <w:rPr>
          <w:rFonts w:cs="Arial" w:ascii="Arial" w:hAnsi="Arial"/>
          <w:sz w:val="20"/>
        </w:rPr>
        <w:t>shall mean the date the parties enter into a Transaction as set out on this website and recorded in Enron’s electronic records in respect of that Transaction.</w:t>
      </w:r>
    </w:p>
    <w:p>
      <w:pPr>
        <w:pStyle w:val="Normal"/>
        <w:numPr>
          <w:ilvl w:val="0"/>
          <w:numId w:val="0"/>
        </w:numPr>
        <w:ind w:start="720" w:end="0"/>
        <w:jc w:val="both"/>
        <w:outlineLvl w:val="0"/>
        <w:rPr>
          <w:rFonts w:ascii="Arial" w:hAnsi="Arial" w:cs="Arial"/>
          <w:sz w:val="20"/>
        </w:rPr>
      </w:pPr>
      <w:r>
        <w:rPr>
          <w:rFonts w:cs="Arial" w:ascii="Arial" w:hAnsi="Arial"/>
          <w:sz w:val="20"/>
        </w:rPr>
        <w:t>References in this GTC to times are to the times set out in Paragraph 3 of the Schedule to this GTC. References in this GTC to any statutes or other legislation are to such statutes or legislation as amended, modified, replaced or re-enacted from time to time.</w:t>
      </w:r>
    </w:p>
    <w:p>
      <w:pPr>
        <w:pStyle w:val="Normal"/>
        <w:numPr>
          <w:ilvl w:val="0"/>
          <w:numId w:val="0"/>
        </w:numPr>
        <w:ind w:start="720" w:end="0"/>
        <w:jc w:val="both"/>
        <w:outlineLvl w:val="0"/>
        <w:rPr>
          <w:rFonts w:ascii="Arial" w:hAnsi="Arial" w:cs="Arial"/>
          <w:sz w:val="20"/>
        </w:rPr>
      </w:pPr>
      <w:r>
        <w:rPr>
          <w:rFonts w:cs="Arial" w:ascii="Arial" w:hAnsi="Arial"/>
          <w:sz w:val="20"/>
        </w:rPr>
        <w:t> </w:t>
      </w:r>
    </w:p>
    <w:p>
      <w:pPr>
        <w:pStyle w:val="Normal"/>
        <w:numPr>
          <w:ilvl w:val="0"/>
          <w:numId w:val="0"/>
        </w:numPr>
        <w:ind w:start="720" w:end="0"/>
        <w:jc w:val="center"/>
        <w:outlineLvl w:val="0"/>
        <w:rPr>
          <w:rFonts w:ascii="Arial" w:hAnsi="Arial" w:cs="Arial"/>
          <w:b/>
          <w:sz w:val="20"/>
        </w:rPr>
      </w:pPr>
      <w:r>
        <w:rPr>
          <w:rFonts w:cs="Arial" w:ascii="Arial" w:hAnsi="Arial"/>
          <w:b/>
          <w:sz w:val="20"/>
        </w:rPr>
        <w:t> </w:t>
      </w:r>
    </w:p>
    <w:p>
      <w:pPr>
        <w:pStyle w:val="Normal"/>
        <w:numPr>
          <w:ilvl w:val="0"/>
          <w:numId w:val="0"/>
        </w:numPr>
        <w:ind w:start="720" w:end="0"/>
        <w:jc w:val="center"/>
        <w:outlineLvl w:val="0"/>
        <w:rPr>
          <w:rFonts w:ascii="Arial" w:hAnsi="Arial" w:cs="Arial"/>
          <w:b/>
          <w:sz w:val="20"/>
        </w:rPr>
      </w:pPr>
      <w:r>
        <w:rPr>
          <w:rFonts w:cs="Arial" w:ascii="Arial" w:hAnsi="Arial"/>
          <w:b/>
          <w:sz w:val="20"/>
        </w:rPr>
        <w:t>SCHEDULE</w:t>
      </w:r>
    </w:p>
    <w:p>
      <w:pPr>
        <w:pStyle w:val="Normal"/>
        <w:numPr>
          <w:ilvl w:val="0"/>
          <w:numId w:val="0"/>
        </w:numPr>
        <w:ind w:start="720" w:end="0"/>
        <w:jc w:val="center"/>
        <w:outlineLvl w:val="0"/>
        <w:rPr>
          <w:rFonts w:ascii="Arial" w:hAnsi="Arial" w:cs="Arial"/>
          <w:b/>
          <w:sz w:val="20"/>
        </w:rPr>
      </w:pPr>
      <w:r>
        <w:rPr>
          <w:rFonts w:cs="Arial" w:ascii="Arial" w:hAnsi="Arial"/>
          <w:b/>
          <w:sz w:val="20"/>
        </w:rPr>
        <w:t>Amendments to the GTC</w:t>
      </w:r>
    </w:p>
    <w:p>
      <w:pPr>
        <w:pStyle w:val="Normal"/>
        <w:numPr>
          <w:ilvl w:val="0"/>
          <w:numId w:val="9"/>
        </w:numPr>
        <w:tabs>
          <w:tab w:val="left" w:pos="720" w:leader="none"/>
        </w:tabs>
        <w:jc w:val="center"/>
        <w:outlineLvl w:val="0"/>
        <w:rPr>
          <w:rFonts w:ascii="Arial" w:hAnsi="Arial" w:cs="Arial"/>
          <w:b/>
          <w:sz w:val="20"/>
        </w:rPr>
      </w:pPr>
      <w:r>
        <w:rPr>
          <w:rFonts w:cs="Arial" w:ascii="Arial" w:hAnsi="Arial"/>
          <w:b/>
          <w:sz w:val="20"/>
        </w:rPr>
        <w:t>Governing law and jurisdiction</w:t>
      </w:r>
    </w:p>
    <w:p>
      <w:pPr>
        <w:pStyle w:val="BodyTextIndent"/>
        <w:rPr/>
      </w:pPr>
      <w:r>
        <w:rPr/>
        <w:t>Where Counterparty to a Transaction is incorporated or organised outside of the United States or Canada, the Transaction and this GTC shall be governed by, interpreted and construed in accordance with the laws of England and each party agrees to submit to the non-exclusive jurisdiction of the Courts of England and Wales and waives any claim that any proceedings brought in such courts have been brought in an inconvenient form.</w:t>
      </w:r>
    </w:p>
    <w:p>
      <w:pPr>
        <w:pStyle w:val="Normal"/>
        <w:numPr>
          <w:ilvl w:val="0"/>
          <w:numId w:val="0"/>
        </w:numPr>
        <w:ind w:start="720" w:end="0"/>
        <w:jc w:val="both"/>
        <w:outlineLvl w:val="0"/>
        <w:rPr>
          <w:rFonts w:ascii="Arial" w:hAnsi="Arial" w:cs="Arial"/>
          <w:b/>
          <w:sz w:val="20"/>
        </w:rPr>
      </w:pPr>
      <w:r>
        <w:rPr>
          <w:rFonts w:cs="Arial" w:ascii="Arial" w:hAnsi="Arial"/>
          <w:b/>
          <w:sz w:val="20"/>
        </w:rPr>
        <w:t xml:space="preserve">Where Counterparty to a Transaction is incorporated or organised in the United Stated or Canada, the Transaction and this GTC shall be governed by, interpreted and construed in accordance with the laws of the State of New York (excluding conflict of laws principles).  Any dispute relating to this Transaction shall be resolved by binding arbitration conducted in accordance with the Commercial Arbitration Rules of the American Arbitration Association ("AAA") and governed by the Federal Arbitration Act ("FAA"). Each party shall select one arbitrator within 30 days of a notice for arbitration and the two arbitrators shall select a third neutral arbitrator with at least eight years professional experience in over-the-counter derivative transactions. Only damages allowed pursuant to this Transaction may be awarded and the arbitrators shall have no authority to award treble, exemplary or punitive damages of any kind under any circumstances regardless of whether such damages may be available under the governing law for this Transaction and/or the FAA or AAA. The arbitration shall be conducted in New York City, New York and any related award shall be confidential. </w:t>
      </w:r>
    </w:p>
    <w:p>
      <w:pPr>
        <w:pStyle w:val="Normal"/>
        <w:numPr>
          <w:ilvl w:val="0"/>
          <w:numId w:val="1"/>
        </w:numPr>
        <w:tabs>
          <w:tab w:val="left" w:pos="720" w:leader="none"/>
        </w:tabs>
        <w:outlineLvl w:val="0"/>
        <w:rPr>
          <w:rFonts w:ascii="Arial" w:hAnsi="Arial" w:cs="Arial"/>
          <w:b/>
          <w:sz w:val="20"/>
        </w:rPr>
      </w:pPr>
      <w:r>
        <w:rPr>
          <w:rFonts w:cs="Arial" w:ascii="Arial" w:hAnsi="Arial"/>
          <w:b/>
          <w:sz w:val="20"/>
        </w:rPr>
        <w:t xml:space="preserve">Business Day </w:t>
      </w:r>
    </w:p>
    <w:p>
      <w:pPr>
        <w:pStyle w:val="Normal"/>
        <w:numPr>
          <w:ilvl w:val="0"/>
          <w:numId w:val="0"/>
        </w:numPr>
        <w:ind w:start="720" w:end="0"/>
        <w:jc w:val="both"/>
        <w:outlineLvl w:val="0"/>
        <w:rPr/>
      </w:pPr>
      <w:r>
        <w:rPr>
          <w:rFonts w:cs="Arial" w:ascii="Arial" w:hAnsi="Arial"/>
          <w:sz w:val="20"/>
        </w:rPr>
        <w:t>Where Counterparty to a Transaction is incorporated or organised outside of the United States or Canada, "</w:t>
      </w:r>
      <w:r>
        <w:rPr>
          <w:rFonts w:cs="Arial" w:ascii="Arial" w:hAnsi="Arial"/>
          <w:i/>
          <w:sz w:val="20"/>
        </w:rPr>
        <w:t>Business Day</w:t>
      </w:r>
      <w:r>
        <w:rPr>
          <w:rFonts w:cs="Arial" w:ascii="Arial" w:hAnsi="Arial"/>
          <w:sz w:val="20"/>
        </w:rPr>
        <w:t>" shall mean a day (other than a Saturday or a Sunday) on which commercial banks are open for domestic business in London. Where Counterparty to a Transaction is incorporated or organised in the United States or Canada, "</w:t>
      </w:r>
      <w:r>
        <w:rPr>
          <w:rFonts w:cs="Arial" w:ascii="Arial" w:hAnsi="Arial"/>
          <w:i/>
          <w:sz w:val="20"/>
        </w:rPr>
        <w:t>Business Day</w:t>
      </w:r>
      <w:r>
        <w:rPr>
          <w:rFonts w:cs="Arial" w:ascii="Arial" w:hAnsi="Arial"/>
          <w:sz w:val="20"/>
        </w:rPr>
        <w:t>" shall mean a day (other than a Saturday or a Sunday) on which commercial banks are open for domestic business in New York.</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Times</w:t>
      </w:r>
    </w:p>
    <w:p>
      <w:pPr>
        <w:pStyle w:val="Normal"/>
        <w:numPr>
          <w:ilvl w:val="0"/>
          <w:numId w:val="0"/>
        </w:numPr>
        <w:ind w:start="720" w:end="0"/>
        <w:jc w:val="both"/>
        <w:outlineLvl w:val="0"/>
        <w:rPr>
          <w:rFonts w:ascii="Arial" w:hAnsi="Arial" w:cs="Arial"/>
          <w:sz w:val="20"/>
        </w:rPr>
      </w:pPr>
      <w:r>
        <w:rPr>
          <w:rFonts w:cs="Arial" w:ascii="Arial" w:hAnsi="Arial"/>
          <w:sz w:val="20"/>
        </w:rPr>
        <w:t xml:space="preserve">Where Counterparty to a Transaction is incorporated or organised outside of the United States or Canada, references to times shall be construed as references to London time. Where Counterparty to a Transaction is incorporated or organised in the United States or Canada, references to time shall be construed as references to Central Standard Time in the United States. </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Exclusion of third party rights</w:t>
      </w:r>
    </w:p>
    <w:p>
      <w:pPr>
        <w:pStyle w:val="Normal"/>
        <w:numPr>
          <w:ilvl w:val="0"/>
          <w:numId w:val="0"/>
        </w:numPr>
        <w:ind w:start="720" w:end="0"/>
        <w:jc w:val="both"/>
        <w:outlineLvl w:val="0"/>
        <w:rPr>
          <w:rFonts w:ascii="Arial" w:hAnsi="Arial" w:cs="Arial"/>
          <w:sz w:val="20"/>
        </w:rPr>
      </w:pPr>
      <w:r>
        <w:rPr>
          <w:rFonts w:cs="Arial" w:ascii="Arial" w:hAnsi="Arial"/>
          <w:sz w:val="20"/>
        </w:rPr>
        <w:tab/>
        <w:t>Where pursuant to Paragraph 1 of this Schedule this GTC is to be governed by the laws of England, the parties do not intend that any term of this GTC should be enforceable, by virtue of the Contracts (Rights of Third Parties) Act 1999, by any person who is not a party to this GTC.</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Event of default</w:t>
      </w:r>
    </w:p>
    <w:p>
      <w:pPr>
        <w:pStyle w:val="Normal"/>
        <w:numPr>
          <w:ilvl w:val="0"/>
          <w:numId w:val="0"/>
        </w:numPr>
        <w:ind w:start="720" w:end="0"/>
        <w:jc w:val="both"/>
        <w:outlineLvl w:val="0"/>
        <w:rPr>
          <w:rFonts w:ascii="Arial" w:hAnsi="Arial" w:cs="Arial"/>
          <w:sz w:val="20"/>
        </w:rPr>
      </w:pPr>
      <w:r>
        <w:rPr>
          <w:rFonts w:cs="Arial" w:ascii="Arial" w:hAnsi="Arial"/>
          <w:sz w:val="20"/>
        </w:rPr>
        <w:t>Where Counterparty to a Transaction is incorporated or organised in Germany:</w:t>
      </w:r>
    </w:p>
    <w:p>
      <w:pPr>
        <w:pStyle w:val="Normal"/>
        <w:numPr>
          <w:ilvl w:val="4"/>
          <w:numId w:val="6"/>
        </w:numPr>
        <w:tabs>
          <w:tab w:val="clear" w:pos="720"/>
          <w:tab w:val="left" w:pos="3600" w:leader="none"/>
        </w:tabs>
        <w:ind w:hanging="360" w:start="3600" w:end="0"/>
        <w:jc w:val="both"/>
        <w:outlineLvl w:val="4"/>
        <w:rPr>
          <w:rFonts w:ascii="Arial" w:hAnsi="Arial" w:cs="Arial"/>
          <w:sz w:val="20"/>
        </w:rPr>
      </w:pPr>
      <w:r>
        <w:rPr>
          <w:rFonts w:cs="Arial" w:ascii="Arial" w:hAnsi="Arial"/>
          <w:sz w:val="20"/>
        </w:rPr>
        <w:t>the words "save that, upon the occurrence of an Event of Default specified in Section 5(d), the date of occurrence of the Event of Default shall automatically be designated as an Early Termination Date" shall be inserted at the end of the first sentence of the first paragraph of Section 6; and</w:t>
      </w:r>
    </w:p>
    <w:p>
      <w:pPr>
        <w:pStyle w:val="Normal"/>
        <w:numPr>
          <w:ilvl w:val="4"/>
          <w:numId w:val="6"/>
        </w:numPr>
        <w:tabs>
          <w:tab w:val="clear" w:pos="720"/>
          <w:tab w:val="left" w:pos="3600" w:leader="none"/>
        </w:tabs>
        <w:spacing w:before="100" w:after="100"/>
        <w:ind w:hanging="360" w:start="3600" w:end="0"/>
        <w:jc w:val="both"/>
        <w:outlineLvl w:val="4"/>
        <w:rPr>
          <w:rFonts w:ascii="Arial" w:hAnsi="Arial" w:cs="Arial"/>
          <w:sz w:val="20"/>
        </w:rPr>
      </w:pPr>
      <w:r>
        <w:rPr>
          <w:rFonts w:cs="Arial" w:ascii="Arial" w:hAnsi="Arial"/>
          <w:sz w:val="20"/>
        </w:rPr>
        <w:t>the third sentence of Section 7 shall be deleted.</w:t>
      </w:r>
    </w:p>
    <w:sectPr>
      <w:type w:val="nextPage"/>
      <w:pgSz w:w="11906" w:h="16838"/>
      <w:pgMar w:left="1273" w:right="1273"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720" w:hanging="360"/>
      </w:pPr>
    </w:lvl>
    <w:lvl w:ilvl="1">
      <w:start w:val="1"/>
      <w:numFmt w:val="decimal"/>
      <w:lvlText w:val="%2."/>
      <w:lvlJc w:val="start"/>
      <w:pPr>
        <w:tabs>
          <w:tab w:val="num" w:pos="0"/>
        </w:tabs>
        <w:ind w:start="1440" w:hanging="360"/>
      </w:pPr>
    </w:lvl>
    <w:lvl w:ilvl="2">
      <w:start w:val="1"/>
      <w:numFmt w:val="decimal"/>
      <w:lvlText w:val="%3."/>
      <w:lvlJc w:val="start"/>
      <w:pPr>
        <w:tabs>
          <w:tab w:val="num" w:pos="0"/>
        </w:tabs>
        <w:ind w:start="2160" w:hanging="360"/>
      </w:pPr>
    </w:lvl>
    <w:lvl w:ilvl="3">
      <w:start w:val="1"/>
      <w:numFmt w:val="decimal"/>
      <w:lvlText w:val="%4."/>
      <w:lvlJc w:val="start"/>
      <w:pPr>
        <w:tabs>
          <w:tab w:val="num" w:pos="0"/>
        </w:tabs>
        <w:ind w:start="2880" w:hanging="360"/>
      </w:pPr>
    </w:lvl>
    <w:lvl w:ilvl="4">
      <w:start w:val="1"/>
      <w:numFmt w:val="decimal"/>
      <w:lvlText w:val="%5."/>
      <w:lvlJc w:val="start"/>
      <w:pPr>
        <w:tabs>
          <w:tab w:val="num" w:pos="0"/>
        </w:tabs>
        <w:ind w:start="3600" w:hanging="360"/>
      </w:pPr>
    </w:lvl>
    <w:lvl w:ilvl="5">
      <w:start w:val="1"/>
      <w:numFmt w:val="decimal"/>
      <w:lvlText w:val="%6."/>
      <w:lvlJc w:val="start"/>
      <w:pPr>
        <w:tabs>
          <w:tab w:val="num" w:pos="0"/>
        </w:tabs>
        <w:ind w:start="4320" w:hanging="360"/>
      </w:pPr>
    </w:lvl>
    <w:lvl w:ilvl="6">
      <w:start w:val="1"/>
      <w:numFmt w:val="decimal"/>
      <w:lvlText w:val="%7."/>
      <w:lvlJc w:val="start"/>
      <w:pPr>
        <w:tabs>
          <w:tab w:val="num" w:pos="0"/>
        </w:tabs>
        <w:ind w:start="5040" w:hanging="360"/>
      </w:pPr>
    </w:lvl>
    <w:lvl w:ilvl="7">
      <w:start w:val="1"/>
      <w:numFmt w:val="decimal"/>
      <w:lvlText w:val="%8."/>
      <w:lvlJc w:val="start"/>
      <w:pPr>
        <w:tabs>
          <w:tab w:val="num" w:pos="0"/>
        </w:tabs>
        <w:ind w:start="5760" w:hanging="360"/>
      </w:pPr>
    </w:lvl>
    <w:lvl w:ilvl="8">
      <w:start w:val="0"/>
      <w:numFmt w:val="decimal"/>
      <w:lvlText w:val=""/>
      <w:lvlJc w:val="start"/>
      <w:pPr>
        <w:tabs>
          <w:tab w:val="num" w:pos="0"/>
        </w:tabs>
        <w:ind w:start="0" w:hanging="0"/>
      </w:pPr>
    </w:lvl>
  </w:abstractNum>
  <w:abstractNum w:abstractNumId="2">
    <w:lvl w:ilvl="0">
      <w:start w:val="1"/>
      <w:numFmt w:val="decimal"/>
      <w:lvlText w:val="%1."/>
      <w:lvlJc w:val="start"/>
      <w:pPr>
        <w:tabs>
          <w:tab w:val="num" w:pos="0"/>
        </w:tabs>
        <w:ind w:start="720" w:hanging="360"/>
      </w:pPr>
    </w:lvl>
    <w:lvl w:ilvl="1">
      <w:start w:val="1"/>
      <w:numFmt w:val="decimal"/>
      <w:lvlText w:val="%2."/>
      <w:lvlJc w:val="start"/>
      <w:pPr>
        <w:tabs>
          <w:tab w:val="num" w:pos="0"/>
        </w:tabs>
        <w:ind w:start="1440" w:hanging="360"/>
      </w:pPr>
    </w:lvl>
    <w:lvl w:ilvl="2">
      <w:start w:val="1"/>
      <w:numFmt w:val="upperLetter"/>
      <w:lvlText w:val="%3."/>
      <w:lvlJc w:val="start"/>
      <w:pPr>
        <w:tabs>
          <w:tab w:val="num" w:pos="0"/>
        </w:tabs>
        <w:ind w:start="0" w:hanging="0"/>
      </w:pPr>
    </w:lvl>
    <w:lvl w:ilvl="3">
      <w:start w:val="1"/>
      <w:numFmt w:val="decimal"/>
      <w:lvlText w:val="%4."/>
      <w:lvlJc w:val="start"/>
      <w:pPr>
        <w:tabs>
          <w:tab w:val="num" w:pos="0"/>
        </w:tabs>
        <w:ind w:start="2880" w:hanging="360"/>
      </w:pPr>
    </w:lvl>
    <w:lvl w:ilvl="4">
      <w:start w:val="1"/>
      <w:numFmt w:val="decimal"/>
      <w:lvlText w:val="%5."/>
      <w:lvlJc w:val="start"/>
      <w:pPr>
        <w:tabs>
          <w:tab w:val="num" w:pos="0"/>
        </w:tabs>
        <w:ind w:start="3600" w:hanging="360"/>
      </w:pPr>
    </w:lvl>
    <w:lvl w:ilvl="5">
      <w:start w:val="1"/>
      <w:numFmt w:val="decimal"/>
      <w:lvlText w:val="%6."/>
      <w:lvlJc w:val="start"/>
      <w:pPr>
        <w:tabs>
          <w:tab w:val="num" w:pos="0"/>
        </w:tabs>
        <w:ind w:start="4320" w:hanging="360"/>
      </w:pPr>
    </w:lvl>
    <w:lvl w:ilvl="6">
      <w:start w:val="1"/>
      <w:numFmt w:val="decimal"/>
      <w:lvlText w:val="%7."/>
      <w:lvlJc w:val="start"/>
      <w:pPr>
        <w:tabs>
          <w:tab w:val="num" w:pos="0"/>
        </w:tabs>
        <w:ind w:start="5040" w:hanging="360"/>
      </w:pPr>
    </w:lvl>
    <w:lvl w:ilvl="7">
      <w:start w:val="1"/>
      <w:numFmt w:val="decimal"/>
      <w:lvlText w:val="%8."/>
      <w:lvlJc w:val="start"/>
      <w:pPr>
        <w:tabs>
          <w:tab w:val="num" w:pos="0"/>
        </w:tabs>
        <w:ind w:start="5760" w:hanging="360"/>
      </w:pPr>
    </w:lvl>
    <w:lvl w:ilvl="8">
      <w:start w:val="0"/>
      <w:numFmt w:val="decimal"/>
      <w:lvlText w:val=""/>
      <w:lvlJc w:val="start"/>
      <w:pPr>
        <w:tabs>
          <w:tab w:val="num" w:pos="0"/>
        </w:tabs>
        <w:ind w:start="0" w:hanging="0"/>
      </w:pPr>
    </w:lvl>
  </w:abstractNum>
  <w:abstractNum w:abstractNumId="3">
    <w:lvl w:ilvl="0">
      <w:start w:val="1"/>
      <w:numFmt w:val="decimal"/>
      <w:lvlText w:val="%1."/>
      <w:lvlJc w:val="start"/>
      <w:pPr>
        <w:tabs>
          <w:tab w:val="num" w:pos="0"/>
        </w:tabs>
        <w:ind w:start="720" w:hanging="360"/>
      </w:pPr>
    </w:lvl>
    <w:lvl w:ilvl="1">
      <w:start w:val="1"/>
      <w:numFmt w:val="decimal"/>
      <w:lvlText w:val="%2."/>
      <w:lvlJc w:val="start"/>
      <w:pPr>
        <w:tabs>
          <w:tab w:val="num" w:pos="0"/>
        </w:tabs>
        <w:ind w:start="1440" w:hanging="360"/>
      </w:pPr>
    </w:lvl>
    <w:lvl w:ilvl="2">
      <w:start w:val="1"/>
      <w:numFmt w:val="decimal"/>
      <w:lvlText w:val="%3."/>
      <w:lvlJc w:val="start"/>
      <w:pPr>
        <w:tabs>
          <w:tab w:val="num" w:pos="0"/>
        </w:tabs>
        <w:ind w:start="2160" w:hanging="360"/>
      </w:pPr>
    </w:lvl>
    <w:lvl w:ilvl="3">
      <w:start w:val="1"/>
      <w:numFmt w:val="lowerRoman"/>
      <w:lvlText w:val="%4."/>
      <w:lvlJc w:val="start"/>
      <w:pPr>
        <w:tabs>
          <w:tab w:val="num" w:pos="0"/>
        </w:tabs>
        <w:ind w:start="0" w:hanging="0"/>
      </w:pPr>
    </w:lvl>
    <w:lvl w:ilvl="4">
      <w:start w:val="1"/>
      <w:numFmt w:val="decimal"/>
      <w:lvlText w:val="%5."/>
      <w:lvlJc w:val="start"/>
      <w:pPr>
        <w:tabs>
          <w:tab w:val="num" w:pos="0"/>
        </w:tabs>
        <w:ind w:start="3600" w:hanging="360"/>
      </w:pPr>
    </w:lvl>
    <w:lvl w:ilvl="5">
      <w:start w:val="1"/>
      <w:numFmt w:val="decimal"/>
      <w:lvlText w:val="%6."/>
      <w:lvlJc w:val="start"/>
      <w:pPr>
        <w:tabs>
          <w:tab w:val="num" w:pos="0"/>
        </w:tabs>
        <w:ind w:start="4320" w:hanging="360"/>
      </w:pPr>
    </w:lvl>
    <w:lvl w:ilvl="6">
      <w:start w:val="1"/>
      <w:numFmt w:val="decimal"/>
      <w:lvlText w:val="%7."/>
      <w:lvlJc w:val="start"/>
      <w:pPr>
        <w:tabs>
          <w:tab w:val="num" w:pos="0"/>
        </w:tabs>
        <w:ind w:start="5040" w:hanging="360"/>
      </w:pPr>
    </w:lvl>
    <w:lvl w:ilvl="7">
      <w:start w:val="1"/>
      <w:numFmt w:val="decimal"/>
      <w:lvlText w:val="%8."/>
      <w:lvlJc w:val="start"/>
      <w:pPr>
        <w:tabs>
          <w:tab w:val="num" w:pos="0"/>
        </w:tabs>
        <w:ind w:start="5760" w:hanging="360"/>
      </w:pPr>
    </w:lvl>
    <w:lvl w:ilvl="8">
      <w:start w:val="0"/>
      <w:numFmt w:val="decimal"/>
      <w:lvlText w:val=""/>
      <w:lvlJc w:val="start"/>
      <w:pPr>
        <w:tabs>
          <w:tab w:val="num" w:pos="0"/>
        </w:tabs>
        <w:ind w:start="0" w:hanging="0"/>
      </w:pPr>
    </w:lvl>
  </w:abstractNum>
  <w:abstractNum w:abstractNumId="4">
    <w:lvl w:ilvl="0">
      <w:start w:val="1"/>
      <w:numFmt w:val="decimal"/>
      <w:lvlText w:val="%1."/>
      <w:lvlJc w:val="start"/>
      <w:pPr>
        <w:tabs>
          <w:tab w:val="num" w:pos="0"/>
        </w:tabs>
        <w:ind w:start="720" w:hanging="360"/>
      </w:pPr>
    </w:lvl>
    <w:lvl w:ilvl="1">
      <w:start w:val="1"/>
      <w:numFmt w:val="decimal"/>
      <w:lvlText w:val="%2."/>
      <w:lvlJc w:val="start"/>
      <w:pPr>
        <w:tabs>
          <w:tab w:val="num" w:pos="0"/>
        </w:tabs>
        <w:ind w:start="1440" w:hanging="360"/>
      </w:pPr>
    </w:lvl>
    <w:lvl w:ilvl="2">
      <w:start w:val="1"/>
      <w:numFmt w:val="decimal"/>
      <w:lvlText w:val="%3."/>
      <w:lvlJc w:val="start"/>
      <w:pPr>
        <w:tabs>
          <w:tab w:val="num" w:pos="0"/>
        </w:tabs>
        <w:ind w:start="2160" w:hanging="360"/>
      </w:pPr>
    </w:lvl>
    <w:lvl w:ilvl="3">
      <w:start w:val="1"/>
      <w:numFmt w:val="lowerRoman"/>
      <w:lvlText w:val="%4."/>
      <w:lvlJc w:val="start"/>
      <w:pPr>
        <w:tabs>
          <w:tab w:val="num" w:pos="0"/>
        </w:tabs>
        <w:ind w:start="0" w:hanging="0"/>
      </w:pPr>
    </w:lvl>
    <w:lvl w:ilvl="4">
      <w:start w:val="1"/>
      <w:numFmt w:val="decimal"/>
      <w:lvlText w:val="%5."/>
      <w:lvlJc w:val="start"/>
      <w:pPr>
        <w:tabs>
          <w:tab w:val="num" w:pos="0"/>
        </w:tabs>
        <w:ind w:start="3600" w:hanging="360"/>
      </w:pPr>
    </w:lvl>
    <w:lvl w:ilvl="5">
      <w:start w:val="1"/>
      <w:numFmt w:val="decimal"/>
      <w:lvlText w:val="%6."/>
      <w:lvlJc w:val="start"/>
      <w:pPr>
        <w:tabs>
          <w:tab w:val="num" w:pos="0"/>
        </w:tabs>
        <w:ind w:start="4320" w:hanging="360"/>
      </w:pPr>
    </w:lvl>
    <w:lvl w:ilvl="6">
      <w:start w:val="1"/>
      <w:numFmt w:val="decimal"/>
      <w:lvlText w:val="%7."/>
      <w:lvlJc w:val="start"/>
      <w:pPr>
        <w:tabs>
          <w:tab w:val="num" w:pos="0"/>
        </w:tabs>
        <w:ind w:start="5040" w:hanging="360"/>
      </w:pPr>
    </w:lvl>
    <w:lvl w:ilvl="7">
      <w:start w:val="1"/>
      <w:numFmt w:val="decimal"/>
      <w:lvlText w:val="%8."/>
      <w:lvlJc w:val="start"/>
      <w:pPr>
        <w:tabs>
          <w:tab w:val="num" w:pos="0"/>
        </w:tabs>
        <w:ind w:start="5760" w:hanging="360"/>
      </w:pPr>
    </w:lvl>
    <w:lvl w:ilvl="8">
      <w:start w:val="0"/>
      <w:numFmt w:val="decimal"/>
      <w:lvlText w:val=""/>
      <w:lvlJc w:val="start"/>
      <w:pPr>
        <w:tabs>
          <w:tab w:val="num" w:pos="0"/>
        </w:tabs>
        <w:ind w:start="0" w:hanging="0"/>
      </w:pPr>
    </w:lvl>
  </w:abstractNum>
  <w:abstractNum w:abstractNumId="5">
    <w:lvl w:ilvl="0">
      <w:start w:val="1"/>
      <w:numFmt w:val="decimal"/>
      <w:lvlText w:val="%1."/>
      <w:lvlJc w:val="start"/>
      <w:pPr>
        <w:tabs>
          <w:tab w:val="num" w:pos="0"/>
        </w:tabs>
        <w:ind w:start="720" w:hanging="360"/>
      </w:pPr>
    </w:lvl>
    <w:lvl w:ilvl="1">
      <w:start w:val="1"/>
      <w:numFmt w:val="decimal"/>
      <w:lvlText w:val="%2."/>
      <w:lvlJc w:val="start"/>
      <w:pPr>
        <w:tabs>
          <w:tab w:val="num" w:pos="0"/>
        </w:tabs>
        <w:ind w:start="1440" w:hanging="360"/>
      </w:pPr>
    </w:lvl>
    <w:lvl w:ilvl="2">
      <w:start w:val="1"/>
      <w:numFmt w:val="decimal"/>
      <w:lvlText w:val="%3."/>
      <w:lvlJc w:val="start"/>
      <w:pPr>
        <w:tabs>
          <w:tab w:val="num" w:pos="0"/>
        </w:tabs>
        <w:ind w:start="2160" w:hanging="360"/>
      </w:pPr>
    </w:lvl>
    <w:lvl w:ilvl="3">
      <w:start w:val="1"/>
      <w:numFmt w:val="lowerRoman"/>
      <w:lvlText w:val="%4."/>
      <w:lvlJc w:val="start"/>
      <w:pPr>
        <w:tabs>
          <w:tab w:val="num" w:pos="0"/>
        </w:tabs>
        <w:ind w:start="0" w:hanging="0"/>
      </w:pPr>
    </w:lvl>
    <w:lvl w:ilvl="4">
      <w:start w:val="1"/>
      <w:numFmt w:val="decimal"/>
      <w:lvlText w:val="%5."/>
      <w:lvlJc w:val="start"/>
      <w:pPr>
        <w:tabs>
          <w:tab w:val="num" w:pos="0"/>
        </w:tabs>
        <w:ind w:start="3600" w:hanging="360"/>
      </w:pPr>
    </w:lvl>
    <w:lvl w:ilvl="5">
      <w:start w:val="1"/>
      <w:numFmt w:val="decimal"/>
      <w:lvlText w:val="%6."/>
      <w:lvlJc w:val="start"/>
      <w:pPr>
        <w:tabs>
          <w:tab w:val="num" w:pos="0"/>
        </w:tabs>
        <w:ind w:start="4320" w:hanging="360"/>
      </w:pPr>
    </w:lvl>
    <w:lvl w:ilvl="6">
      <w:start w:val="1"/>
      <w:numFmt w:val="decimal"/>
      <w:lvlText w:val="%7."/>
      <w:lvlJc w:val="start"/>
      <w:pPr>
        <w:tabs>
          <w:tab w:val="num" w:pos="0"/>
        </w:tabs>
        <w:ind w:start="5040" w:hanging="360"/>
      </w:pPr>
    </w:lvl>
    <w:lvl w:ilvl="7">
      <w:start w:val="1"/>
      <w:numFmt w:val="decimal"/>
      <w:lvlText w:val="%8."/>
      <w:lvlJc w:val="start"/>
      <w:pPr>
        <w:tabs>
          <w:tab w:val="num" w:pos="0"/>
        </w:tabs>
        <w:ind w:start="5760" w:hanging="360"/>
      </w:pPr>
    </w:lvl>
    <w:lvl w:ilvl="8">
      <w:start w:val="0"/>
      <w:numFmt w:val="decimal"/>
      <w:lvlText w:val=""/>
      <w:lvlJc w:val="start"/>
      <w:pPr>
        <w:tabs>
          <w:tab w:val="num" w:pos="0"/>
        </w:tabs>
        <w:ind w:start="0" w:hanging="0"/>
      </w:pPr>
    </w:lvl>
  </w:abstractNum>
  <w:abstractNum w:abstractNumId="6">
    <w:lvl w:ilvl="0">
      <w:start w:val="1"/>
      <w:numFmt w:val="decimal"/>
      <w:lvlText w:val="%1."/>
      <w:lvlJc w:val="start"/>
      <w:pPr>
        <w:tabs>
          <w:tab w:val="num" w:pos="0"/>
        </w:tabs>
        <w:ind w:start="720" w:hanging="360"/>
      </w:pPr>
    </w:lvl>
    <w:lvl w:ilvl="1">
      <w:start w:val="1"/>
      <w:numFmt w:val="decimal"/>
      <w:lvlText w:val="%2."/>
      <w:lvlJc w:val="start"/>
      <w:pPr>
        <w:tabs>
          <w:tab w:val="num" w:pos="0"/>
        </w:tabs>
        <w:ind w:start="1440" w:hanging="360"/>
      </w:pPr>
    </w:lvl>
    <w:lvl w:ilvl="2">
      <w:start w:val="1"/>
      <w:numFmt w:val="decimal"/>
      <w:lvlText w:val="%3."/>
      <w:lvlJc w:val="start"/>
      <w:pPr>
        <w:tabs>
          <w:tab w:val="num" w:pos="0"/>
        </w:tabs>
        <w:ind w:start="2160" w:hanging="360"/>
      </w:pPr>
    </w:lvl>
    <w:lvl w:ilvl="3">
      <w:start w:val="1"/>
      <w:numFmt w:val="decimal"/>
      <w:lvlText w:val="%4."/>
      <w:lvlJc w:val="start"/>
      <w:pPr>
        <w:tabs>
          <w:tab w:val="num" w:pos="0"/>
        </w:tabs>
        <w:ind w:start="2880" w:hanging="360"/>
      </w:pPr>
    </w:lvl>
    <w:lvl w:ilvl="4">
      <w:start w:val="1"/>
      <w:numFmt w:val="lowerLetter"/>
      <w:lvlText w:val="%5."/>
      <w:lvlJc w:val="start"/>
      <w:pPr>
        <w:tabs>
          <w:tab w:val="num" w:pos="0"/>
        </w:tabs>
        <w:ind w:start="0" w:hanging="0"/>
      </w:pPr>
    </w:lvl>
    <w:lvl w:ilvl="5">
      <w:start w:val="1"/>
      <w:numFmt w:val="decimal"/>
      <w:lvlText w:val="%6."/>
      <w:lvlJc w:val="start"/>
      <w:pPr>
        <w:tabs>
          <w:tab w:val="num" w:pos="0"/>
        </w:tabs>
        <w:ind w:start="4320" w:hanging="360"/>
      </w:pPr>
    </w:lvl>
    <w:lvl w:ilvl="6">
      <w:start w:val="1"/>
      <w:numFmt w:val="decimal"/>
      <w:lvlText w:val="%7."/>
      <w:lvlJc w:val="start"/>
      <w:pPr>
        <w:tabs>
          <w:tab w:val="num" w:pos="0"/>
        </w:tabs>
        <w:ind w:start="5040" w:hanging="360"/>
      </w:pPr>
    </w:lvl>
    <w:lvl w:ilvl="7">
      <w:start w:val="1"/>
      <w:numFmt w:val="decimal"/>
      <w:lvlText w:val="%8."/>
      <w:lvlJc w:val="start"/>
      <w:pPr>
        <w:tabs>
          <w:tab w:val="num" w:pos="0"/>
        </w:tabs>
        <w:ind w:start="5760" w:hanging="360"/>
      </w:pPr>
    </w:lvl>
    <w:lvl w:ilvl="8">
      <w:start w:val="0"/>
      <w:numFmt w:val="decimal"/>
      <w:lvlText w:val=""/>
      <w:lvlJc w:val="start"/>
      <w:pPr>
        <w:tabs>
          <w:tab w:val="num" w:pos="0"/>
        </w:tabs>
        <w:ind w:start="0" w:hanging="0"/>
      </w:pPr>
    </w:lvl>
  </w:abstractNum>
  <w:abstractNum w:abstractNumId="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1"/>
    <w:lvlOverride w:ilvl="0">
      <w:startOverride w:val="1"/>
    </w:lvlOverride>
  </w:num>
  <w:num w:numId="9">
    <w:abstractNumId w:val="1"/>
    <w:lvlOverride w:ilvl="0">
      <w:startOverride w:val="1"/>
    </w:lvlOverride>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AU" w:eastAsia="en-US" w:bidi="hi-IN"/>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AU" w:eastAsia="en-US" w:bidi="hi-I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AU" w:eastAsia="en-US" w:bidi="hi-IN"/>
    </w:rPr>
  </w:style>
  <w:style w:type="paragraph" w:styleId="BodyTextIndent">
    <w:name w:val="Body Text Indent"/>
    <w:basedOn w:val="Normal"/>
    <w:pPr>
      <w:ind w:hanging="0" w:start="720" w:end="0"/>
      <w:jc w:val="both"/>
      <w:outlineLvl w:val="0"/>
    </w:pPr>
    <w:rPr>
      <w:rFonts w:ascii="Arial" w:hAnsi="Arial" w:cs="Arial"/>
      <w:b/>
      <w:sz w:val="20"/>
    </w:rPr>
  </w:style>
  <w:style w:type="paragraph" w:styleId="BodyTextIndent2">
    <w:name w:val="Body Text Indent 2"/>
    <w:basedOn w:val="Normal"/>
    <w:qFormat/>
    <w:pPr>
      <w:numPr>
        <w:ilvl w:val="0"/>
        <w:numId w:val="0"/>
      </w:numPr>
      <w:ind w:hanging="0" w:start="2160" w:end="0"/>
      <w:jc w:val="both"/>
      <w:outlineLvl w:val="2"/>
    </w:pPr>
    <w:rPr>
      <w:rFonts w:ascii="Arial" w:hAnsi="Arial" w:cs="Arial"/>
      <w:sz w:val="20"/>
    </w:rPr>
  </w:style>
  <w:style w:type="paragraph" w:styleId="BodyTextIndent3">
    <w:name w:val="Body Text Indent 3"/>
    <w:basedOn w:val="Normal"/>
    <w:qFormat/>
    <w:pPr>
      <w:ind w:hanging="0" w:start="720" w:end="0"/>
      <w:jc w:val="both"/>
      <w:outlineLvl w:val="0"/>
    </w:pPr>
    <w:rPr>
      <w:rFonts w:ascii="Arial" w:hAnsi="Arial" w:cs="Arial"/>
      <w:sz w:val="20"/>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2000-02-16T15:52:00Z</dcterms:created>
  <dc:creator>NEdmonds</dc:creator>
  <dc:description/>
  <dc:language>en-CA</dc:language>
  <cp:lastModifiedBy>NEdmonds</cp:lastModifiedBy>
  <dcterms:modified xsi:type="dcterms:W3CDTF">2000-02-17T17:09:00Z</dcterms:modified>
  <cp:revision>5</cp:revision>
  <dc:subject/>
  <dc:title>Document Layouts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y fmtid="{D5CDD505-2E9C-101B-9397-08002B2CF9AE}" pid="3" name="udp_Author">
    <vt:lpwstr>GPXB</vt:lpwstr>
  </property>
  <property fmtid="{D5CDD505-2E9C-101B-9397-08002B2CF9AE}" pid="4" name="udp_BorderStyle">
    <vt:lpwstr>None</vt:lpwstr>
  </property>
  <property fmtid="{D5CDD505-2E9C-101B-9397-08002B2CF9AE}" pid="5" name="udp_CMNumber">
    <vt:lpwstr>214686/11161</vt:lpwstr>
  </property>
  <property fmtid="{D5CDD505-2E9C-101B-9397-08002B2CF9AE}" pid="6" name="udp_CatID">
    <vt:lpwstr> </vt:lpwstr>
  </property>
  <property fmtid="{D5CDD505-2E9C-101B-9397-08002B2CF9AE}" pid="7" name="udp_Class">
    <vt:lpwstr>SE</vt:lpwstr>
  </property>
  <property fmtid="{D5CDD505-2E9C-101B-9397-08002B2CF9AE}" pid="8" name="udp_Client">
    <vt:lpwstr>ENRON</vt:lpwstr>
  </property>
  <property fmtid="{D5CDD505-2E9C-101B-9397-08002B2CF9AE}" pid="9" name="udp_Department">
    <vt:lpwstr> </vt:lpwstr>
  </property>
  <property fmtid="{D5CDD505-2E9C-101B-9397-08002B2CF9AE}" pid="10" name="udp_DocID">
    <vt:lpwstr>CA003672716</vt:lpwstr>
  </property>
  <property fmtid="{D5CDD505-2E9C-101B-9397-08002B2CF9AE}" pid="11" name="udp_IsAtlasDoc">
    <vt:lpwstr>1</vt:lpwstr>
  </property>
  <property fmtid="{D5CDD505-2E9C-101B-9397-08002B2CF9AE}" pid="12" name="udp_Justified">
    <vt:lpwstr>0</vt:lpwstr>
  </property>
  <property fmtid="{D5CDD505-2E9C-101B-9397-08002B2CF9AE}" pid="13" name="udp_Layout">
    <vt:lpwstr>Slaughter and May 1</vt:lpwstr>
  </property>
  <property fmtid="{D5CDD505-2E9C-101B-9397-08002B2CF9AE}" pid="14" name="udp_Matter">
    <vt:lpwstr>On-line Trading</vt:lpwstr>
  </property>
  <property fmtid="{D5CDD505-2E9C-101B-9397-08002B2CF9AE}" pid="15" name="udp_Renumber">
    <vt:lpwstr>0</vt:lpwstr>
  </property>
  <property fmtid="{D5CDD505-2E9C-101B-9397-08002B2CF9AE}" pid="16" name="udp_TemplateVersion">
    <vt:lpwstr>1.02.0001</vt:lpwstr>
  </property>
  <property fmtid="{D5CDD505-2E9C-101B-9397-08002B2CF9AE}" pid="17" name="udp_Typist">
    <vt:lpwstr>Dellow, Marilyn</vt:lpwstr>
  </property>
  <property fmtid="{D5CDD505-2E9C-101B-9397-08002B2CF9AE}" pid="18" name="udp_Version">
    <vt:lpwstr>21</vt:lpwstr>
  </property>
</Properties>
</file>