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xml:space="preserve">. </w:t>
      </w:r>
    </w:p>
    <w:p>
      <w:pPr>
        <w:pStyle w:val="Normal"/>
        <w:jc w:val="both"/>
        <w:rPr>
          <w:rFonts w:ascii="Arial" w:hAnsi="Arial" w:cs="Arial"/>
          <w:sz w:val="20"/>
        </w:rPr>
      </w:pPr>
      <w:r>
        <w:rPr>
          <w:rFonts w:cs="Arial" w:ascii="Arial" w:hAnsi="Arial"/>
          <w:sz w:val="20"/>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of Enron and Counterparty represents and warrants to the other that (a) Authority/Taxation (i) the execution, delivery and performance of each Transaction have been duly authorised by all necessary corporate or other organization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 xml:space="preserve">. </w:t>
      </w:r>
    </w:p>
    <w:p>
      <w:pPr>
        <w:pStyle w:val="Normal"/>
        <w:jc w:val="both"/>
        <w:rPr>
          <w:rFonts w:ascii="Arial" w:hAnsi="Arial" w:cs="Arial"/>
          <w:sz w:val="20"/>
        </w:rPr>
      </w:pPr>
      <w:r>
        <w:rPr>
          <w:rFonts w:cs="Arial" w:ascii="Arial" w:hAnsi="Arial"/>
          <w:sz w:val="20"/>
        </w:rPr>
        <w:t>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Collateral Arrangements</w:t>
      </w:r>
      <w:r>
        <w:rPr>
          <w:rFonts w:cs="Arial" w:ascii="Arial" w:hAnsi="Arial"/>
          <w:sz w:val="20"/>
        </w:rPr>
        <w:t xml:space="preserve">. </w:t>
      </w:r>
    </w:p>
    <w:p>
      <w:pPr>
        <w:pStyle w:val="Normal"/>
        <w:jc w:val="both"/>
        <w:rPr>
          <w:rFonts w:ascii="Arial" w:hAnsi="Arial" w:cs="Arial"/>
          <w:sz w:val="20"/>
        </w:rPr>
      </w:pP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guarantee shall constitute a default hereunder giving rise to the immediate right of termination by Enron under this GTC.</w:t>
      </w:r>
    </w:p>
    <w:p>
      <w:pPr>
        <w:pStyle w:val="Normal"/>
        <w:jc w:val="both"/>
        <w:rPr/>
      </w:pPr>
      <w:r>
        <w:rPr>
          <w:rFonts w:cs="Arial" w:ascii="Arial" w:hAnsi="Arial"/>
          <w:sz w:val="20"/>
        </w:rPr>
        <w:t>5.</w:t>
        <w:tab/>
      </w:r>
      <w:r>
        <w:rPr>
          <w:rFonts w:cs="Arial" w:ascii="Arial" w:hAnsi="Arial"/>
          <w:b/>
          <w:sz w:val="20"/>
          <w:u w:val="single"/>
        </w:rPr>
        <w:t>Events of Default</w:t>
      </w:r>
      <w:r>
        <w:rPr>
          <w:rFonts w:cs="Arial" w:ascii="Arial" w:hAnsi="Arial"/>
          <w:sz w:val="20"/>
        </w:rPr>
        <w:t xml:space="preserve">. </w:t>
      </w:r>
    </w:p>
    <w:p>
      <w:pPr>
        <w:pStyle w:val="Normal"/>
        <w:jc w:val="both"/>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reorganization,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6.</w:t>
        <w:tab/>
      </w:r>
      <w:r>
        <w:rPr>
          <w:rFonts w:cs="Arial" w:ascii="Arial" w:hAnsi="Arial"/>
          <w:b/>
          <w:sz w:val="20"/>
          <w:u w:val="single"/>
        </w:rPr>
        <w:t>Remedies</w:t>
      </w:r>
      <w:r>
        <w:rPr>
          <w:rFonts w:cs="Arial" w:ascii="Arial" w:hAnsi="Arial"/>
          <w:sz w:val="20"/>
        </w:rPr>
        <w:t xml:space="preserve">. </w:t>
      </w:r>
    </w:p>
    <w:p>
      <w:pPr>
        <w:pStyle w:val="Normal"/>
        <w:jc w:val="both"/>
        <w:rPr>
          <w:rFonts w:ascii="Arial" w:hAnsi="Arial" w:cs="Arial"/>
          <w:sz w:val="20"/>
        </w:rPr>
      </w:pPr>
      <w:r>
        <w:rPr>
          <w:rFonts w:cs="Arial" w:ascii="Arial" w:hAnsi="Arial"/>
          <w:sz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7.</w:t>
        <w:tab/>
      </w:r>
      <w:r>
        <w:rPr>
          <w:rFonts w:cs="Arial" w:ascii="Arial" w:hAnsi="Arial"/>
          <w:b/>
          <w:sz w:val="20"/>
          <w:u w:val="single"/>
        </w:rPr>
        <w:t>Setoff</w:t>
      </w:r>
      <w:r>
        <w:rPr>
          <w:rFonts w:cs="Arial" w:ascii="Arial" w:hAnsi="Arial"/>
          <w:sz w:val="20"/>
        </w:rPr>
        <w:t xml:space="preserve">. </w:t>
      </w:r>
    </w:p>
    <w:p>
      <w:pPr>
        <w:pStyle w:val="Normal"/>
        <w:jc w:val="both"/>
        <w:rPr>
          <w:rFonts w:ascii="Arial" w:hAnsi="Arial" w:cs="Arial"/>
          <w:sz w:val="20"/>
        </w:rPr>
      </w:pPr>
      <w:r>
        <w:rPr>
          <w:rFonts w:cs="Arial" w:ascii="Arial" w:hAnsi="Arial"/>
          <w:sz w:val="20"/>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8.</w:t>
        <w:tab/>
      </w:r>
      <w:r>
        <w:rPr>
          <w:rFonts w:cs="Arial" w:ascii="Arial" w:hAnsi="Arial"/>
          <w:b/>
          <w:sz w:val="20"/>
          <w:u w:val="single"/>
        </w:rPr>
        <w:t>Miscellaneous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Transaction and this GTC shall (a) be governed by, interpreted and construed in accordance with the laws of Germany. 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Paris. The language to be used in the arbitration proceedings shall be English.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jc w:val="both"/>
        <w:rPr/>
      </w:pPr>
      <w:r>
        <w:rPr>
          <w:rFonts w:cs="Arial" w:ascii="Arial" w:hAnsi="Arial"/>
          <w:sz w:val="20"/>
        </w:rPr>
        <w:t>9.</w:t>
        <w:tab/>
      </w:r>
      <w:r>
        <w:rPr>
          <w:rFonts w:cs="Arial" w:ascii="Arial" w:hAnsi="Arial"/>
          <w:b/>
          <w:sz w:val="20"/>
          <w:u w:val="single"/>
        </w:rPr>
        <w:t>Market Disruption</w:t>
      </w:r>
      <w:r>
        <w:rPr>
          <w:rFonts w:cs="Arial" w:ascii="Arial" w:hAnsi="Arial"/>
          <w:sz w:val="20"/>
        </w:rPr>
        <w:t xml:space="preserve">. </w:t>
      </w:r>
    </w:p>
    <w:p>
      <w:pPr>
        <w:pStyle w:val="Normal"/>
        <w:jc w:val="both"/>
        <w:rPr>
          <w:rFonts w:ascii="Arial" w:hAnsi="Arial" w:cs="Arial"/>
          <w:sz w:val="20"/>
        </w:rPr>
      </w:pPr>
      <w:r>
        <w:rPr>
          <w:rFonts w:cs="Arial" w:ascii="Arial" w:hAnsi="Arial"/>
          <w:sz w:val="20"/>
        </w:rPr>
        <w:t>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10.</w:t>
        <w:tab/>
      </w:r>
      <w:r>
        <w:rPr>
          <w:rFonts w:cs="Arial" w:ascii="Arial" w:hAnsi="Arial"/>
          <w:b/>
          <w:sz w:val="20"/>
          <w:u w:val="single"/>
        </w:rPr>
        <w:t>Taxes</w:t>
      </w:r>
    </w:p>
    <w:p>
      <w:pPr>
        <w:pStyle w:val="Normal"/>
        <w:jc w:val="both"/>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jc w:val="both"/>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jc w:val="both"/>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jc w:val="both"/>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(1)</w:t>
        <w:tab/>
        <w:t>Promptly notify the other party ("Y") of such requirement; and</w:t>
      </w:r>
    </w:p>
    <w:p>
      <w:pPr>
        <w:pStyle w:val="Normal"/>
        <w:jc w:val="both"/>
        <w:rPr>
          <w:rFonts w:ascii="Arial" w:hAnsi="Arial" w:cs="Arial"/>
          <w:sz w:val="20"/>
        </w:rPr>
      </w:pPr>
      <w:r>
        <w:rPr>
          <w:rFonts w:cs="Arial" w:ascii="Arial" w:hAnsi="Arial"/>
          <w:sz w:val="20"/>
        </w:rPr>
        <w:t>(2)</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jc w:val="both"/>
        <w:rPr>
          <w:rFonts w:ascii="Arial" w:hAnsi="Arial" w:cs="Arial"/>
          <w:sz w:val="20"/>
        </w:rPr>
      </w:pPr>
      <w:r>
        <w:rPr>
          <w:rFonts w:cs="Arial" w:ascii="Arial" w:hAnsi="Arial"/>
          <w:sz w:val="20"/>
        </w:rPr>
        <w:t>(3)</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(4)</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jc w:val="both"/>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(1)</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(2)</w:t>
        <w:tab/>
        <w:t>X does not so deduct or withhold; and</w:t>
      </w:r>
    </w:p>
    <w:p>
      <w:pPr>
        <w:pStyle w:val="Normal"/>
        <w:jc w:val="both"/>
        <w:rPr>
          <w:rFonts w:ascii="Arial" w:hAnsi="Arial" w:cs="Arial"/>
          <w:sz w:val="20"/>
        </w:rPr>
      </w:pPr>
      <w:r>
        <w:rPr>
          <w:rFonts w:cs="Arial" w:ascii="Arial" w:hAnsi="Arial"/>
          <w:sz w:val="20"/>
        </w:rPr>
        <w:t>(3)</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jc w:val="both"/>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(1)</w:t>
        <w:tab/>
        <w:t>Be required to pay to the other party an additional amount in respect of an Indemnifiable Tax (except in respect of any interest payable under the Confirmation); or</w:t>
      </w:r>
    </w:p>
    <w:p>
      <w:pPr>
        <w:pStyle w:val="Normal"/>
        <w:jc w:val="both"/>
        <w:rPr>
          <w:rFonts w:ascii="Arial" w:hAnsi="Arial" w:cs="Arial"/>
          <w:sz w:val="20"/>
        </w:rPr>
      </w:pPr>
      <w:r>
        <w:rPr>
          <w:rFonts w:cs="Arial" w:ascii="Arial" w:hAnsi="Arial"/>
          <w:sz w:val="20"/>
        </w:rPr>
        <w:t>(2)</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jc w:val="both"/>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11.</w:t>
        <w:tab/>
      </w:r>
      <w:r>
        <w:rPr>
          <w:rFonts w:cs="Arial" w:ascii="Arial" w:hAnsi="Arial"/>
          <w:b/>
          <w:sz w:val="20"/>
          <w:u w:val="single"/>
        </w:rPr>
        <w:t>Currency Provisions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12.</w:t>
        <w:tab/>
      </w:r>
      <w:r>
        <w:rPr>
          <w:rFonts w:cs="Arial" w:ascii="Arial" w:hAnsi="Arial"/>
          <w:b/>
          <w:sz w:val="20"/>
          <w:u w:val="single"/>
        </w:rPr>
        <w:t>General Definitions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i/>
          <w:sz w:val="20"/>
        </w:rPr>
        <w:t xml:space="preserve">"Fixed Price Payor" </w:t>
      </w:r>
      <w:r>
        <w:rPr>
          <w:rFonts w:cs="Arial" w:ascii="Arial" w:hAnsi="Arial"/>
          <w:sz w:val="20"/>
        </w:rPr>
        <w:t>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i/>
          <w:sz w:val="20"/>
        </w:rPr>
        <w:t>"Floating Price Payor"</w:t>
      </w:r>
      <w:r>
        <w:rPr>
          <w:rFonts w:cs="Arial" w:ascii="Arial" w:hAnsi="Arial"/>
          <w:sz w:val="20"/>
        </w:rPr>
        <w:t xml:space="preserve">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i/>
          <w:sz w:val="20"/>
        </w:rPr>
        <w:t xml:space="preserve">"Floor Amount" </w:t>
      </w:r>
      <w:r>
        <w:rPr>
          <w:rFonts w:cs="Arial" w:ascii="Arial" w:hAnsi="Arial"/>
          <w:sz w:val="20"/>
        </w:rPr>
        <w:t>means an amount equal to the product of (a)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13.</w:t>
        <w:tab/>
      </w:r>
      <w:r>
        <w:rPr>
          <w:rFonts w:cs="Arial" w:ascii="Arial" w:hAnsi="Arial"/>
          <w:b/>
          <w:sz w:val="20"/>
          <w:u w:val="single"/>
        </w:rPr>
        <w:t>Additional Definitions with Respect to Options, Collars and Swaptions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1999-09-02T14:03:00Z</dcterms:created>
  <dc:creator>Nicola Beales</dc:creator>
  <dc:description/>
  <dc:language>en-CA</dc:language>
  <cp:lastModifiedBy>Nicola Beales</cp:lastModifiedBy>
  <dcterms:modified xsi:type="dcterms:W3CDTF">1999-09-02T14:03:00Z</dcterms:modified>
  <cp:revision>2</cp:revision>
  <dc:subject/>
  <dc:title>Draft of 6.19.95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