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xml:space="preserve">. </w:t>
      </w:r>
    </w:p>
    <w:p>
      <w:pPr>
        <w:pStyle w:val="Normal"/>
        <w:jc w:val="both"/>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guarantee shall constitute a default hereunder giving rise to the immediate right of termination by Enron under this GTC.</w:t>
      </w:r>
    </w:p>
    <w:p>
      <w:pPr>
        <w:pStyle w:val="Normal"/>
        <w:jc w:val="both"/>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jc w:val="both"/>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6.</w:t>
        <w:tab/>
      </w:r>
      <w:r>
        <w:rPr>
          <w:rFonts w:cs="Arial" w:ascii="Arial" w:hAnsi="Arial"/>
          <w:b/>
          <w:sz w:val="20"/>
          <w:u w:val="single"/>
        </w:rPr>
        <w:t>Remedies</w:t>
      </w:r>
    </w:p>
    <w:p>
      <w:pPr>
        <w:pStyle w:val="Normal"/>
        <w:jc w:val="both"/>
        <w:rPr>
          <w:rFonts w:ascii="Arial" w:hAnsi="Arial" w:cs="Arial"/>
          <w:sz w:val="20"/>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7.</w:t>
        <w:tab/>
      </w:r>
      <w:r>
        <w:rPr>
          <w:rFonts w:cs="Arial" w:ascii="Arial" w:hAnsi="Arial"/>
          <w:b/>
          <w:sz w:val="20"/>
          <w:u w:val="single"/>
        </w:rPr>
        <w:t>Setoff</w:t>
      </w:r>
      <w:r>
        <w:rPr>
          <w:rFonts w:cs="Arial" w:ascii="Arial" w:hAnsi="Arial"/>
          <w:sz w:val="20"/>
        </w:rPr>
        <w:t xml:space="preserve">. </w:t>
      </w:r>
    </w:p>
    <w:p>
      <w:pPr>
        <w:pStyle w:val="Normal"/>
        <w:jc w:val="both"/>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8.</w:t>
        <w:tab/>
      </w:r>
      <w:r>
        <w:rPr>
          <w:rFonts w:cs="Arial" w:ascii="Arial" w:hAnsi="Arial"/>
          <w:b/>
          <w:sz w:val="20"/>
          <w:u w:val="single"/>
        </w:rPr>
        <w:t>Miscellaneous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9.</w:t>
        <w:tab/>
      </w:r>
      <w:r>
        <w:rPr>
          <w:rFonts w:cs="Arial" w:ascii="Arial" w:hAnsi="Arial"/>
          <w:b/>
          <w:sz w:val="20"/>
          <w:u w:val="single"/>
        </w:rPr>
        <w:t>Market Disruption</w:t>
      </w:r>
      <w:r>
        <w:rPr>
          <w:rFonts w:cs="Arial" w:ascii="Arial" w:hAnsi="Arial"/>
          <w:sz w:val="20"/>
        </w:rPr>
        <w:t xml:space="preserve">. </w:t>
      </w:r>
    </w:p>
    <w:p>
      <w:pPr>
        <w:pStyle w:val="Normal"/>
        <w:jc w:val="both"/>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10.</w:t>
        <w:tab/>
      </w:r>
      <w:r>
        <w:rPr>
          <w:rFonts w:cs="Arial" w:ascii="Arial" w:hAnsi="Arial"/>
          <w:b/>
          <w:sz w:val="20"/>
          <w:u w:val="single"/>
        </w:rPr>
        <w:t>Taxes</w:t>
      </w:r>
    </w:p>
    <w:p>
      <w:pPr>
        <w:pStyle w:val="Normal"/>
        <w:jc w:val="both"/>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jc w:val="both"/>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jc w:val="both"/>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jc w:val="both"/>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(1)</w:t>
        <w:tab/>
        <w:t>Promptly notify the other party ("Y") of such requirement; and=</w:t>
      </w:r>
    </w:p>
    <w:p>
      <w:pPr>
        <w:pStyle w:val="Normal"/>
        <w:jc w:val="both"/>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jc w:val="both"/>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(2)</w:t>
        <w:tab/>
        <w:t>X does not so deduct or withhold; and</w:t>
      </w:r>
    </w:p>
    <w:p>
      <w:pPr>
        <w:pStyle w:val="Normal"/>
        <w:jc w:val="both"/>
        <w:rPr>
          <w:rFonts w:ascii="Arial" w:hAnsi="Arial" w:cs="Arial"/>
          <w:sz w:val="20"/>
        </w:rPr>
      </w:pPr>
      <w:r>
        <w:rPr>
          <w:rFonts w:cs="Arial" w:ascii="Arial" w:hAnsi="Arial"/>
          <w:sz w:val="20"/>
        </w:rPr>
        <w:t>(3)</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jc w:val="both"/>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jc w:val="both"/>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13.</w:t>
        <w:tab/>
      </w:r>
      <w:r>
        <w:rPr>
          <w:rFonts w:cs="Arial" w:ascii="Arial" w:hAnsi="Arial"/>
          <w:b/>
          <w:sz w:val="20"/>
        </w:rPr>
        <w:t>Additional Definitions with Respect to Options, Collars and Swaptions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1999-09-02T09:59:00Z</dcterms:created>
  <dc:creator>Nicola Beales</dc:creator>
  <dc:description/>
  <dc:language>en-CA</dc:language>
  <cp:lastModifiedBy>Nicola Beales</cp:lastModifiedBy>
  <dcterms:modified xsi:type="dcterms:W3CDTF">1999-09-02T09:59:00Z</dcterms:modified>
  <cp:revision>2</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