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45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78"/>
        <w:gridCol w:w="4500"/>
        <w:gridCol w:w="1620"/>
        <w:gridCol w:w="1620"/>
        <w:gridCol w:w="1890"/>
        <w:gridCol w:w="1620"/>
        <w:gridCol w:w="2970"/>
      </w:tblGrid>
      <w:tr>
        <w:trPr/>
        <w:tc>
          <w:tcPr>
            <w:tcW w:w="3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PROJECT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LEGAL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TAX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COMMERCIAL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PROJECTED DEADLINE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>
        <w:trPr/>
        <w:tc>
          <w:tcPr>
            <w:tcW w:w="3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1.</w:t>
            </w:r>
          </w:p>
        </w:tc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Argentina:  evaluate (i) Master Services Agreement between ENA and Enron Comercializadora de Energia Argentina S.A. and (ii) proposed Trading Guidelines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B. Hendry</w:t>
            </w:r>
          </w:p>
          <w:p>
            <w:pPr>
              <w:pStyle w:val="Normal"/>
              <w:rPr/>
            </w:pPr>
            <w:r>
              <w:rPr/>
              <w:t>S. Shackleton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L. Aven</w:t>
            </w:r>
          </w:p>
          <w:p>
            <w:pPr>
              <w:pStyle w:val="Normal"/>
              <w:rPr/>
            </w:pPr>
            <w:r>
              <w:rPr/>
              <w:t>R. Hopkinson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Don Black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10/99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Under review</w:t>
            </w:r>
          </w:p>
        </w:tc>
      </w:tr>
      <w:tr>
        <w:trPr/>
        <w:tc>
          <w:tcPr>
            <w:tcW w:w="3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2.</w:t>
            </w:r>
          </w:p>
        </w:tc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Bolivia:  financial trading questionnaire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B. Hendry</w:t>
            </w:r>
          </w:p>
          <w:p>
            <w:pPr>
              <w:pStyle w:val="Normal"/>
              <w:rPr/>
            </w:pPr>
            <w:r>
              <w:rPr/>
              <w:t>S. Shackleton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L. Aven</w:t>
            </w:r>
          </w:p>
          <w:p>
            <w:pPr>
              <w:pStyle w:val="Normal"/>
              <w:rPr/>
            </w:pPr>
            <w:r>
              <w:rPr/>
              <w:t>R. Hopkinson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Don Black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</w:t>
            </w:r>
            <w:r>
              <w:rPr>
                <w:vertAlign w:val="superscript"/>
              </w:rPr>
              <w:t>th</w:t>
            </w:r>
            <w:r>
              <w:rPr/>
              <w:t xml:space="preserve"> Quarter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Identify local counsel</w:t>
            </w:r>
          </w:p>
        </w:tc>
      </w:tr>
      <w:tr>
        <w:trPr/>
        <w:tc>
          <w:tcPr>
            <w:tcW w:w="3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3.</w:t>
            </w:r>
          </w:p>
        </w:tc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Brazil:  Brokerage Accounts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  <w:tab w:val="left" w:pos="612" w:leader="none"/>
              </w:tabs>
              <w:rPr/>
            </w:pPr>
            <w:r>
              <w:rPr/>
              <w:t>Enron Power Holdings XII Ltd.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  <w:tab w:val="left" w:pos="612" w:leader="none"/>
              </w:tabs>
              <w:rPr/>
            </w:pPr>
            <w:r>
              <w:rPr/>
              <w:t>Others (?)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S. Shackleton</w:t>
            </w:r>
          </w:p>
          <w:p>
            <w:pPr>
              <w:pStyle w:val="Normal"/>
              <w:rPr/>
            </w:pPr>
            <w:r>
              <w:rPr/>
              <w:t>M. Heard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Bruce Harris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10/15/99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Awaiting corporate resolution authorizing opening of account</w:t>
            </w:r>
          </w:p>
        </w:tc>
      </w:tr>
      <w:tr>
        <w:trPr/>
        <w:tc>
          <w:tcPr>
            <w:tcW w:w="3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4.</w:t>
            </w:r>
          </w:p>
        </w:tc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Brazil Trading:  Cross-border and CC-5 accounts,</w:t>
            </w:r>
          </w:p>
          <w:p>
            <w:pPr>
              <w:pStyle w:val="Normal"/>
              <w:tabs>
                <w:tab w:val="clear" w:pos="720"/>
                <w:tab w:val="left" w:pos="1332" w:leader="none"/>
              </w:tabs>
              <w:rPr/>
            </w:pPr>
            <w:r>
              <w:rPr/>
              <w:t>Local Derivatives, Pure OTC Swaps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A. Bertone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B. Hendry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S. Shackleton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L. Aven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Bob Crane</w:t>
            </w:r>
          </w:p>
          <w:p>
            <w:pPr>
              <w:pStyle w:val="Normal"/>
              <w:rPr/>
            </w:pPr>
            <w:r>
              <w:rPr/>
              <w:t>Gary Hickerson</w:t>
            </w:r>
          </w:p>
          <w:p>
            <w:pPr>
              <w:pStyle w:val="Normal"/>
              <w:rPr/>
            </w:pPr>
            <w:r>
              <w:rPr/>
              <w:t>Joe Kishkill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10/99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Met w/Tozzini on 9/21/99.  Waiting for memo from AFAC</w:t>
            </w:r>
          </w:p>
        </w:tc>
      </w:tr>
      <w:tr>
        <w:trPr/>
        <w:tc>
          <w:tcPr>
            <w:tcW w:w="3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5.</w:t>
            </w:r>
          </w:p>
        </w:tc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Brazil Transactions: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</w:tabs>
              <w:ind w:hanging="342" w:start="342" w:end="0"/>
              <w:rPr/>
            </w:pPr>
            <w:r>
              <w:rPr/>
              <w:t>Millennium Put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</w:tabs>
              <w:ind w:hanging="342" w:start="342" w:end="0"/>
              <w:rPr/>
            </w:pPr>
            <w:r>
              <w:rPr/>
              <w:t>Votorantium Celulose e Papel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A. Bertone</w:t>
            </w:r>
          </w:p>
          <w:p>
            <w:pPr>
              <w:pStyle w:val="Normal"/>
              <w:rPr/>
            </w:pPr>
            <w:r>
              <w:rPr/>
              <w:t>R. George</w:t>
            </w:r>
          </w:p>
          <w:p>
            <w:pPr>
              <w:pStyle w:val="Normal"/>
              <w:rPr/>
            </w:pPr>
            <w:r>
              <w:rPr/>
              <w:t>S. Shackleton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A. Bertone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B. Hendry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S. Shackleton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L. Aven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L. Aven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Mike Guerriero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10/1/99 (Stage 1)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15840" w:h="12240"/>
      <w:pgMar w:left="720" w:right="720" w:gutter="0" w:header="720" w:top="776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  <w:lang w:eastAsia="en-US"/>
      </w:rPr>
    </w:pPr>
    <w:r>
      <w:rPr>
        <w:sz w:val="16"/>
        <w:lang w:eastAsia="en-US"/>
      </w:rPr>
      <w:fldChar w:fldCharType="begin"/>
    </w:r>
    <w:r>
      <w:rPr>
        <w:sz w:val="16"/>
        <w:lang w:eastAsia="en-US"/>
      </w:rPr>
      <w:instrText xml:space="preserve"> FILENAME \p </w:instrText>
    </w:r>
    <w:r>
      <w:rPr>
        <w:sz w:val="16"/>
        <w:lang w:eastAsia="en-US"/>
      </w:rPr>
      <w:fldChar w:fldCharType="separate"/>
    </w:r>
    <w:r>
      <w:rPr>
        <w:sz w:val="16"/>
        <w:lang w:eastAsia="en-US"/>
      </w:rPr>
      <w:t>/mnt/main-storage/datasets/enron-docs/doc/Financial_Trading_Report.doc</w:t>
    </w:r>
    <w:r>
      <w:rPr>
        <w:sz w:val="16"/>
        <w:lang w:eastAsia="en-US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top w:val="single" w:sz="18" w:space="1" w:color="000000"/>
        <w:left w:val="single" w:sz="18" w:space="4" w:color="000000"/>
        <w:bottom w:val="single" w:sz="18" w:space="1" w:color="000000"/>
        <w:right w:val="single" w:sz="18" w:space="4" w:color="000000"/>
      </w:pBdr>
      <w:rPr/>
    </w:pPr>
    <w:r>
      <w:drawing>
        <wp:anchor behindDoc="1" distT="0" distB="0" distL="114935" distR="114935" simplePos="0" locked="0" layoutInCell="1" allowOverlap="1" relativeHeight="2">
          <wp:simplePos x="0" y="0"/>
          <wp:positionH relativeFrom="column">
            <wp:posOffset>0</wp:posOffset>
          </wp:positionH>
          <wp:positionV relativeFrom="paragraph">
            <wp:posOffset>182880</wp:posOffset>
          </wp:positionV>
          <wp:extent cx="640080" cy="548640"/>
          <wp:effectExtent l="0" t="0" r="0" b="0"/>
          <wp:wrapNone/>
          <wp:docPr id="1" name="Image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2" t="-52" r="-52" b="-52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/>
      <w:tab/>
    </w:r>
  </w:p>
  <w:p>
    <w:pPr>
      <w:pStyle w:val="Header"/>
      <w:pBdr>
        <w:top w:val="single" w:sz="18" w:space="1" w:color="000000"/>
        <w:left w:val="single" w:sz="18" w:space="4" w:color="000000"/>
        <w:bottom w:val="single" w:sz="18" w:space="1" w:color="000000"/>
        <w:right w:val="single" w:sz="18" w:space="4" w:color="000000"/>
      </w:pBdr>
      <w:rPr/>
    </w:pPr>
    <w:r>
      <w:rPr/>
    </w:r>
  </w:p>
  <w:p>
    <w:pPr>
      <w:pStyle w:val="Header"/>
      <w:pBdr>
        <w:top w:val="single" w:sz="18" w:space="1" w:color="000000"/>
        <w:left w:val="single" w:sz="18" w:space="4" w:color="000000"/>
        <w:bottom w:val="single" w:sz="18" w:space="1" w:color="000000"/>
        <w:right w:val="single" w:sz="18" w:space="4" w:color="000000"/>
      </w:pBdr>
      <w:rPr>
        <w:sz w:val="24"/>
      </w:rPr>
    </w:pPr>
    <w:r>
      <w:rPr/>
      <w:tab/>
    </w:r>
    <w:r>
      <w:rPr>
        <w:b/>
        <w:sz w:val="28"/>
      </w:rPr>
      <w:tab/>
      <w:t>SO. CONE FINANCIAL TRADING REPORT</w:t>
    </w:r>
    <w:r>
      <w:rPr>
        <w:sz w:val="24"/>
      </w:rPr>
      <w:tab/>
      <w:tab/>
      <w:tab/>
    </w:r>
    <w:r>
      <w:rPr>
        <w:b/>
        <w:sz w:val="24"/>
      </w:rPr>
      <w:t>Week: 10/11/99 – 10/15/99</w:t>
    </w:r>
  </w:p>
  <w:p>
    <w:pPr>
      <w:pStyle w:val="Header"/>
      <w:pBdr>
        <w:top w:val="single" w:sz="18" w:space="1" w:color="000000"/>
        <w:left w:val="single" w:sz="18" w:space="4" w:color="000000"/>
        <w:bottom w:val="single" w:sz="18" w:space="1" w:color="000000"/>
        <w:right w:val="single" w:sz="18" w:space="4" w:color="000000"/>
      </w:pBdr>
      <w:rPr>
        <w:sz w:val="24"/>
      </w:rPr>
    </w:pPr>
    <w:r>
      <w:rPr>
        <w:sz w:val="24"/>
      </w:rPr>
    </w:r>
  </w:p>
  <w:p>
    <w:pPr>
      <w:pStyle w:val="Header"/>
      <w:pBdr>
        <w:top w:val="single" w:sz="18" w:space="1" w:color="000000"/>
        <w:left w:val="single" w:sz="18" w:space="4" w:color="000000"/>
        <w:bottom w:val="single" w:sz="18" w:space="1" w:color="000000"/>
        <w:right w:val="single" w:sz="18" w:space="4" w:color="000000"/>
      </w:pBdr>
      <w:rPr>
        <w:sz w:val="24"/>
      </w:rPr>
    </w:pPr>
    <w:r>
      <w:rPr>
        <w:sz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Roman"/>
      <w:lvlText w:val="(%1)"/>
      <w:lvlJc w:val="start"/>
      <w:pPr>
        <w:tabs>
          <w:tab w:val="num" w:pos="720"/>
        </w:tabs>
        <w:ind w:start="720" w:hanging="720"/>
      </w:pPr>
      <w:rPr/>
    </w:lvl>
  </w:abstractNum>
  <w:abstractNum w:abstractNumId="2">
    <w:lvl w:ilvl="0">
      <w:start w:val="1"/>
      <w:numFmt w:val="lowerLetter"/>
      <w:lvlText w:val="(%1)"/>
      <w:lvlJc w:val="start"/>
      <w:pPr>
        <w:tabs>
          <w:tab w:val="num" w:pos="975"/>
        </w:tabs>
        <w:ind w:start="975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1999-10-11T19:05:00Z</dcterms:created>
  <dc:creator>kaye ellis</dc:creator>
  <dc:description/>
  <dc:language>en-CA</dc:language>
  <cp:lastModifiedBy>kaye ellis</cp:lastModifiedBy>
  <cp:lastPrinted>1999-10-12T15:28:00Z</cp:lastPrinted>
  <dcterms:modified xsi:type="dcterms:W3CDTF">1999-10-12T18:09:00Z</dcterms:modified>
  <cp:revision>12</cp:revision>
  <dc:subject/>
  <dc:title>PROJECT</dc:title>
</cp:coreProperties>
</file>