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Financial Trading Guidelines</w:t>
      </w:r>
    </w:p>
    <w:p>
      <w:pPr>
        <w:pStyle w:val="Normal"/>
        <w:jc w:val="center"/>
        <w:rPr>
          <w:b/>
          <w:u w:val="single"/>
        </w:rPr>
      </w:pPr>
      <w:r>
        <w:rPr>
          <w:b/>
          <w:u w:val="single"/>
        </w:rPr>
        <w:t>For Non-binding Trades at Time of Trade</w:t>
      </w:r>
    </w:p>
    <w:p>
      <w:pPr>
        <w:pStyle w:val="Header"/>
        <w:tabs>
          <w:tab w:val="clear" w:pos="4320"/>
          <w:tab w:val="clear" w:pos="8640"/>
        </w:tabs>
        <w:rPr>
          <w:b/>
          <w:u w:val="single"/>
        </w:rPr>
      </w:pPr>
      <w:r>
        <w:rPr>
          <w:b/>
          <w:u w:val="single"/>
        </w:rPr>
      </w:r>
    </w:p>
    <w:p>
      <w:pPr>
        <w:pStyle w:val="Normal"/>
        <w:jc w:val="center"/>
        <w:rPr/>
      </w:pPr>
      <w:r>
        <w:rPr/>
        <w:t>(Employees of Enron Comercializadora de Energia Argentina S.A., Enron International Argentina S.A. or any other Enron South America entity (collectively “ESA”) when discussing possible transactions with Argentine counterparties who want to trade with Enron North America Corp. ("ENA"))</w:t>
      </w:r>
    </w:p>
    <w:p>
      <w:pPr>
        <w:pStyle w:val="Normal"/>
        <w:jc w:val="both"/>
        <w:rPr/>
      </w:pPr>
      <w:r>
        <w:rPr/>
      </w:r>
    </w:p>
    <w:p>
      <w:pPr>
        <w:pStyle w:val="Normal"/>
        <w:jc w:val="both"/>
        <w:rPr/>
      </w:pPr>
      <w:r>
        <w:rPr/>
        <w:t xml:space="preserve">The directions on this card must be followed and you must be talking on a </w:t>
      </w:r>
      <w:r>
        <w:rPr>
          <w:b/>
        </w:rPr>
        <w:t xml:space="preserve">taped line. </w:t>
      </w:r>
    </w:p>
    <w:p>
      <w:pPr>
        <w:pStyle w:val="Normal"/>
        <w:jc w:val="both"/>
        <w:rPr>
          <w:b/>
        </w:rPr>
      </w:pPr>
      <w:r>
        <w:rPr>
          <w:b/>
        </w:rPr>
      </w:r>
    </w:p>
    <w:p>
      <w:pPr>
        <w:pStyle w:val="Normal"/>
        <w:numPr>
          <w:ilvl w:val="0"/>
          <w:numId w:val="7"/>
        </w:numPr>
        <w:jc w:val="both"/>
        <w:rPr/>
      </w:pPr>
      <w:r>
        <w:rPr/>
        <w:t xml:space="preserve">YOU MAY NOT agree to the economic fundamentals of the trade with a counterparty.  You may discuss, </w:t>
      </w:r>
      <w:r>
        <w:rPr>
          <w:b/>
        </w:rPr>
        <w:t>but not agree to</w:t>
      </w:r>
      <w:r>
        <w:rPr/>
        <w:t>, indicative terms such as:  commodity, fixed price, floating price and index, duration, fallback reference price, etc. as long as you follow the following guidelines.</w:t>
      </w:r>
    </w:p>
    <w:p>
      <w:pPr>
        <w:pStyle w:val="Normal"/>
        <w:numPr>
          <w:ilvl w:val="0"/>
          <w:numId w:val="0"/>
        </w:numPr>
        <w:ind w:hanging="0" w:start="0"/>
        <w:jc w:val="both"/>
        <w:rPr/>
      </w:pPr>
      <w:r>
        <w:rPr/>
      </w:r>
    </w:p>
    <w:p>
      <w:pPr>
        <w:pStyle w:val="Normal"/>
        <w:numPr>
          <w:ilvl w:val="0"/>
          <w:numId w:val="7"/>
        </w:numPr>
        <w:jc w:val="both"/>
        <w:rPr/>
      </w:pPr>
      <w:r>
        <w:rPr/>
        <w:t>YOU MUST:</w:t>
      </w:r>
    </w:p>
    <w:p>
      <w:pPr>
        <w:pStyle w:val="Normal"/>
        <w:jc w:val="both"/>
        <w:rPr/>
      </w:pPr>
      <w:r>
        <w:rPr/>
      </w:r>
    </w:p>
    <w:p>
      <w:pPr>
        <w:pStyle w:val="Normal"/>
        <w:numPr>
          <w:ilvl w:val="0"/>
          <w:numId w:val="6"/>
        </w:numPr>
        <w:jc w:val="both"/>
        <w:rPr/>
      </w:pPr>
      <w:r>
        <w:rPr/>
        <w:t>STATE CLEARLY and unambiguously in each conversation with ENA’s counterparty that:</w:t>
      </w:r>
    </w:p>
    <w:p>
      <w:pPr>
        <w:pStyle w:val="Normal"/>
        <w:numPr>
          <w:ilvl w:val="0"/>
          <w:numId w:val="3"/>
        </w:numPr>
        <w:jc w:val="both"/>
        <w:rPr/>
      </w:pPr>
      <w:r>
        <w:rPr/>
        <w:t xml:space="preserve">the trade is conditional upon the agreement between ENA and the counterparty as to the terms of the transaction, documentation and any credit terms acceptable to ENA, and </w:t>
      </w:r>
    </w:p>
    <w:p>
      <w:pPr>
        <w:pStyle w:val="Normal"/>
        <w:numPr>
          <w:ilvl w:val="0"/>
          <w:numId w:val="3"/>
        </w:numPr>
        <w:jc w:val="both"/>
        <w:rPr/>
      </w:pPr>
      <w:r>
        <w:rPr/>
        <w:t xml:space="preserve">the trade will be legally binding only when such conditions (agreement by ENA to the terms, documentation and/or credit) have been satisfied, and </w:t>
      </w:r>
    </w:p>
    <w:p>
      <w:pPr>
        <w:pStyle w:val="Normal"/>
        <w:numPr>
          <w:ilvl w:val="0"/>
          <w:numId w:val="3"/>
        </w:numPr>
        <w:jc w:val="both"/>
        <w:rPr/>
      </w:pPr>
      <w:r>
        <w:rPr/>
        <w:t>you are merely facilitating the transaction between ENA and ENA’s counterparty and that you have no authority to bind ENA to the terms of any transaction.</w:t>
      </w:r>
    </w:p>
    <w:p>
      <w:pPr>
        <w:pStyle w:val="Normal"/>
        <w:jc w:val="both"/>
        <w:rPr/>
      </w:pPr>
      <w:r>
        <w:rPr/>
      </w:r>
    </w:p>
    <w:p>
      <w:pPr>
        <w:pStyle w:val="Normal"/>
        <w:numPr>
          <w:ilvl w:val="0"/>
          <w:numId w:val="1"/>
        </w:numPr>
        <w:jc w:val="both"/>
        <w:rPr/>
      </w:pPr>
      <w:r>
        <w:rPr/>
        <w:t xml:space="preserve">NOT use words such as “we”, “our”, “agree”, “done”, “I accept”, “we accept” when referring to the transaction between ENA and ENA’s counterparty.  REMEMBER, you are </w:t>
      </w:r>
      <w:r>
        <w:rPr>
          <w:b/>
        </w:rPr>
        <w:t>not</w:t>
      </w:r>
      <w:r>
        <w:rPr/>
        <w:t xml:space="preserve"> an employee of ENA.</w:t>
      </w:r>
    </w:p>
    <w:p>
      <w:pPr>
        <w:pStyle w:val="Normal"/>
        <w:jc w:val="both"/>
        <w:rPr/>
      </w:pPr>
      <w:r>
        <w:rPr/>
      </w:r>
    </w:p>
    <w:p>
      <w:pPr>
        <w:pStyle w:val="Normal"/>
        <w:numPr>
          <w:ilvl w:val="0"/>
          <w:numId w:val="1"/>
        </w:numPr>
        <w:jc w:val="both"/>
        <w:rPr/>
      </w:pPr>
      <w:r>
        <w:rPr/>
        <w:t>DISAGREE with any statement or possible inference made by the person to whom you are talking that the trade is:</w:t>
      </w:r>
    </w:p>
    <w:p>
      <w:pPr>
        <w:pStyle w:val="Normal"/>
        <w:numPr>
          <w:ilvl w:val="0"/>
          <w:numId w:val="4"/>
        </w:numPr>
        <w:tabs>
          <w:tab w:val="clear" w:pos="720"/>
          <w:tab w:val="left" w:pos="1440" w:leader="none"/>
        </w:tabs>
        <w:jc w:val="both"/>
        <w:rPr/>
      </w:pPr>
      <w:r>
        <w:rPr/>
        <w:t>final</w:t>
      </w:r>
    </w:p>
    <w:p>
      <w:pPr>
        <w:pStyle w:val="Normal"/>
        <w:numPr>
          <w:ilvl w:val="0"/>
          <w:numId w:val="4"/>
        </w:numPr>
        <w:tabs>
          <w:tab w:val="clear" w:pos="720"/>
          <w:tab w:val="left" w:pos="1440" w:leader="none"/>
        </w:tabs>
        <w:jc w:val="both"/>
        <w:rPr/>
      </w:pPr>
      <w:r>
        <w:rPr/>
        <w:t xml:space="preserve">binding or unconditional, or </w:t>
      </w:r>
    </w:p>
    <w:p>
      <w:pPr>
        <w:pStyle w:val="Normal"/>
        <w:numPr>
          <w:ilvl w:val="0"/>
          <w:numId w:val="4"/>
        </w:numPr>
        <w:tabs>
          <w:tab w:val="clear" w:pos="720"/>
          <w:tab w:val="left" w:pos="1440" w:leader="none"/>
        </w:tabs>
        <w:jc w:val="both"/>
        <w:rPr/>
      </w:pPr>
      <w:r>
        <w:rPr/>
        <w:t>is between ESA and the counterparty</w:t>
      </w:r>
    </w:p>
    <w:p>
      <w:pPr>
        <w:pStyle w:val="Normal"/>
        <w:jc w:val="both"/>
        <w:rPr/>
      </w:pPr>
      <w:r>
        <w:rPr/>
      </w:r>
    </w:p>
    <w:p>
      <w:pPr>
        <w:pStyle w:val="Normal"/>
        <w:numPr>
          <w:ilvl w:val="0"/>
          <w:numId w:val="1"/>
        </w:numPr>
        <w:jc w:val="both"/>
        <w:rPr/>
      </w:pPr>
      <w:r>
        <w:rPr/>
        <w:t>MAKE ABSOLUTELY SURE that you are clear on all descriptions of indicative terms.</w:t>
      </w:r>
    </w:p>
    <w:p>
      <w:pPr>
        <w:pStyle w:val="Normal"/>
        <w:ind w:start="360" w:end="0"/>
        <w:jc w:val="both"/>
        <w:rPr/>
      </w:pPr>
      <w:r>
        <w:rPr/>
      </w:r>
    </w:p>
    <w:p>
      <w:pPr>
        <w:pStyle w:val="Normal"/>
        <w:numPr>
          <w:ilvl w:val="0"/>
          <w:numId w:val="1"/>
        </w:numPr>
        <w:jc w:val="both"/>
        <w:rPr/>
      </w:pPr>
      <w:r>
        <w:rPr/>
        <w:t>ASK the person to whom you are talking to confirm to you over the phone, and such person must so confirm, that he/she understands and agrees that the trade:</w:t>
      </w:r>
    </w:p>
    <w:p>
      <w:pPr>
        <w:pStyle w:val="Normal"/>
        <w:numPr>
          <w:ilvl w:val="0"/>
          <w:numId w:val="2"/>
        </w:numPr>
        <w:jc w:val="both"/>
        <w:rPr/>
      </w:pPr>
      <w:r>
        <w:rPr/>
        <w:t xml:space="preserve">is conditional and not binding until ENA agrees to all terms, including credit, with the counterparty and appropriate documentation; and </w:t>
      </w:r>
    </w:p>
    <w:p>
      <w:pPr>
        <w:pStyle w:val="Normal"/>
        <w:numPr>
          <w:ilvl w:val="0"/>
          <w:numId w:val="5"/>
        </w:numPr>
        <w:tabs>
          <w:tab w:val="clear" w:pos="720"/>
          <w:tab w:val="left" w:pos="1440" w:leader="none"/>
        </w:tabs>
        <w:jc w:val="both"/>
        <w:rPr/>
      </w:pPr>
      <w:r>
        <w:rPr/>
        <w:t>will be legally binding only when such conditions have been satisfied.</w:t>
      </w:r>
    </w:p>
    <w:p>
      <w:pPr>
        <w:pStyle w:val="Normal"/>
        <w:jc w:val="both"/>
        <w:rPr/>
      </w:pPr>
      <w:r>
        <w:rPr/>
      </w:r>
    </w:p>
    <w:p>
      <w:pPr>
        <w:pStyle w:val="Normal"/>
        <w:ind w:hanging="360" w:start="360" w:end="0"/>
        <w:jc w:val="both"/>
        <w:rPr/>
      </w:pPr>
      <w:r>
        <w:rPr/>
      </w:r>
    </w:p>
    <w:p>
      <w:pPr>
        <w:pStyle w:val="Normal"/>
        <w:jc w:val="both"/>
        <w:rPr>
          <w:b/>
        </w:rPr>
      </w:pPr>
      <w:r>
        <w:rPr>
          <w:b/>
        </w:rPr>
        <w:t>REMEMBER</w:t>
      </w:r>
    </w:p>
    <w:p>
      <w:pPr>
        <w:pStyle w:val="Normal"/>
        <w:jc w:val="both"/>
        <w:rPr/>
      </w:pPr>
      <w:r>
        <w:rPr/>
      </w:r>
    </w:p>
    <w:p>
      <w:pPr>
        <w:pStyle w:val="Normal"/>
        <w:numPr>
          <w:ilvl w:val="0"/>
          <w:numId w:val="8"/>
        </w:numPr>
        <w:jc w:val="both"/>
        <w:rPr/>
      </w:pPr>
      <w:r>
        <w:rPr/>
        <w:t>These guidelines apply to any other form of writing.</w:t>
      </w:r>
    </w:p>
    <w:p>
      <w:pPr>
        <w:pStyle w:val="Normal"/>
        <w:jc w:val="both"/>
        <w:rPr/>
      </w:pPr>
      <w:r>
        <w:rPr/>
      </w:r>
    </w:p>
    <w:p>
      <w:pPr>
        <w:pStyle w:val="Normal"/>
        <w:numPr>
          <w:ilvl w:val="0"/>
          <w:numId w:val="8"/>
        </w:numPr>
        <w:jc w:val="both"/>
        <w:rPr/>
      </w:pPr>
      <w:r>
        <w:rPr/>
        <w:t>The tape of your telephone conversation and any email or other written materials may be proof as to the legal status of a trade.  To avoid any doubts about what you should do, follow the instructions above to achieve a clear statement of your position.</w:t>
      </w:r>
    </w:p>
    <w:p>
      <w:pPr>
        <w:pStyle w:val="Normal"/>
        <w:jc w:val="both"/>
        <w:rPr/>
      </w:pPr>
      <w:r>
        <w:rPr/>
      </w:r>
    </w:p>
    <w:p>
      <w:pPr>
        <w:pStyle w:val="Normal"/>
        <w:numPr>
          <w:ilvl w:val="0"/>
          <w:numId w:val="8"/>
        </w:numPr>
        <w:jc w:val="both"/>
        <w:rPr/>
      </w:pPr>
      <w:r>
        <w:rPr/>
        <w:t>Termsheets may come from [ENA in Houston][ESA in B.A.] with the standard disclaimers.  Emails should not be used to discuss indicative terms of any possible transaction between ENA and a counterparty.  Emails that discuss other terms of a possible transaction between ENA and a counterparty should be reviewed by Legal to determine if such information should properly be sent by ENA from Houston or, if applicable, contains the appropriate disclaimers.</w:t>
      </w:r>
    </w:p>
    <w:p>
      <w:pPr>
        <w:pStyle w:val="Normal"/>
        <w:numPr>
          <w:ilvl w:val="0"/>
          <w:numId w:val="0"/>
        </w:numPr>
        <w:ind w:hanging="360" w:start="360" w:end="0"/>
        <w:jc w:val="both"/>
        <w:rPr/>
      </w:pPr>
      <w:r>
        <w:rPr/>
      </w:r>
    </w:p>
    <w:p>
      <w:pPr>
        <w:pStyle w:val="Normal"/>
        <w:numPr>
          <w:ilvl w:val="0"/>
          <w:numId w:val="8"/>
        </w:numPr>
        <w:jc w:val="both"/>
        <w:rPr/>
      </w:pPr>
      <w:r>
        <w:rPr/>
        <w:t>If you have any questions, contact any of the following:</w:t>
      </w:r>
    </w:p>
    <w:p>
      <w:pPr>
        <w:pStyle w:val="Normal"/>
        <w:numPr>
          <w:ilvl w:val="0"/>
          <w:numId w:val="8"/>
        </w:numPr>
        <w:ind w:hanging="360" w:start="1080" w:end="0"/>
        <w:jc w:val="both"/>
        <w:rPr/>
      </w:pPr>
      <w:r>
        <w:rPr>
          <w:b/>
        </w:rPr>
        <w:t xml:space="preserve">Houston:  </w:t>
      </w:r>
      <w:r>
        <w:rPr/>
        <w:t>Sara Shackleton</w:t>
      </w:r>
    </w:p>
    <w:p>
      <w:pPr>
        <w:pStyle w:val="Normal"/>
        <w:numPr>
          <w:ilvl w:val="0"/>
          <w:numId w:val="8"/>
        </w:numPr>
        <w:ind w:hanging="360" w:start="1080" w:end="0"/>
        <w:jc w:val="both"/>
        <w:rPr/>
      </w:pPr>
      <w:r>
        <w:rPr>
          <w:b/>
        </w:rPr>
        <w:t xml:space="preserve">Argentina:  </w:t>
      </w:r>
      <w:r>
        <w:rPr/>
        <w:t>Brent Hendry</w:t>
      </w:r>
    </w:p>
    <w:p>
      <w:pPr>
        <w:pStyle w:val="Normal"/>
        <w:jc w:val="both"/>
        <w:rPr/>
      </w:pPr>
      <w:r>
        <w:rPr/>
      </w:r>
    </w:p>
    <w:sectPr>
      <w:headerReference w:type="default" r:id="rId2"/>
      <w:footerReference w:type="default" r:id="rId3"/>
      <w:type w:val="nextPage"/>
      <w:pgSz w:w="12240" w:h="15840"/>
      <w:pgMar w:left="1440" w:right="864" w:gutter="0" w:header="720" w:top="77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/mnt/main-storage/datasets/enron-docs/doc/Financial_Trading_Guidelines-7e0c39e3f13e7bc47a2dc7ec6e92740d1c117226fcca378b36b074599f91e69a.doc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11/18/99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
      <w:lvlJc w:val="start"/>
      <w:pPr>
        <w:tabs>
          <w:tab w:val="num" w:pos="360"/>
        </w:tabs>
        <w:ind w:start="720" w:hanging="360"/>
      </w:pPr>
      <w:rPr>
        <w:sz w:val="20"/>
        <w:i w:val="false"/>
        <w:b w:val="false"/>
      </w:rPr>
    </w:lvl>
  </w:abstractNum>
  <w:abstractNum w:abstractNumId="2">
    <w:lvl w:ilvl="0">
      <w:start w:val="9"/>
      <w:numFmt w:val="lowerLetter"/>
      <w:lvlText w:val="(%1)"/>
      <w:lvlJc w:val="start"/>
      <w:pPr>
        <w:tabs>
          <w:tab w:val="num" w:pos="1440"/>
        </w:tabs>
        <w:ind w:start="1440" w:hanging="360"/>
      </w:pPr>
      <w:rPr/>
    </w:lvl>
  </w:abstractNum>
  <w:abstractNum w:abstractNumId="3">
    <w:lvl w:ilvl="0">
      <w:start w:val="1"/>
      <w:numFmt w:val="lowerRoman"/>
      <w:lvlText w:val="(%1) "/>
      <w:lvlJc w:val="start"/>
      <w:pPr>
        <w:tabs>
          <w:tab w:val="num" w:pos="360"/>
        </w:tabs>
        <w:ind w:start="1440" w:hanging="360"/>
      </w:pPr>
      <w:rPr>
        <w:sz w:val="20"/>
        <w:i w:val="false"/>
        <w:b w:val="false"/>
      </w:rPr>
    </w:lvl>
  </w:abstractNum>
  <w:abstractNum w:abstractNumId="4">
    <w:lvl w:ilvl="0">
      <w:start w:val="1"/>
      <w:numFmt w:val="lowerRoman"/>
      <w:lvlText w:val="(%1)"/>
      <w:lvlJc w:val="start"/>
      <w:pPr>
        <w:tabs>
          <w:tab w:val="num" w:pos="1800"/>
        </w:tabs>
        <w:ind w:start="1800" w:hanging="720"/>
      </w:pPr>
      <w:rPr/>
    </w:lvl>
  </w:abstractNum>
  <w:abstractNum w:abstractNumId="5">
    <w:lvl w:ilvl="0">
      <w:start w:val="2"/>
      <w:numFmt w:val="lowerRoman"/>
      <w:lvlText w:val="(%1)"/>
      <w:lvlJc w:val="start"/>
      <w:pPr>
        <w:tabs>
          <w:tab w:val="num" w:pos="1800"/>
        </w:tabs>
        <w:ind w:start="1800" w:hanging="720"/>
      </w:pPr>
      <w:rPr/>
    </w:lvl>
  </w:abstractNum>
  <w:abstractNum w:abstractNumId="6">
    <w:lvl w:ilvl="0">
      <w:start w:val="1"/>
      <w:numFmt w:val="lowerLetter"/>
      <w:lvlText w:val="(%1) "/>
      <w:lvlJc w:val="start"/>
      <w:pPr>
        <w:tabs>
          <w:tab w:val="num" w:pos="360"/>
        </w:tabs>
        <w:ind w:start="720" w:hanging="360"/>
      </w:pPr>
      <w:rPr>
        <w:sz w:val="20"/>
        <w:i w:val="false"/>
        <w:b w:val="false"/>
      </w:rPr>
    </w:lvl>
  </w:abstractNum>
  <w:abstractNum w:abstractNumId="7">
    <w:lvl w:ilvl="0">
      <w:start w:val="1"/>
      <w:numFmt w:val="decimal"/>
      <w:lvlText w:val="%1."/>
      <w:lvlJc w:val="start"/>
      <w:pPr>
        <w:tabs>
          <w:tab w:val="num" w:pos="360"/>
        </w:tabs>
        <w:ind w:start="360" w:hanging="360"/>
      </w:pPr>
    </w:lvl>
  </w:abstractNum>
  <w:abstractNum w:abstractNumId="8">
    <w:lvl w:ilvl="0">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b w:val="false"/>
      <w:i w:val="false"/>
      <w:sz w:val="20"/>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0"/>
    </w:rPr>
  </w:style>
  <w:style w:type="character" w:styleId="WW8Num9z0">
    <w:name w:val="WW8Num9z0"/>
    <w:qFormat/>
    <w:rPr/>
  </w:style>
  <w:style w:type="character" w:styleId="WW8Num12z0">
    <w:name w:val="WW8Num12z0"/>
    <w:qFormat/>
    <w:rPr/>
  </w:style>
  <w:style w:type="character" w:styleId="WW8Num14z0">
    <w:name w:val="WW8Num14z0"/>
    <w:qFormat/>
    <w:rPr>
      <w:b w:val="false"/>
      <w:i w:val="false"/>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1999-11-18T15:21:00Z</dcterms:created>
  <dc:creator>rdecker</dc:creator>
  <dc:description/>
  <dc:language>en-CA</dc:language>
  <cp:lastModifiedBy>sshackl</cp:lastModifiedBy>
  <cp:lastPrinted>1999-11-18T15:28:00Z</cp:lastPrinted>
  <dcterms:modified xsi:type="dcterms:W3CDTF">1999-11-18T19:00:00Z</dcterms:modified>
  <cp:revision>10</cp:revision>
  <dc:subject/>
  <dc:title>Financial Trading Guidelines</dc:title>
</cp:coreProperties>
</file>